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24615" w14:textId="4AE3ADC8" w:rsidR="00DB42A5" w:rsidRDefault="00DB42A5">
      <w:r>
        <w:rPr>
          <w:b/>
          <w:bCs/>
          <w:noProof/>
          <w:sz w:val="32"/>
          <w:szCs w:val="32"/>
          <w:lang w:eastAsia="en-AU"/>
        </w:rPr>
        <mc:AlternateContent>
          <mc:Choice Requires="wpg">
            <w:drawing>
              <wp:anchor distT="0" distB="0" distL="114300" distR="114300" simplePos="0" relativeHeight="251658240" behindDoc="0" locked="0" layoutInCell="1" allowOverlap="1" wp14:anchorId="19199A3F" wp14:editId="4524FE08">
                <wp:simplePos x="0" y="0"/>
                <wp:positionH relativeFrom="margin">
                  <wp:posOffset>-87453</wp:posOffset>
                </wp:positionH>
                <wp:positionV relativeFrom="paragraph">
                  <wp:posOffset>119743</wp:posOffset>
                </wp:positionV>
                <wp:extent cx="4344738" cy="814987"/>
                <wp:effectExtent l="0" t="0" r="0" b="4445"/>
                <wp:wrapNone/>
                <wp:docPr id="11" name="Group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4738" cy="814987"/>
                          <a:chOff x="482" y="692"/>
                          <a:chExt cx="5512" cy="915"/>
                        </a:xfrm>
                      </wpg:grpSpPr>
                      <pic:pic xmlns:pic="http://schemas.openxmlformats.org/drawingml/2006/picture">
                        <pic:nvPicPr>
                          <pic:cNvPr id="12"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82" y="709"/>
                            <a:ext cx="1227" cy="898"/>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14"/>
                        <wps:cNvSpPr txBox="1">
                          <a:spLocks noChangeArrowheads="1"/>
                        </wps:cNvSpPr>
                        <wps:spPr bwMode="auto">
                          <a:xfrm>
                            <a:off x="1749" y="692"/>
                            <a:ext cx="4245"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4673"/>
                              </w:tblGrid>
                              <w:tr w:rsidR="003460DF" w:rsidRPr="00E6260A" w14:paraId="118B0ED2" w14:textId="77777777" w:rsidTr="00717AA6">
                                <w:trPr>
                                  <w:trHeight w:hRule="exact" w:val="340"/>
                                </w:trPr>
                                <w:tc>
                                  <w:tcPr>
                                    <w:tcW w:w="4673" w:type="dxa"/>
                                  </w:tcPr>
                                  <w:p w14:paraId="159F0B8E" w14:textId="77777777" w:rsidR="003460DF" w:rsidRPr="00016586" w:rsidRDefault="003460DF" w:rsidP="00016586">
                                    <w:pPr>
                                      <w:rPr>
                                        <w:rFonts w:ascii="Times New Roman" w:hAnsi="Times New Roman" w:cs="Times New Roman"/>
                                        <w:bCs/>
                                        <w:i/>
                                        <w:sz w:val="24"/>
                                        <w:szCs w:val="24"/>
                                      </w:rPr>
                                    </w:pPr>
                                    <w:r w:rsidRPr="00016586">
                                      <w:rPr>
                                        <w:rFonts w:ascii="Times New Roman" w:hAnsi="Times New Roman" w:cs="Times New Roman"/>
                                        <w:sz w:val="24"/>
                                        <w:szCs w:val="24"/>
                                      </w:rPr>
                                      <w:t>Australian Government</w:t>
                                    </w:r>
                                  </w:p>
                                </w:tc>
                              </w:tr>
                              <w:tr w:rsidR="003460DF" w:rsidRPr="00573115" w14:paraId="6AB14726" w14:textId="77777777" w:rsidTr="00717AA6">
                                <w:trPr>
                                  <w:trHeight w:hRule="exact" w:val="376"/>
                                </w:trPr>
                                <w:tc>
                                  <w:tcPr>
                                    <w:tcW w:w="4673" w:type="dxa"/>
                                  </w:tcPr>
                                  <w:p w14:paraId="1EC445AA" w14:textId="17B92D34" w:rsidR="003460DF" w:rsidRPr="00016586" w:rsidRDefault="004D512B" w:rsidP="00016586">
                                    <w:pPr>
                                      <w:rPr>
                                        <w:rFonts w:ascii="Times New Roman" w:hAnsi="Times New Roman" w:cs="Times New Roman"/>
                                        <w:bCs/>
                                        <w:i/>
                                        <w:sz w:val="24"/>
                                        <w:szCs w:val="24"/>
                                      </w:rPr>
                                    </w:pPr>
                                    <w:bookmarkStart w:id="0" w:name="_Toc134606631"/>
                                    <w:r>
                                      <w:rPr>
                                        <w:rFonts w:ascii="Times New Roman" w:hAnsi="Times New Roman" w:cs="Times New Roman"/>
                                        <w:sz w:val="22"/>
                                        <w:szCs w:val="22"/>
                                      </w:rPr>
                                      <w:t>Department</w:t>
                                    </w:r>
                                    <w:r w:rsidR="00653A48">
                                      <w:rPr>
                                        <w:rFonts w:ascii="Times New Roman" w:hAnsi="Times New Roman" w:cs="Times New Roman"/>
                                        <w:sz w:val="22"/>
                                        <w:szCs w:val="22"/>
                                      </w:rPr>
                                      <w:t xml:space="preserve"> </w:t>
                                    </w:r>
                                    <w:r>
                                      <w:rPr>
                                        <w:rFonts w:ascii="Times New Roman" w:hAnsi="Times New Roman" w:cs="Times New Roman"/>
                                        <w:sz w:val="22"/>
                                        <w:szCs w:val="22"/>
                                      </w:rPr>
                                      <w:t>of Industry, Science and Resources</w:t>
                                    </w:r>
                                    <w:bookmarkEnd w:id="0"/>
                                  </w:p>
                                </w:tc>
                              </w:tr>
                              <w:tr w:rsidR="003460DF" w:rsidRPr="00016586" w14:paraId="48A82D8F" w14:textId="77777777" w:rsidTr="00717AA6">
                                <w:trPr>
                                  <w:trHeight w:hRule="exact" w:val="376"/>
                                </w:trPr>
                                <w:tc>
                                  <w:tcPr>
                                    <w:tcW w:w="4673" w:type="dxa"/>
                                  </w:tcPr>
                                  <w:p w14:paraId="69159460" w14:textId="77777777" w:rsidR="004D512B" w:rsidRPr="00573115" w:rsidRDefault="004D512B" w:rsidP="004D512B">
                                    <w:pPr>
                                      <w:pStyle w:val="Heading2"/>
                                      <w:spacing w:before="20" w:line="240" w:lineRule="atLeast"/>
                                      <w:ind w:left="-113" w:right="-113"/>
                                      <w:jc w:val="center"/>
                                      <w:rPr>
                                        <w:rFonts w:ascii="Times New Roman" w:hAnsi="Times New Roman" w:cs="Times New Roman"/>
                                        <w:bCs/>
                                        <w:i/>
                                        <w:sz w:val="22"/>
                                        <w:szCs w:val="22"/>
                                      </w:rPr>
                                    </w:pPr>
                                    <w:bookmarkStart w:id="1" w:name="_Toc134606632"/>
                                    <w:bookmarkStart w:id="2" w:name="_Toc193194828"/>
                                    <w:bookmarkStart w:id="3" w:name="_Toc215752339"/>
                                    <w:r>
                                      <w:rPr>
                                        <w:rFonts w:ascii="Times New Roman" w:hAnsi="Times New Roman" w:cs="Times New Roman"/>
                                        <w:sz w:val="22"/>
                                        <w:szCs w:val="22"/>
                                      </w:rPr>
                                      <w:t>National Offshore Petroleum Titles Administrator</w:t>
                                    </w:r>
                                    <w:bookmarkEnd w:id="1"/>
                                    <w:bookmarkEnd w:id="2"/>
                                    <w:bookmarkEnd w:id="3"/>
                                  </w:p>
                                  <w:p w14:paraId="6F847C79" w14:textId="77777777" w:rsidR="003460DF" w:rsidRPr="00016586" w:rsidRDefault="003460DF" w:rsidP="00016586">
                                    <w:pPr>
                                      <w:rPr>
                                        <w:rFonts w:ascii="Times New Roman" w:hAnsi="Times New Roman" w:cs="Times New Roman"/>
                                        <w:sz w:val="24"/>
                                        <w:szCs w:val="24"/>
                                      </w:rPr>
                                    </w:pPr>
                                  </w:p>
                                </w:tc>
                              </w:tr>
                            </w:tbl>
                            <w:p w14:paraId="536FEEF9" w14:textId="77777777" w:rsidR="003460DF" w:rsidRDefault="003460DF" w:rsidP="00DB42A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99A3F" id="Group 11" o:spid="_x0000_s1026" alt="&quot;&quot;" style="position:absolute;margin-left:-6.9pt;margin-top:9.45pt;width:342.1pt;height:64.15pt;z-index:251658240;mso-position-horizontal-relative:margin" coordorigin="482,692" coordsize="5512,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482;top:709;width:1227;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14" o:spid="_x0000_s1028" type="#_x0000_t202" style="position:absolute;left:1749;top:692;width:424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4673"/>
                        </w:tblGrid>
                        <w:tr w:rsidR="003460DF" w:rsidRPr="00E6260A" w14:paraId="118B0ED2" w14:textId="77777777" w:rsidTr="00717AA6">
                          <w:trPr>
                            <w:trHeight w:hRule="exact" w:val="340"/>
                          </w:trPr>
                          <w:tc>
                            <w:tcPr>
                              <w:tcW w:w="4673" w:type="dxa"/>
                            </w:tcPr>
                            <w:p w14:paraId="159F0B8E" w14:textId="77777777" w:rsidR="003460DF" w:rsidRPr="00016586" w:rsidRDefault="003460DF" w:rsidP="00016586">
                              <w:pPr>
                                <w:rPr>
                                  <w:rFonts w:ascii="Times New Roman" w:hAnsi="Times New Roman" w:cs="Times New Roman"/>
                                  <w:bCs/>
                                  <w:i/>
                                  <w:sz w:val="24"/>
                                  <w:szCs w:val="24"/>
                                </w:rPr>
                              </w:pPr>
                              <w:r w:rsidRPr="00016586">
                                <w:rPr>
                                  <w:rFonts w:ascii="Times New Roman" w:hAnsi="Times New Roman" w:cs="Times New Roman"/>
                                  <w:sz w:val="24"/>
                                  <w:szCs w:val="24"/>
                                </w:rPr>
                                <w:t>Australian Government</w:t>
                              </w:r>
                            </w:p>
                          </w:tc>
                        </w:tr>
                        <w:tr w:rsidR="003460DF" w:rsidRPr="00573115" w14:paraId="6AB14726" w14:textId="77777777" w:rsidTr="00717AA6">
                          <w:trPr>
                            <w:trHeight w:hRule="exact" w:val="376"/>
                          </w:trPr>
                          <w:tc>
                            <w:tcPr>
                              <w:tcW w:w="4673" w:type="dxa"/>
                            </w:tcPr>
                            <w:p w14:paraId="1EC445AA" w14:textId="17B92D34" w:rsidR="003460DF" w:rsidRPr="00016586" w:rsidRDefault="004D512B" w:rsidP="00016586">
                              <w:pPr>
                                <w:rPr>
                                  <w:rFonts w:ascii="Times New Roman" w:hAnsi="Times New Roman" w:cs="Times New Roman"/>
                                  <w:bCs/>
                                  <w:i/>
                                  <w:sz w:val="24"/>
                                  <w:szCs w:val="24"/>
                                </w:rPr>
                              </w:pPr>
                              <w:bookmarkStart w:id="4" w:name="_Toc134606631"/>
                              <w:r>
                                <w:rPr>
                                  <w:rFonts w:ascii="Times New Roman" w:hAnsi="Times New Roman" w:cs="Times New Roman"/>
                                  <w:sz w:val="22"/>
                                  <w:szCs w:val="22"/>
                                </w:rPr>
                                <w:t>Department</w:t>
                              </w:r>
                              <w:r w:rsidR="00653A48">
                                <w:rPr>
                                  <w:rFonts w:ascii="Times New Roman" w:hAnsi="Times New Roman" w:cs="Times New Roman"/>
                                  <w:sz w:val="22"/>
                                  <w:szCs w:val="22"/>
                                </w:rPr>
                                <w:t xml:space="preserve"> </w:t>
                              </w:r>
                              <w:r>
                                <w:rPr>
                                  <w:rFonts w:ascii="Times New Roman" w:hAnsi="Times New Roman" w:cs="Times New Roman"/>
                                  <w:sz w:val="22"/>
                                  <w:szCs w:val="22"/>
                                </w:rPr>
                                <w:t>of Industry, Science and Resources</w:t>
                              </w:r>
                              <w:bookmarkEnd w:id="4"/>
                            </w:p>
                          </w:tc>
                        </w:tr>
                        <w:tr w:rsidR="003460DF" w:rsidRPr="00016586" w14:paraId="48A82D8F" w14:textId="77777777" w:rsidTr="00717AA6">
                          <w:trPr>
                            <w:trHeight w:hRule="exact" w:val="376"/>
                          </w:trPr>
                          <w:tc>
                            <w:tcPr>
                              <w:tcW w:w="4673" w:type="dxa"/>
                            </w:tcPr>
                            <w:p w14:paraId="69159460" w14:textId="77777777" w:rsidR="004D512B" w:rsidRPr="00573115" w:rsidRDefault="004D512B" w:rsidP="004D512B">
                              <w:pPr>
                                <w:pStyle w:val="Heading2"/>
                                <w:spacing w:before="20" w:line="240" w:lineRule="atLeast"/>
                                <w:ind w:left="-113" w:right="-113"/>
                                <w:jc w:val="center"/>
                                <w:rPr>
                                  <w:rFonts w:ascii="Times New Roman" w:hAnsi="Times New Roman" w:cs="Times New Roman"/>
                                  <w:bCs/>
                                  <w:i/>
                                  <w:sz w:val="22"/>
                                  <w:szCs w:val="22"/>
                                </w:rPr>
                              </w:pPr>
                              <w:bookmarkStart w:id="5" w:name="_Toc134606632"/>
                              <w:bookmarkStart w:id="6" w:name="_Toc193194828"/>
                              <w:bookmarkStart w:id="7" w:name="_Toc215752339"/>
                              <w:r>
                                <w:rPr>
                                  <w:rFonts w:ascii="Times New Roman" w:hAnsi="Times New Roman" w:cs="Times New Roman"/>
                                  <w:sz w:val="22"/>
                                  <w:szCs w:val="22"/>
                                </w:rPr>
                                <w:t>National Offshore Petroleum Titles Administrator</w:t>
                              </w:r>
                              <w:bookmarkEnd w:id="5"/>
                              <w:bookmarkEnd w:id="6"/>
                              <w:bookmarkEnd w:id="7"/>
                            </w:p>
                            <w:p w14:paraId="6F847C79" w14:textId="77777777" w:rsidR="003460DF" w:rsidRPr="00016586" w:rsidRDefault="003460DF" w:rsidP="00016586">
                              <w:pPr>
                                <w:rPr>
                                  <w:rFonts w:ascii="Times New Roman" w:hAnsi="Times New Roman" w:cs="Times New Roman"/>
                                  <w:sz w:val="24"/>
                                  <w:szCs w:val="24"/>
                                </w:rPr>
                              </w:pPr>
                            </w:p>
                          </w:tc>
                        </w:tr>
                      </w:tbl>
                      <w:p w14:paraId="536FEEF9" w14:textId="77777777" w:rsidR="003460DF" w:rsidRDefault="003460DF" w:rsidP="00DB42A5"/>
                    </w:txbxContent>
                  </v:textbox>
                </v:shape>
                <w10:wrap anchorx="margin"/>
              </v:group>
            </w:pict>
          </mc:Fallback>
        </mc:AlternateContent>
      </w:r>
      <w:r w:rsidR="00916F8B">
        <w:t xml:space="preserve"> </w:t>
      </w:r>
      <w:r w:rsidR="00324852">
        <w:t xml:space="preserve"> </w:t>
      </w:r>
    </w:p>
    <w:p w14:paraId="52C76886" w14:textId="77777777" w:rsidR="00DB42A5" w:rsidRPr="00DB42A5" w:rsidRDefault="00DB42A5" w:rsidP="00DB42A5"/>
    <w:p w14:paraId="4701AECD" w14:textId="77777777" w:rsidR="00DB42A5" w:rsidRPr="00DB42A5" w:rsidRDefault="00DB42A5" w:rsidP="00DB42A5"/>
    <w:p w14:paraId="269BCB50" w14:textId="77777777" w:rsidR="00DB42A5" w:rsidRPr="00DB42A5" w:rsidRDefault="00DB42A5" w:rsidP="00DB42A5"/>
    <w:p w14:paraId="41D37190" w14:textId="77777777" w:rsidR="00DB42A5" w:rsidRPr="00DB42A5" w:rsidRDefault="00DB42A5" w:rsidP="00DB42A5"/>
    <w:p w14:paraId="67B86F50" w14:textId="77777777" w:rsidR="00DB42A5" w:rsidRPr="00DB42A5" w:rsidRDefault="00DB42A5" w:rsidP="00DB42A5"/>
    <w:p w14:paraId="29932D46" w14:textId="77777777" w:rsidR="00DB42A5" w:rsidRPr="00DB42A5" w:rsidRDefault="00DB42A5" w:rsidP="00DB42A5"/>
    <w:p w14:paraId="0E3CAEC6" w14:textId="77777777" w:rsidR="00DB42A5" w:rsidRPr="00DB42A5" w:rsidRDefault="00DB42A5" w:rsidP="00DB42A5"/>
    <w:p w14:paraId="49099B53" w14:textId="77777777" w:rsidR="00DB42A5" w:rsidRPr="00DB42A5" w:rsidRDefault="00DB42A5" w:rsidP="00DB42A5"/>
    <w:p w14:paraId="10989E3D" w14:textId="6F11B877" w:rsidR="00DB42A5" w:rsidRPr="00FB5AF2" w:rsidRDefault="00DB42A5" w:rsidP="001F3F05">
      <w:pPr>
        <w:pStyle w:val="Title"/>
        <w:jc w:val="center"/>
        <w:rPr>
          <w:iCs/>
          <w:color w:val="2E74B5" w:themeColor="accent1" w:themeShade="BF"/>
          <w:u w:val="single"/>
        </w:rPr>
      </w:pPr>
      <w:bookmarkStart w:id="8" w:name="OLE_LINK4"/>
      <w:bookmarkStart w:id="9" w:name="OLE_LINK5"/>
      <w:r w:rsidRPr="00FB5AF2">
        <w:rPr>
          <w:color w:val="2E74B5" w:themeColor="accent1" w:themeShade="BF"/>
        </w:rPr>
        <w:t>COST RECOVERY IMPLEMENTATION STATEMENT</w:t>
      </w:r>
    </w:p>
    <w:bookmarkEnd w:id="8"/>
    <w:bookmarkEnd w:id="9"/>
    <w:p w14:paraId="49FB50E4" w14:textId="6AACBA03" w:rsidR="00DB42A5" w:rsidRDefault="003D204F" w:rsidP="713BF64E">
      <w:pPr>
        <w:pStyle w:val="Pa12"/>
        <w:jc w:val="center"/>
        <w:rPr>
          <w:rFonts w:asciiTheme="minorHAnsi" w:hAnsiTheme="minorHAnsi" w:cs="Times New Roman"/>
          <w:b/>
          <w:bCs/>
          <w:color w:val="595959" w:themeColor="text1" w:themeTint="A6"/>
          <w:sz w:val="32"/>
          <w:szCs w:val="32"/>
          <w:lang w:val="en-AU"/>
        </w:rPr>
      </w:pPr>
      <w:r w:rsidRPr="713BF64E">
        <w:rPr>
          <w:rFonts w:asciiTheme="minorHAnsi" w:hAnsiTheme="minorHAnsi" w:cs="Times New Roman"/>
          <w:b/>
          <w:bCs/>
          <w:color w:val="595959" w:themeColor="text1" w:themeTint="A6"/>
          <w:sz w:val="32"/>
          <w:szCs w:val="32"/>
          <w:lang w:val="en-AU"/>
        </w:rPr>
        <w:t>Titles Administration</w:t>
      </w:r>
    </w:p>
    <w:p w14:paraId="55C98A54" w14:textId="25A22BAD" w:rsidR="00536930" w:rsidRPr="00536930" w:rsidRDefault="14D4D729" w:rsidP="51FF8415">
      <w:pPr>
        <w:jc w:val="center"/>
        <w:rPr>
          <w:rFonts w:eastAsia="SimSun" w:cs="Times New Roman"/>
          <w:b/>
          <w:bCs/>
          <w:i/>
          <w:iCs/>
          <w:color w:val="595959" w:themeColor="text1" w:themeTint="A6"/>
          <w:sz w:val="32"/>
          <w:szCs w:val="32"/>
        </w:rPr>
      </w:pPr>
      <w:r w:rsidRPr="51FF8415">
        <w:rPr>
          <w:rFonts w:eastAsia="SimSun" w:cs="Times New Roman"/>
          <w:b/>
          <w:bCs/>
          <w:i/>
          <w:iCs/>
          <w:color w:val="595959" w:themeColor="text1" w:themeTint="A6"/>
          <w:sz w:val="32"/>
          <w:szCs w:val="32"/>
        </w:rPr>
        <w:t>Offshore Petroleum and Greenhouse Gas Storage Act 2006</w:t>
      </w:r>
    </w:p>
    <w:p w14:paraId="51324BE5" w14:textId="57B2D7CD" w:rsidR="001F3F05" w:rsidRPr="001F3F05" w:rsidRDefault="00DB42A5" w:rsidP="713BF64E">
      <w:pPr>
        <w:pStyle w:val="Pa4"/>
        <w:widowControl/>
        <w:autoSpaceDE/>
        <w:autoSpaceDN/>
        <w:adjustRightInd/>
        <w:spacing w:after="480" w:line="240" w:lineRule="auto"/>
        <w:jc w:val="center"/>
        <w:rPr>
          <w:rFonts w:asciiTheme="minorHAnsi" w:hAnsiTheme="minorHAnsi"/>
          <w:b/>
          <w:bCs/>
          <w:i/>
          <w:iCs/>
          <w:sz w:val="32"/>
          <w:szCs w:val="32"/>
          <w:lang w:val="en-AU"/>
        </w:rPr>
      </w:pPr>
      <w:r w:rsidRPr="713BF64E">
        <w:rPr>
          <w:rFonts w:asciiTheme="minorHAnsi" w:hAnsiTheme="minorHAnsi"/>
          <w:b/>
          <w:bCs/>
          <w:sz w:val="32"/>
          <w:szCs w:val="32"/>
          <w:lang w:val="en-AU"/>
        </w:rPr>
        <w:t xml:space="preserve"> </w:t>
      </w:r>
      <w:r w:rsidR="003D204F" w:rsidRPr="713BF64E">
        <w:rPr>
          <w:rFonts w:asciiTheme="minorHAnsi" w:hAnsiTheme="minorHAnsi"/>
          <w:b/>
          <w:bCs/>
          <w:sz w:val="32"/>
          <w:szCs w:val="32"/>
          <w:lang w:val="en-AU"/>
        </w:rPr>
        <w:t>202</w:t>
      </w:r>
      <w:r w:rsidR="00A73568">
        <w:rPr>
          <w:rFonts w:asciiTheme="minorHAnsi" w:hAnsiTheme="minorHAnsi"/>
          <w:b/>
          <w:bCs/>
          <w:sz w:val="32"/>
          <w:szCs w:val="32"/>
          <w:lang w:val="en-AU"/>
        </w:rPr>
        <w:t>6</w:t>
      </w:r>
    </w:p>
    <w:p w14:paraId="3228A3D3" w14:textId="6A6EC598" w:rsidR="00DB42A5" w:rsidRDefault="00DB42A5" w:rsidP="00DB42A5"/>
    <w:p w14:paraId="3E69D434" w14:textId="64736932" w:rsidR="00F82787" w:rsidRPr="006B567F" w:rsidRDefault="00F82787" w:rsidP="00F82787">
      <w:pPr>
        <w:rPr>
          <w:rFonts w:eastAsia="SimSun"/>
        </w:rPr>
      </w:pPr>
      <w:r w:rsidRPr="006B567F">
        <w:rPr>
          <w:rFonts w:eastAsia="SimSun"/>
        </w:rPr>
        <w:t xml:space="preserve">Charging for regulatory activity involves government entities charging individuals or organisations in the non-government sector some or </w:t>
      </w:r>
      <w:proofErr w:type="gramStart"/>
      <w:r w:rsidRPr="006B567F">
        <w:rPr>
          <w:rFonts w:eastAsia="SimSun"/>
        </w:rPr>
        <w:t>all of</w:t>
      </w:r>
      <w:proofErr w:type="gramEnd"/>
      <w:r w:rsidRPr="006B567F">
        <w:rPr>
          <w:rFonts w:eastAsia="SimSun"/>
        </w:rPr>
        <w:t xml:space="preserve"> the minimum efficient costs of a specific government activity. The </w:t>
      </w:r>
      <w:r w:rsidR="00AE5E7B">
        <w:rPr>
          <w:rFonts w:eastAsia="SimSun"/>
        </w:rPr>
        <w:t xml:space="preserve">Cost Recovery Policy along with the </w:t>
      </w:r>
      <w:r w:rsidRPr="006B567F">
        <w:rPr>
          <w:rFonts w:eastAsia="SimSun"/>
        </w:rPr>
        <w:t xml:space="preserve">Australian Government Charging </w:t>
      </w:r>
      <w:r w:rsidRPr="00AE5E7B">
        <w:rPr>
          <w:rFonts w:eastAsia="SimSun"/>
        </w:rPr>
        <w:t xml:space="preserve">Framework (the </w:t>
      </w:r>
      <w:r w:rsidR="00467B14" w:rsidRPr="00AE5E7B">
        <w:rPr>
          <w:rFonts w:eastAsia="SimSun"/>
        </w:rPr>
        <w:t>Charging Framework</w:t>
      </w:r>
      <w:r w:rsidRPr="00AE5E7B">
        <w:rPr>
          <w:rFonts w:eastAsia="SimSun"/>
        </w:rPr>
        <w:t>)</w:t>
      </w:r>
      <w:r w:rsidRPr="006B567F">
        <w:rPr>
          <w:rFonts w:eastAsia="SimSun"/>
        </w:rPr>
        <w:t xml:space="preserve"> sets out the </w:t>
      </w:r>
      <w:r w:rsidR="00D03D35">
        <w:rPr>
          <w:rFonts w:eastAsia="SimSun"/>
        </w:rPr>
        <w:t>policy</w:t>
      </w:r>
      <w:r w:rsidRPr="006B567F">
        <w:rPr>
          <w:rFonts w:eastAsia="SimSun"/>
        </w:rPr>
        <w:t xml:space="preserve"> under which government entities design, implement and review charging for regulatory activities. The CRIS is the public document to ensure the transparency and accountability for the level of the charging and to demonstrate that the purpose for charg</w:t>
      </w:r>
      <w:r w:rsidR="005C7F49">
        <w:rPr>
          <w:rFonts w:eastAsia="SimSun"/>
        </w:rPr>
        <w:t>ing</w:t>
      </w:r>
      <w:r w:rsidRPr="006B567F">
        <w:rPr>
          <w:rFonts w:eastAsia="SimSun"/>
        </w:rPr>
        <w:t>, as decided by Government, is being achieved.</w:t>
      </w:r>
    </w:p>
    <w:p w14:paraId="7427C50A" w14:textId="7EEA4AE1" w:rsidR="00F03C83" w:rsidRDefault="00F03C83" w:rsidP="00DB42A5"/>
    <w:p w14:paraId="1E2C521B" w14:textId="77777777" w:rsidR="006B567F" w:rsidRDefault="006B567F"/>
    <w:p w14:paraId="7D47A0D5" w14:textId="0A09D1A8" w:rsidR="00F03C83" w:rsidRDefault="00F03C83">
      <w:r>
        <w:br w:type="page"/>
      </w:r>
    </w:p>
    <w:p w14:paraId="7EC8F84B" w14:textId="77777777" w:rsidR="001F3F05" w:rsidRDefault="001F3F05" w:rsidP="00DB42A5"/>
    <w:sdt>
      <w:sdtPr>
        <w:rPr>
          <w:rFonts w:asciiTheme="minorHAnsi" w:eastAsiaTheme="minorEastAsia" w:hAnsiTheme="minorHAnsi" w:cstheme="minorBidi"/>
          <w:color w:val="auto"/>
          <w:sz w:val="20"/>
          <w:szCs w:val="20"/>
        </w:rPr>
        <w:id w:val="-189685622"/>
        <w:docPartObj>
          <w:docPartGallery w:val="Table of Contents"/>
          <w:docPartUnique/>
        </w:docPartObj>
      </w:sdtPr>
      <w:sdtEndPr>
        <w:rPr>
          <w:b/>
          <w:bCs/>
          <w:noProof/>
        </w:rPr>
      </w:sdtEndPr>
      <w:sdtContent>
        <w:p w14:paraId="4E184B96" w14:textId="73F78940" w:rsidR="00016586" w:rsidRDefault="00016586">
          <w:pPr>
            <w:pStyle w:val="TOCHeading"/>
          </w:pPr>
          <w:r>
            <w:t>Contents</w:t>
          </w:r>
        </w:p>
        <w:p w14:paraId="44514133" w14:textId="014D4B12" w:rsidR="00DB54D5" w:rsidRDefault="00016586">
          <w:pPr>
            <w:pStyle w:val="TOC2"/>
            <w:tabs>
              <w:tab w:val="right" w:leader="dot" w:pos="9016"/>
            </w:tabs>
            <w:rPr>
              <w:noProof/>
              <w:kern w:val="2"/>
              <w:sz w:val="24"/>
              <w:szCs w:val="24"/>
              <w:lang w:eastAsia="en-AU"/>
              <w14:ligatures w14:val="standardContextual"/>
            </w:rPr>
          </w:pPr>
          <w:r>
            <w:fldChar w:fldCharType="begin"/>
          </w:r>
          <w:r>
            <w:instrText xml:space="preserve"> TOC \o "1-3" \h \z \u </w:instrText>
          </w:r>
          <w:r>
            <w:fldChar w:fldCharType="separate"/>
          </w:r>
        </w:p>
        <w:p w14:paraId="7C3F2C26" w14:textId="3D8AB435" w:rsidR="00DB54D5" w:rsidRDefault="00DB54D5">
          <w:pPr>
            <w:pStyle w:val="TOC1"/>
            <w:tabs>
              <w:tab w:val="left" w:pos="480"/>
              <w:tab w:val="right" w:leader="dot" w:pos="9016"/>
            </w:tabs>
            <w:rPr>
              <w:noProof/>
              <w:kern w:val="2"/>
              <w:sz w:val="24"/>
              <w:szCs w:val="24"/>
              <w:lang w:eastAsia="en-AU"/>
              <w14:ligatures w14:val="standardContextual"/>
            </w:rPr>
          </w:pPr>
          <w:hyperlink w:anchor="_Toc215752340" w:history="1">
            <w:r w:rsidRPr="00587DE3">
              <w:rPr>
                <w:rStyle w:val="Hyperlink"/>
                <w:noProof/>
              </w:rPr>
              <w:t>1.</w:t>
            </w:r>
            <w:r>
              <w:rPr>
                <w:noProof/>
                <w:kern w:val="2"/>
                <w:sz w:val="24"/>
                <w:szCs w:val="24"/>
                <w:lang w:eastAsia="en-AU"/>
                <w14:ligatures w14:val="standardContextual"/>
              </w:rPr>
              <w:tab/>
            </w:r>
            <w:r w:rsidRPr="00587DE3">
              <w:rPr>
                <w:rStyle w:val="Hyperlink"/>
                <w:noProof/>
              </w:rPr>
              <w:t>INTRODUCTION</w:t>
            </w:r>
            <w:r>
              <w:rPr>
                <w:noProof/>
                <w:webHidden/>
              </w:rPr>
              <w:tab/>
            </w:r>
            <w:r>
              <w:rPr>
                <w:noProof/>
                <w:webHidden/>
              </w:rPr>
              <w:fldChar w:fldCharType="begin"/>
            </w:r>
            <w:r>
              <w:rPr>
                <w:noProof/>
                <w:webHidden/>
              </w:rPr>
              <w:instrText xml:space="preserve"> PAGEREF _Toc215752340 \h </w:instrText>
            </w:r>
            <w:r>
              <w:rPr>
                <w:noProof/>
                <w:webHidden/>
              </w:rPr>
            </w:r>
            <w:r>
              <w:rPr>
                <w:noProof/>
                <w:webHidden/>
              </w:rPr>
              <w:fldChar w:fldCharType="separate"/>
            </w:r>
            <w:r w:rsidR="00516D17">
              <w:rPr>
                <w:noProof/>
                <w:webHidden/>
              </w:rPr>
              <w:t>3</w:t>
            </w:r>
            <w:r>
              <w:rPr>
                <w:noProof/>
                <w:webHidden/>
              </w:rPr>
              <w:fldChar w:fldCharType="end"/>
            </w:r>
          </w:hyperlink>
        </w:p>
        <w:p w14:paraId="1E8D99DB" w14:textId="0E5488D5" w:rsidR="00DB54D5" w:rsidRDefault="00DB54D5">
          <w:pPr>
            <w:pStyle w:val="TOC2"/>
            <w:tabs>
              <w:tab w:val="left" w:pos="960"/>
              <w:tab w:val="right" w:leader="dot" w:pos="9016"/>
            </w:tabs>
            <w:rPr>
              <w:noProof/>
              <w:kern w:val="2"/>
              <w:sz w:val="24"/>
              <w:szCs w:val="24"/>
              <w:lang w:eastAsia="en-AU"/>
              <w14:ligatures w14:val="standardContextual"/>
            </w:rPr>
          </w:pPr>
          <w:hyperlink w:anchor="_Toc215752341" w:history="1">
            <w:r w:rsidRPr="00587DE3">
              <w:rPr>
                <w:rStyle w:val="Hyperlink"/>
                <w:noProof/>
              </w:rPr>
              <w:t>1.1.</w:t>
            </w:r>
            <w:r>
              <w:rPr>
                <w:noProof/>
                <w:kern w:val="2"/>
                <w:sz w:val="24"/>
                <w:szCs w:val="24"/>
                <w:lang w:eastAsia="en-AU"/>
                <w14:ligatures w14:val="standardContextual"/>
              </w:rPr>
              <w:tab/>
            </w:r>
            <w:r w:rsidRPr="00587DE3">
              <w:rPr>
                <w:rStyle w:val="Hyperlink"/>
                <w:noProof/>
              </w:rPr>
              <w:t>Purpose</w:t>
            </w:r>
            <w:r>
              <w:rPr>
                <w:noProof/>
                <w:webHidden/>
              </w:rPr>
              <w:tab/>
            </w:r>
            <w:r>
              <w:rPr>
                <w:noProof/>
                <w:webHidden/>
              </w:rPr>
              <w:fldChar w:fldCharType="begin"/>
            </w:r>
            <w:r>
              <w:rPr>
                <w:noProof/>
                <w:webHidden/>
              </w:rPr>
              <w:instrText xml:space="preserve"> PAGEREF _Toc215752341 \h </w:instrText>
            </w:r>
            <w:r>
              <w:rPr>
                <w:noProof/>
                <w:webHidden/>
              </w:rPr>
            </w:r>
            <w:r>
              <w:rPr>
                <w:noProof/>
                <w:webHidden/>
              </w:rPr>
              <w:fldChar w:fldCharType="separate"/>
            </w:r>
            <w:r w:rsidR="00516D17">
              <w:rPr>
                <w:noProof/>
                <w:webHidden/>
              </w:rPr>
              <w:t>3</w:t>
            </w:r>
            <w:r>
              <w:rPr>
                <w:noProof/>
                <w:webHidden/>
              </w:rPr>
              <w:fldChar w:fldCharType="end"/>
            </w:r>
          </w:hyperlink>
        </w:p>
        <w:p w14:paraId="39541756" w14:textId="3A16B74F" w:rsidR="00DB54D5" w:rsidRDefault="00DB54D5">
          <w:pPr>
            <w:pStyle w:val="TOC1"/>
            <w:tabs>
              <w:tab w:val="left" w:pos="480"/>
              <w:tab w:val="right" w:leader="dot" w:pos="9016"/>
            </w:tabs>
            <w:rPr>
              <w:noProof/>
              <w:kern w:val="2"/>
              <w:sz w:val="24"/>
              <w:szCs w:val="24"/>
              <w:lang w:eastAsia="en-AU"/>
              <w14:ligatures w14:val="standardContextual"/>
            </w:rPr>
          </w:pPr>
          <w:hyperlink w:anchor="_Toc215752342" w:history="1">
            <w:r w:rsidRPr="00587DE3">
              <w:rPr>
                <w:rStyle w:val="Hyperlink"/>
                <w:noProof/>
              </w:rPr>
              <w:t>2.</w:t>
            </w:r>
            <w:r>
              <w:rPr>
                <w:noProof/>
                <w:kern w:val="2"/>
                <w:sz w:val="24"/>
                <w:szCs w:val="24"/>
                <w:lang w:eastAsia="en-AU"/>
                <w14:ligatures w14:val="standardContextual"/>
              </w:rPr>
              <w:tab/>
            </w:r>
            <w:r w:rsidRPr="00587DE3">
              <w:rPr>
                <w:rStyle w:val="Hyperlink"/>
                <w:noProof/>
              </w:rPr>
              <w:t>POLICY AND STATUTORY AUTHORITY TO CHARGE (COST RECOVER)</w:t>
            </w:r>
            <w:r>
              <w:rPr>
                <w:noProof/>
                <w:webHidden/>
              </w:rPr>
              <w:tab/>
            </w:r>
            <w:r>
              <w:rPr>
                <w:noProof/>
                <w:webHidden/>
              </w:rPr>
              <w:fldChar w:fldCharType="begin"/>
            </w:r>
            <w:r>
              <w:rPr>
                <w:noProof/>
                <w:webHidden/>
              </w:rPr>
              <w:instrText xml:space="preserve"> PAGEREF _Toc215752342 \h </w:instrText>
            </w:r>
            <w:r>
              <w:rPr>
                <w:noProof/>
                <w:webHidden/>
              </w:rPr>
            </w:r>
            <w:r>
              <w:rPr>
                <w:noProof/>
                <w:webHidden/>
              </w:rPr>
              <w:fldChar w:fldCharType="separate"/>
            </w:r>
            <w:r w:rsidR="00516D17">
              <w:rPr>
                <w:noProof/>
                <w:webHidden/>
              </w:rPr>
              <w:t>3</w:t>
            </w:r>
            <w:r>
              <w:rPr>
                <w:noProof/>
                <w:webHidden/>
              </w:rPr>
              <w:fldChar w:fldCharType="end"/>
            </w:r>
          </w:hyperlink>
        </w:p>
        <w:p w14:paraId="6A102198" w14:textId="0760BC5A" w:rsidR="00DB54D5" w:rsidRDefault="00DB54D5">
          <w:pPr>
            <w:pStyle w:val="TOC2"/>
            <w:tabs>
              <w:tab w:val="left" w:pos="960"/>
              <w:tab w:val="right" w:leader="dot" w:pos="9016"/>
            </w:tabs>
            <w:rPr>
              <w:noProof/>
              <w:kern w:val="2"/>
              <w:sz w:val="24"/>
              <w:szCs w:val="24"/>
              <w:lang w:eastAsia="en-AU"/>
              <w14:ligatures w14:val="standardContextual"/>
            </w:rPr>
          </w:pPr>
          <w:hyperlink w:anchor="_Toc215752343" w:history="1">
            <w:r w:rsidRPr="00587DE3">
              <w:rPr>
                <w:rStyle w:val="Hyperlink"/>
                <w:noProof/>
              </w:rPr>
              <w:t>2.1.</w:t>
            </w:r>
            <w:r>
              <w:rPr>
                <w:noProof/>
                <w:kern w:val="2"/>
                <w:sz w:val="24"/>
                <w:szCs w:val="24"/>
                <w:lang w:eastAsia="en-AU"/>
                <w14:ligatures w14:val="standardContextual"/>
              </w:rPr>
              <w:tab/>
            </w:r>
            <w:r w:rsidRPr="00587DE3">
              <w:rPr>
                <w:rStyle w:val="Hyperlink"/>
                <w:noProof/>
              </w:rPr>
              <w:t>Government policy approval to charge for this regulatory activity</w:t>
            </w:r>
            <w:r>
              <w:rPr>
                <w:noProof/>
                <w:webHidden/>
              </w:rPr>
              <w:tab/>
            </w:r>
            <w:r>
              <w:rPr>
                <w:noProof/>
                <w:webHidden/>
              </w:rPr>
              <w:fldChar w:fldCharType="begin"/>
            </w:r>
            <w:r>
              <w:rPr>
                <w:noProof/>
                <w:webHidden/>
              </w:rPr>
              <w:instrText xml:space="preserve"> PAGEREF _Toc215752343 \h </w:instrText>
            </w:r>
            <w:r>
              <w:rPr>
                <w:noProof/>
                <w:webHidden/>
              </w:rPr>
            </w:r>
            <w:r>
              <w:rPr>
                <w:noProof/>
                <w:webHidden/>
              </w:rPr>
              <w:fldChar w:fldCharType="separate"/>
            </w:r>
            <w:r w:rsidR="00516D17">
              <w:rPr>
                <w:noProof/>
                <w:webHidden/>
              </w:rPr>
              <w:t>3</w:t>
            </w:r>
            <w:r>
              <w:rPr>
                <w:noProof/>
                <w:webHidden/>
              </w:rPr>
              <w:fldChar w:fldCharType="end"/>
            </w:r>
          </w:hyperlink>
        </w:p>
        <w:p w14:paraId="07E5BEE1" w14:textId="5028D926" w:rsidR="00DB54D5" w:rsidRDefault="00DB54D5">
          <w:pPr>
            <w:pStyle w:val="TOC2"/>
            <w:tabs>
              <w:tab w:val="left" w:pos="960"/>
              <w:tab w:val="right" w:leader="dot" w:pos="9016"/>
            </w:tabs>
            <w:rPr>
              <w:noProof/>
              <w:kern w:val="2"/>
              <w:sz w:val="24"/>
              <w:szCs w:val="24"/>
              <w:lang w:eastAsia="en-AU"/>
              <w14:ligatures w14:val="standardContextual"/>
            </w:rPr>
          </w:pPr>
          <w:hyperlink w:anchor="_Toc215752344" w:history="1">
            <w:r w:rsidRPr="00587DE3">
              <w:rPr>
                <w:rStyle w:val="Hyperlink"/>
                <w:noProof/>
              </w:rPr>
              <w:t>2.2.</w:t>
            </w:r>
            <w:r>
              <w:rPr>
                <w:noProof/>
                <w:kern w:val="2"/>
                <w:sz w:val="24"/>
                <w:szCs w:val="24"/>
                <w:lang w:eastAsia="en-AU"/>
                <w14:ligatures w14:val="standardContextual"/>
              </w:rPr>
              <w:tab/>
            </w:r>
            <w:r w:rsidRPr="00587DE3">
              <w:rPr>
                <w:rStyle w:val="Hyperlink"/>
                <w:noProof/>
              </w:rPr>
              <w:t>Statutory authority to charge</w:t>
            </w:r>
            <w:r>
              <w:rPr>
                <w:noProof/>
                <w:webHidden/>
              </w:rPr>
              <w:tab/>
            </w:r>
            <w:r>
              <w:rPr>
                <w:noProof/>
                <w:webHidden/>
              </w:rPr>
              <w:fldChar w:fldCharType="begin"/>
            </w:r>
            <w:r>
              <w:rPr>
                <w:noProof/>
                <w:webHidden/>
              </w:rPr>
              <w:instrText xml:space="preserve"> PAGEREF _Toc215752344 \h </w:instrText>
            </w:r>
            <w:r>
              <w:rPr>
                <w:noProof/>
                <w:webHidden/>
              </w:rPr>
            </w:r>
            <w:r>
              <w:rPr>
                <w:noProof/>
                <w:webHidden/>
              </w:rPr>
              <w:fldChar w:fldCharType="separate"/>
            </w:r>
            <w:r w:rsidR="00516D17">
              <w:rPr>
                <w:noProof/>
                <w:webHidden/>
              </w:rPr>
              <w:t>3</w:t>
            </w:r>
            <w:r>
              <w:rPr>
                <w:noProof/>
                <w:webHidden/>
              </w:rPr>
              <w:fldChar w:fldCharType="end"/>
            </w:r>
          </w:hyperlink>
        </w:p>
        <w:p w14:paraId="13D87E7B" w14:textId="302792FC" w:rsidR="00DB54D5" w:rsidRDefault="00DB54D5">
          <w:pPr>
            <w:pStyle w:val="TOC2"/>
            <w:tabs>
              <w:tab w:val="left" w:pos="960"/>
              <w:tab w:val="right" w:leader="dot" w:pos="9016"/>
            </w:tabs>
            <w:rPr>
              <w:noProof/>
              <w:kern w:val="2"/>
              <w:sz w:val="24"/>
              <w:szCs w:val="24"/>
              <w:lang w:eastAsia="en-AU"/>
              <w14:ligatures w14:val="standardContextual"/>
            </w:rPr>
          </w:pPr>
          <w:hyperlink w:anchor="_Toc215752345" w:history="1">
            <w:r w:rsidRPr="00587DE3">
              <w:rPr>
                <w:rStyle w:val="Hyperlink"/>
                <w:rFonts w:cstheme="minorHAnsi"/>
                <w:noProof/>
              </w:rPr>
              <w:t>2.3.</w:t>
            </w:r>
            <w:r>
              <w:rPr>
                <w:noProof/>
                <w:kern w:val="2"/>
                <w:sz w:val="24"/>
                <w:szCs w:val="24"/>
                <w:lang w:eastAsia="en-AU"/>
                <w14:ligatures w14:val="standardContextual"/>
              </w:rPr>
              <w:tab/>
            </w:r>
            <w:r w:rsidRPr="00587DE3">
              <w:rPr>
                <w:rStyle w:val="Hyperlink"/>
                <w:rFonts w:cstheme="minorHAnsi"/>
                <w:noProof/>
              </w:rPr>
              <w:t>NOPTA statutory review</w:t>
            </w:r>
            <w:r>
              <w:rPr>
                <w:noProof/>
                <w:webHidden/>
              </w:rPr>
              <w:tab/>
            </w:r>
            <w:r>
              <w:rPr>
                <w:noProof/>
                <w:webHidden/>
              </w:rPr>
              <w:fldChar w:fldCharType="begin"/>
            </w:r>
            <w:r>
              <w:rPr>
                <w:noProof/>
                <w:webHidden/>
              </w:rPr>
              <w:instrText xml:space="preserve"> PAGEREF _Toc215752345 \h </w:instrText>
            </w:r>
            <w:r>
              <w:rPr>
                <w:noProof/>
                <w:webHidden/>
              </w:rPr>
            </w:r>
            <w:r>
              <w:rPr>
                <w:noProof/>
                <w:webHidden/>
              </w:rPr>
              <w:fldChar w:fldCharType="separate"/>
            </w:r>
            <w:r w:rsidR="00516D17">
              <w:rPr>
                <w:noProof/>
                <w:webHidden/>
              </w:rPr>
              <w:t>4</w:t>
            </w:r>
            <w:r>
              <w:rPr>
                <w:noProof/>
                <w:webHidden/>
              </w:rPr>
              <w:fldChar w:fldCharType="end"/>
            </w:r>
          </w:hyperlink>
        </w:p>
        <w:p w14:paraId="7378E5C2" w14:textId="744C2B43" w:rsidR="00DB54D5" w:rsidRDefault="00DB54D5">
          <w:pPr>
            <w:pStyle w:val="TOC1"/>
            <w:tabs>
              <w:tab w:val="left" w:pos="480"/>
              <w:tab w:val="right" w:leader="dot" w:pos="9016"/>
            </w:tabs>
            <w:rPr>
              <w:noProof/>
              <w:kern w:val="2"/>
              <w:sz w:val="24"/>
              <w:szCs w:val="24"/>
              <w:lang w:eastAsia="en-AU"/>
              <w14:ligatures w14:val="standardContextual"/>
            </w:rPr>
          </w:pPr>
          <w:hyperlink w:anchor="_Toc215752346" w:history="1">
            <w:r w:rsidRPr="00587DE3">
              <w:rPr>
                <w:rStyle w:val="Hyperlink"/>
                <w:noProof/>
              </w:rPr>
              <w:t>3.</w:t>
            </w:r>
            <w:r>
              <w:rPr>
                <w:noProof/>
                <w:kern w:val="2"/>
                <w:sz w:val="24"/>
                <w:szCs w:val="24"/>
                <w:lang w:eastAsia="en-AU"/>
                <w14:ligatures w14:val="standardContextual"/>
              </w:rPr>
              <w:tab/>
            </w:r>
            <w:r w:rsidRPr="00587DE3">
              <w:rPr>
                <w:rStyle w:val="Hyperlink"/>
                <w:noProof/>
              </w:rPr>
              <w:t>CHARGING (COST RECOVERY) MODEL</w:t>
            </w:r>
            <w:r>
              <w:rPr>
                <w:noProof/>
                <w:webHidden/>
              </w:rPr>
              <w:tab/>
            </w:r>
            <w:r>
              <w:rPr>
                <w:noProof/>
                <w:webHidden/>
              </w:rPr>
              <w:fldChar w:fldCharType="begin"/>
            </w:r>
            <w:r>
              <w:rPr>
                <w:noProof/>
                <w:webHidden/>
              </w:rPr>
              <w:instrText xml:space="preserve"> PAGEREF _Toc215752346 \h </w:instrText>
            </w:r>
            <w:r>
              <w:rPr>
                <w:noProof/>
                <w:webHidden/>
              </w:rPr>
            </w:r>
            <w:r>
              <w:rPr>
                <w:noProof/>
                <w:webHidden/>
              </w:rPr>
              <w:fldChar w:fldCharType="separate"/>
            </w:r>
            <w:r w:rsidR="00516D17">
              <w:rPr>
                <w:noProof/>
                <w:webHidden/>
              </w:rPr>
              <w:t>4</w:t>
            </w:r>
            <w:r>
              <w:rPr>
                <w:noProof/>
                <w:webHidden/>
              </w:rPr>
              <w:fldChar w:fldCharType="end"/>
            </w:r>
          </w:hyperlink>
        </w:p>
        <w:p w14:paraId="001342B6" w14:textId="7DC59409" w:rsidR="00DB54D5" w:rsidRDefault="00DB54D5">
          <w:pPr>
            <w:pStyle w:val="TOC2"/>
            <w:tabs>
              <w:tab w:val="left" w:pos="960"/>
              <w:tab w:val="right" w:leader="dot" w:pos="9016"/>
            </w:tabs>
            <w:rPr>
              <w:noProof/>
              <w:kern w:val="2"/>
              <w:sz w:val="24"/>
              <w:szCs w:val="24"/>
              <w:lang w:eastAsia="en-AU"/>
              <w14:ligatures w14:val="standardContextual"/>
            </w:rPr>
          </w:pPr>
          <w:hyperlink w:anchor="_Toc215752347" w:history="1">
            <w:r w:rsidRPr="00587DE3">
              <w:rPr>
                <w:rStyle w:val="Hyperlink"/>
                <w:noProof/>
              </w:rPr>
              <w:t>3.1.</w:t>
            </w:r>
            <w:r>
              <w:rPr>
                <w:noProof/>
                <w:kern w:val="2"/>
                <w:sz w:val="24"/>
                <w:szCs w:val="24"/>
                <w:lang w:eastAsia="en-AU"/>
                <w14:ligatures w14:val="standardContextual"/>
              </w:rPr>
              <w:tab/>
            </w:r>
            <w:r w:rsidRPr="00587DE3">
              <w:rPr>
                <w:rStyle w:val="Hyperlink"/>
                <w:noProof/>
              </w:rPr>
              <w:t>Outputs and business processes of the activity</w:t>
            </w:r>
            <w:r>
              <w:rPr>
                <w:noProof/>
                <w:webHidden/>
              </w:rPr>
              <w:tab/>
            </w:r>
            <w:r>
              <w:rPr>
                <w:noProof/>
                <w:webHidden/>
              </w:rPr>
              <w:fldChar w:fldCharType="begin"/>
            </w:r>
            <w:r>
              <w:rPr>
                <w:noProof/>
                <w:webHidden/>
              </w:rPr>
              <w:instrText xml:space="preserve"> PAGEREF _Toc215752347 \h </w:instrText>
            </w:r>
            <w:r>
              <w:rPr>
                <w:noProof/>
                <w:webHidden/>
              </w:rPr>
            </w:r>
            <w:r>
              <w:rPr>
                <w:noProof/>
                <w:webHidden/>
              </w:rPr>
              <w:fldChar w:fldCharType="separate"/>
            </w:r>
            <w:r w:rsidR="00516D17">
              <w:rPr>
                <w:noProof/>
                <w:webHidden/>
              </w:rPr>
              <w:t>4</w:t>
            </w:r>
            <w:r>
              <w:rPr>
                <w:noProof/>
                <w:webHidden/>
              </w:rPr>
              <w:fldChar w:fldCharType="end"/>
            </w:r>
          </w:hyperlink>
        </w:p>
        <w:p w14:paraId="7DF2DDB6" w14:textId="17EB3F92" w:rsidR="00DB54D5" w:rsidRDefault="00DB54D5">
          <w:pPr>
            <w:pStyle w:val="TOC2"/>
            <w:tabs>
              <w:tab w:val="left" w:pos="960"/>
              <w:tab w:val="right" w:leader="dot" w:pos="9016"/>
            </w:tabs>
            <w:rPr>
              <w:noProof/>
              <w:kern w:val="2"/>
              <w:sz w:val="24"/>
              <w:szCs w:val="24"/>
              <w:lang w:eastAsia="en-AU"/>
              <w14:ligatures w14:val="standardContextual"/>
            </w:rPr>
          </w:pPr>
          <w:hyperlink w:anchor="_Toc215752348" w:history="1">
            <w:r w:rsidRPr="00587DE3">
              <w:rPr>
                <w:rStyle w:val="Hyperlink"/>
                <w:noProof/>
              </w:rPr>
              <w:t>3.2.</w:t>
            </w:r>
            <w:r>
              <w:rPr>
                <w:noProof/>
                <w:kern w:val="2"/>
                <w:sz w:val="24"/>
                <w:szCs w:val="24"/>
                <w:lang w:eastAsia="en-AU"/>
                <w14:ligatures w14:val="standardContextual"/>
              </w:rPr>
              <w:tab/>
            </w:r>
            <w:r w:rsidRPr="00587DE3">
              <w:rPr>
                <w:rStyle w:val="Hyperlink"/>
                <w:noProof/>
              </w:rPr>
              <w:t>Costs of the regulatory activity</w:t>
            </w:r>
            <w:r>
              <w:rPr>
                <w:noProof/>
                <w:webHidden/>
              </w:rPr>
              <w:tab/>
            </w:r>
            <w:r>
              <w:rPr>
                <w:noProof/>
                <w:webHidden/>
              </w:rPr>
              <w:fldChar w:fldCharType="begin"/>
            </w:r>
            <w:r>
              <w:rPr>
                <w:noProof/>
                <w:webHidden/>
              </w:rPr>
              <w:instrText xml:space="preserve"> PAGEREF _Toc215752348 \h </w:instrText>
            </w:r>
            <w:r>
              <w:rPr>
                <w:noProof/>
                <w:webHidden/>
              </w:rPr>
            </w:r>
            <w:r>
              <w:rPr>
                <w:noProof/>
                <w:webHidden/>
              </w:rPr>
              <w:fldChar w:fldCharType="separate"/>
            </w:r>
            <w:r w:rsidR="00516D17">
              <w:rPr>
                <w:noProof/>
                <w:webHidden/>
              </w:rPr>
              <w:t>8</w:t>
            </w:r>
            <w:r>
              <w:rPr>
                <w:noProof/>
                <w:webHidden/>
              </w:rPr>
              <w:fldChar w:fldCharType="end"/>
            </w:r>
          </w:hyperlink>
        </w:p>
        <w:p w14:paraId="693085A7" w14:textId="104CE434" w:rsidR="00DB54D5" w:rsidRDefault="00DB54D5">
          <w:pPr>
            <w:pStyle w:val="TOC2"/>
            <w:tabs>
              <w:tab w:val="left" w:pos="960"/>
              <w:tab w:val="right" w:leader="dot" w:pos="9016"/>
            </w:tabs>
            <w:rPr>
              <w:noProof/>
              <w:kern w:val="2"/>
              <w:sz w:val="24"/>
              <w:szCs w:val="24"/>
              <w:lang w:eastAsia="en-AU"/>
              <w14:ligatures w14:val="standardContextual"/>
            </w:rPr>
          </w:pPr>
          <w:hyperlink w:anchor="_Toc215752349" w:history="1">
            <w:r w:rsidRPr="00587DE3">
              <w:rPr>
                <w:rStyle w:val="Hyperlink"/>
                <w:noProof/>
              </w:rPr>
              <w:t>3.3.</w:t>
            </w:r>
            <w:r>
              <w:rPr>
                <w:noProof/>
                <w:kern w:val="2"/>
                <w:sz w:val="24"/>
                <w:szCs w:val="24"/>
                <w:lang w:eastAsia="en-AU"/>
                <w14:ligatures w14:val="standardContextual"/>
              </w:rPr>
              <w:tab/>
            </w:r>
            <w:r w:rsidRPr="00587DE3">
              <w:rPr>
                <w:rStyle w:val="Hyperlink"/>
                <w:noProof/>
              </w:rPr>
              <w:t>Design of the regulatory charge</w:t>
            </w:r>
            <w:r>
              <w:rPr>
                <w:noProof/>
                <w:webHidden/>
              </w:rPr>
              <w:tab/>
            </w:r>
            <w:r>
              <w:rPr>
                <w:noProof/>
                <w:webHidden/>
              </w:rPr>
              <w:fldChar w:fldCharType="begin"/>
            </w:r>
            <w:r>
              <w:rPr>
                <w:noProof/>
                <w:webHidden/>
              </w:rPr>
              <w:instrText xml:space="preserve"> PAGEREF _Toc215752349 \h </w:instrText>
            </w:r>
            <w:r>
              <w:rPr>
                <w:noProof/>
                <w:webHidden/>
              </w:rPr>
            </w:r>
            <w:r>
              <w:rPr>
                <w:noProof/>
                <w:webHidden/>
              </w:rPr>
              <w:fldChar w:fldCharType="separate"/>
            </w:r>
            <w:r w:rsidR="00516D17">
              <w:rPr>
                <w:noProof/>
                <w:webHidden/>
              </w:rPr>
              <w:t>12</w:t>
            </w:r>
            <w:r>
              <w:rPr>
                <w:noProof/>
                <w:webHidden/>
              </w:rPr>
              <w:fldChar w:fldCharType="end"/>
            </w:r>
          </w:hyperlink>
        </w:p>
        <w:p w14:paraId="05844CEF" w14:textId="2AF07AEE" w:rsidR="00DB54D5" w:rsidRDefault="00DB54D5">
          <w:pPr>
            <w:pStyle w:val="TOC1"/>
            <w:tabs>
              <w:tab w:val="left" w:pos="480"/>
              <w:tab w:val="right" w:leader="dot" w:pos="9016"/>
            </w:tabs>
            <w:rPr>
              <w:noProof/>
              <w:kern w:val="2"/>
              <w:sz w:val="24"/>
              <w:szCs w:val="24"/>
              <w:lang w:eastAsia="en-AU"/>
              <w14:ligatures w14:val="standardContextual"/>
            </w:rPr>
          </w:pPr>
          <w:hyperlink w:anchor="_Toc215752350" w:history="1">
            <w:r w:rsidRPr="00587DE3">
              <w:rPr>
                <w:rStyle w:val="Hyperlink"/>
                <w:noProof/>
              </w:rPr>
              <w:t>4.</w:t>
            </w:r>
            <w:r>
              <w:rPr>
                <w:noProof/>
                <w:kern w:val="2"/>
                <w:sz w:val="24"/>
                <w:szCs w:val="24"/>
                <w:lang w:eastAsia="en-AU"/>
                <w14:ligatures w14:val="standardContextual"/>
              </w:rPr>
              <w:tab/>
            </w:r>
            <w:r w:rsidRPr="00587DE3">
              <w:rPr>
                <w:rStyle w:val="Hyperlink"/>
                <w:noProof/>
              </w:rPr>
              <w:t>RISK ASSESSMENT</w:t>
            </w:r>
            <w:r>
              <w:rPr>
                <w:noProof/>
                <w:webHidden/>
              </w:rPr>
              <w:tab/>
            </w:r>
            <w:r>
              <w:rPr>
                <w:noProof/>
                <w:webHidden/>
              </w:rPr>
              <w:fldChar w:fldCharType="begin"/>
            </w:r>
            <w:r>
              <w:rPr>
                <w:noProof/>
                <w:webHidden/>
              </w:rPr>
              <w:instrText xml:space="preserve"> PAGEREF _Toc215752350 \h </w:instrText>
            </w:r>
            <w:r>
              <w:rPr>
                <w:noProof/>
                <w:webHidden/>
              </w:rPr>
            </w:r>
            <w:r>
              <w:rPr>
                <w:noProof/>
                <w:webHidden/>
              </w:rPr>
              <w:fldChar w:fldCharType="separate"/>
            </w:r>
            <w:r w:rsidR="00516D17">
              <w:rPr>
                <w:noProof/>
                <w:webHidden/>
              </w:rPr>
              <w:t>19</w:t>
            </w:r>
            <w:r>
              <w:rPr>
                <w:noProof/>
                <w:webHidden/>
              </w:rPr>
              <w:fldChar w:fldCharType="end"/>
            </w:r>
          </w:hyperlink>
        </w:p>
        <w:p w14:paraId="3F882A91" w14:textId="760F9B32" w:rsidR="00DB54D5" w:rsidRDefault="00DB54D5">
          <w:pPr>
            <w:pStyle w:val="TOC1"/>
            <w:tabs>
              <w:tab w:val="left" w:pos="480"/>
              <w:tab w:val="right" w:leader="dot" w:pos="9016"/>
            </w:tabs>
            <w:rPr>
              <w:noProof/>
              <w:kern w:val="2"/>
              <w:sz w:val="24"/>
              <w:szCs w:val="24"/>
              <w:lang w:eastAsia="en-AU"/>
              <w14:ligatures w14:val="standardContextual"/>
            </w:rPr>
          </w:pPr>
          <w:hyperlink w:anchor="_Toc215752351" w:history="1">
            <w:r w:rsidRPr="00587DE3">
              <w:rPr>
                <w:rStyle w:val="Hyperlink"/>
                <w:noProof/>
              </w:rPr>
              <w:t>5.</w:t>
            </w:r>
            <w:r>
              <w:rPr>
                <w:noProof/>
                <w:kern w:val="2"/>
                <w:sz w:val="24"/>
                <w:szCs w:val="24"/>
                <w:lang w:eastAsia="en-AU"/>
                <w14:ligatures w14:val="standardContextual"/>
              </w:rPr>
              <w:tab/>
            </w:r>
            <w:r w:rsidRPr="00587DE3">
              <w:rPr>
                <w:rStyle w:val="Hyperlink"/>
                <w:noProof/>
              </w:rPr>
              <w:t>STAKEHOLDER ENGAGEMENT</w:t>
            </w:r>
            <w:r>
              <w:rPr>
                <w:noProof/>
                <w:webHidden/>
              </w:rPr>
              <w:tab/>
            </w:r>
            <w:r>
              <w:rPr>
                <w:noProof/>
                <w:webHidden/>
              </w:rPr>
              <w:fldChar w:fldCharType="begin"/>
            </w:r>
            <w:r>
              <w:rPr>
                <w:noProof/>
                <w:webHidden/>
              </w:rPr>
              <w:instrText xml:space="preserve"> PAGEREF _Toc215752351 \h </w:instrText>
            </w:r>
            <w:r>
              <w:rPr>
                <w:noProof/>
                <w:webHidden/>
              </w:rPr>
            </w:r>
            <w:r>
              <w:rPr>
                <w:noProof/>
                <w:webHidden/>
              </w:rPr>
              <w:fldChar w:fldCharType="separate"/>
            </w:r>
            <w:r w:rsidR="00516D17">
              <w:rPr>
                <w:noProof/>
                <w:webHidden/>
              </w:rPr>
              <w:t>19</w:t>
            </w:r>
            <w:r>
              <w:rPr>
                <w:noProof/>
                <w:webHidden/>
              </w:rPr>
              <w:fldChar w:fldCharType="end"/>
            </w:r>
          </w:hyperlink>
        </w:p>
        <w:p w14:paraId="65D5C9ED" w14:textId="54C8D0BF" w:rsidR="00DB54D5" w:rsidRDefault="00DB54D5">
          <w:pPr>
            <w:pStyle w:val="TOC1"/>
            <w:tabs>
              <w:tab w:val="left" w:pos="480"/>
              <w:tab w:val="right" w:leader="dot" w:pos="9016"/>
            </w:tabs>
            <w:rPr>
              <w:noProof/>
              <w:kern w:val="2"/>
              <w:sz w:val="24"/>
              <w:szCs w:val="24"/>
              <w:lang w:eastAsia="en-AU"/>
              <w14:ligatures w14:val="standardContextual"/>
            </w:rPr>
          </w:pPr>
          <w:hyperlink w:anchor="_Toc215752352" w:history="1">
            <w:r w:rsidRPr="00587DE3">
              <w:rPr>
                <w:rStyle w:val="Hyperlink"/>
                <w:noProof/>
              </w:rPr>
              <w:t>6.</w:t>
            </w:r>
            <w:r>
              <w:rPr>
                <w:noProof/>
                <w:kern w:val="2"/>
                <w:sz w:val="24"/>
                <w:szCs w:val="24"/>
                <w:lang w:eastAsia="en-AU"/>
                <w14:ligatures w14:val="standardContextual"/>
              </w:rPr>
              <w:tab/>
            </w:r>
            <w:r w:rsidRPr="00587DE3">
              <w:rPr>
                <w:rStyle w:val="Hyperlink"/>
                <w:noProof/>
              </w:rPr>
              <w:t>FINANCIAL PERFORMANCE</w:t>
            </w:r>
            <w:r>
              <w:rPr>
                <w:noProof/>
                <w:webHidden/>
              </w:rPr>
              <w:tab/>
            </w:r>
            <w:r>
              <w:rPr>
                <w:noProof/>
                <w:webHidden/>
              </w:rPr>
              <w:fldChar w:fldCharType="begin"/>
            </w:r>
            <w:r>
              <w:rPr>
                <w:noProof/>
                <w:webHidden/>
              </w:rPr>
              <w:instrText xml:space="preserve"> PAGEREF _Toc215752352 \h </w:instrText>
            </w:r>
            <w:r>
              <w:rPr>
                <w:noProof/>
                <w:webHidden/>
              </w:rPr>
            </w:r>
            <w:r>
              <w:rPr>
                <w:noProof/>
                <w:webHidden/>
              </w:rPr>
              <w:fldChar w:fldCharType="separate"/>
            </w:r>
            <w:r w:rsidR="00516D17">
              <w:rPr>
                <w:noProof/>
                <w:webHidden/>
              </w:rPr>
              <w:t>20</w:t>
            </w:r>
            <w:r>
              <w:rPr>
                <w:noProof/>
                <w:webHidden/>
              </w:rPr>
              <w:fldChar w:fldCharType="end"/>
            </w:r>
          </w:hyperlink>
        </w:p>
        <w:p w14:paraId="55B06D5A" w14:textId="23DC2D4E" w:rsidR="00DB54D5" w:rsidRDefault="00DB54D5">
          <w:pPr>
            <w:pStyle w:val="TOC2"/>
            <w:tabs>
              <w:tab w:val="left" w:pos="960"/>
              <w:tab w:val="right" w:leader="dot" w:pos="9016"/>
            </w:tabs>
            <w:rPr>
              <w:noProof/>
              <w:kern w:val="2"/>
              <w:sz w:val="24"/>
              <w:szCs w:val="24"/>
              <w:lang w:eastAsia="en-AU"/>
              <w14:ligatures w14:val="standardContextual"/>
            </w:rPr>
          </w:pPr>
          <w:hyperlink w:anchor="_Toc215752353" w:history="1">
            <w:r w:rsidRPr="00587DE3">
              <w:rPr>
                <w:rStyle w:val="Hyperlink"/>
                <w:noProof/>
              </w:rPr>
              <w:t>6.1.</w:t>
            </w:r>
            <w:r>
              <w:rPr>
                <w:noProof/>
                <w:kern w:val="2"/>
                <w:sz w:val="24"/>
                <w:szCs w:val="24"/>
                <w:lang w:eastAsia="en-AU"/>
                <w14:ligatures w14:val="standardContextual"/>
              </w:rPr>
              <w:tab/>
            </w:r>
            <w:r w:rsidRPr="00587DE3">
              <w:rPr>
                <w:rStyle w:val="Hyperlink"/>
                <w:noProof/>
              </w:rPr>
              <w:t>Financial Estimates</w:t>
            </w:r>
            <w:r>
              <w:rPr>
                <w:noProof/>
                <w:webHidden/>
              </w:rPr>
              <w:tab/>
            </w:r>
            <w:r>
              <w:rPr>
                <w:noProof/>
                <w:webHidden/>
              </w:rPr>
              <w:fldChar w:fldCharType="begin"/>
            </w:r>
            <w:r>
              <w:rPr>
                <w:noProof/>
                <w:webHidden/>
              </w:rPr>
              <w:instrText xml:space="preserve"> PAGEREF _Toc215752353 \h </w:instrText>
            </w:r>
            <w:r>
              <w:rPr>
                <w:noProof/>
                <w:webHidden/>
              </w:rPr>
            </w:r>
            <w:r>
              <w:rPr>
                <w:noProof/>
                <w:webHidden/>
              </w:rPr>
              <w:fldChar w:fldCharType="separate"/>
            </w:r>
            <w:r w:rsidR="00516D17">
              <w:rPr>
                <w:noProof/>
                <w:webHidden/>
              </w:rPr>
              <w:t>20</w:t>
            </w:r>
            <w:r>
              <w:rPr>
                <w:noProof/>
                <w:webHidden/>
              </w:rPr>
              <w:fldChar w:fldCharType="end"/>
            </w:r>
          </w:hyperlink>
        </w:p>
        <w:p w14:paraId="6C5FF0E1" w14:textId="5D504103" w:rsidR="00DB54D5" w:rsidRDefault="00DB54D5">
          <w:pPr>
            <w:pStyle w:val="TOC2"/>
            <w:tabs>
              <w:tab w:val="left" w:pos="960"/>
              <w:tab w:val="right" w:leader="dot" w:pos="9016"/>
            </w:tabs>
            <w:rPr>
              <w:noProof/>
              <w:kern w:val="2"/>
              <w:sz w:val="24"/>
              <w:szCs w:val="24"/>
              <w:lang w:eastAsia="en-AU"/>
              <w14:ligatures w14:val="standardContextual"/>
            </w:rPr>
          </w:pPr>
          <w:hyperlink w:anchor="_Toc215752354" w:history="1">
            <w:r w:rsidRPr="00587DE3">
              <w:rPr>
                <w:rStyle w:val="Hyperlink"/>
                <w:noProof/>
              </w:rPr>
              <w:t>6.2.</w:t>
            </w:r>
            <w:r>
              <w:rPr>
                <w:noProof/>
                <w:kern w:val="2"/>
                <w:sz w:val="24"/>
                <w:szCs w:val="24"/>
                <w:lang w:eastAsia="en-AU"/>
                <w14:ligatures w14:val="standardContextual"/>
              </w:rPr>
              <w:tab/>
            </w:r>
            <w:r w:rsidRPr="00587DE3">
              <w:rPr>
                <w:rStyle w:val="Hyperlink"/>
                <w:noProof/>
              </w:rPr>
              <w:t>Financial Outcomes</w:t>
            </w:r>
            <w:r>
              <w:rPr>
                <w:noProof/>
                <w:webHidden/>
              </w:rPr>
              <w:tab/>
            </w:r>
            <w:r>
              <w:rPr>
                <w:noProof/>
                <w:webHidden/>
              </w:rPr>
              <w:fldChar w:fldCharType="begin"/>
            </w:r>
            <w:r>
              <w:rPr>
                <w:noProof/>
                <w:webHidden/>
              </w:rPr>
              <w:instrText xml:space="preserve"> PAGEREF _Toc215752354 \h </w:instrText>
            </w:r>
            <w:r>
              <w:rPr>
                <w:noProof/>
                <w:webHidden/>
              </w:rPr>
            </w:r>
            <w:r>
              <w:rPr>
                <w:noProof/>
                <w:webHidden/>
              </w:rPr>
              <w:fldChar w:fldCharType="separate"/>
            </w:r>
            <w:r w:rsidR="00516D17">
              <w:rPr>
                <w:noProof/>
                <w:webHidden/>
              </w:rPr>
              <w:t>20</w:t>
            </w:r>
            <w:r>
              <w:rPr>
                <w:noProof/>
                <w:webHidden/>
              </w:rPr>
              <w:fldChar w:fldCharType="end"/>
            </w:r>
          </w:hyperlink>
        </w:p>
        <w:p w14:paraId="37A8EA1D" w14:textId="6EA2DAB8" w:rsidR="00DB54D5" w:rsidRDefault="00DB54D5">
          <w:pPr>
            <w:pStyle w:val="TOC1"/>
            <w:tabs>
              <w:tab w:val="left" w:pos="480"/>
              <w:tab w:val="right" w:leader="dot" w:pos="9016"/>
            </w:tabs>
            <w:rPr>
              <w:noProof/>
              <w:kern w:val="2"/>
              <w:sz w:val="24"/>
              <w:szCs w:val="24"/>
              <w:lang w:eastAsia="en-AU"/>
              <w14:ligatures w14:val="standardContextual"/>
            </w:rPr>
          </w:pPr>
          <w:hyperlink w:anchor="_Toc215752355" w:history="1">
            <w:r w:rsidRPr="00587DE3">
              <w:rPr>
                <w:rStyle w:val="Hyperlink"/>
                <w:noProof/>
              </w:rPr>
              <w:t>7.</w:t>
            </w:r>
            <w:r>
              <w:rPr>
                <w:noProof/>
                <w:kern w:val="2"/>
                <w:sz w:val="24"/>
                <w:szCs w:val="24"/>
                <w:lang w:eastAsia="en-AU"/>
                <w14:ligatures w14:val="standardContextual"/>
              </w:rPr>
              <w:tab/>
            </w:r>
            <w:r w:rsidRPr="00587DE3">
              <w:rPr>
                <w:rStyle w:val="Hyperlink"/>
                <w:noProof/>
              </w:rPr>
              <w:t>NON-FINANCIAL PERFORMANCE</w:t>
            </w:r>
            <w:r>
              <w:rPr>
                <w:noProof/>
                <w:webHidden/>
              </w:rPr>
              <w:tab/>
            </w:r>
            <w:r>
              <w:rPr>
                <w:noProof/>
                <w:webHidden/>
              </w:rPr>
              <w:fldChar w:fldCharType="begin"/>
            </w:r>
            <w:r>
              <w:rPr>
                <w:noProof/>
                <w:webHidden/>
              </w:rPr>
              <w:instrText xml:space="preserve"> PAGEREF _Toc215752355 \h </w:instrText>
            </w:r>
            <w:r>
              <w:rPr>
                <w:noProof/>
                <w:webHidden/>
              </w:rPr>
            </w:r>
            <w:r>
              <w:rPr>
                <w:noProof/>
                <w:webHidden/>
              </w:rPr>
              <w:fldChar w:fldCharType="separate"/>
            </w:r>
            <w:r w:rsidR="00516D17">
              <w:rPr>
                <w:noProof/>
                <w:webHidden/>
              </w:rPr>
              <w:t>20</w:t>
            </w:r>
            <w:r>
              <w:rPr>
                <w:noProof/>
                <w:webHidden/>
              </w:rPr>
              <w:fldChar w:fldCharType="end"/>
            </w:r>
          </w:hyperlink>
        </w:p>
        <w:p w14:paraId="662A3678" w14:textId="3DEBA96B" w:rsidR="00DB54D5" w:rsidRDefault="00DB54D5">
          <w:pPr>
            <w:pStyle w:val="TOC1"/>
            <w:tabs>
              <w:tab w:val="left" w:pos="480"/>
              <w:tab w:val="right" w:leader="dot" w:pos="9016"/>
            </w:tabs>
            <w:rPr>
              <w:noProof/>
              <w:kern w:val="2"/>
              <w:sz w:val="24"/>
              <w:szCs w:val="24"/>
              <w:lang w:eastAsia="en-AU"/>
              <w14:ligatures w14:val="standardContextual"/>
            </w:rPr>
          </w:pPr>
          <w:hyperlink w:anchor="_Toc215752356" w:history="1">
            <w:r w:rsidRPr="00587DE3">
              <w:rPr>
                <w:rStyle w:val="Hyperlink"/>
                <w:noProof/>
              </w:rPr>
              <w:t>8.</w:t>
            </w:r>
            <w:r>
              <w:rPr>
                <w:noProof/>
                <w:kern w:val="2"/>
                <w:sz w:val="24"/>
                <w:szCs w:val="24"/>
                <w:lang w:eastAsia="en-AU"/>
                <w14:ligatures w14:val="standardContextual"/>
              </w:rPr>
              <w:tab/>
            </w:r>
            <w:r w:rsidRPr="00587DE3">
              <w:rPr>
                <w:rStyle w:val="Hyperlink"/>
                <w:noProof/>
              </w:rPr>
              <w:t>KEY FORWARD DATES AND EVENTS</w:t>
            </w:r>
            <w:r>
              <w:rPr>
                <w:noProof/>
                <w:webHidden/>
              </w:rPr>
              <w:tab/>
            </w:r>
            <w:r>
              <w:rPr>
                <w:noProof/>
                <w:webHidden/>
              </w:rPr>
              <w:fldChar w:fldCharType="begin"/>
            </w:r>
            <w:r>
              <w:rPr>
                <w:noProof/>
                <w:webHidden/>
              </w:rPr>
              <w:instrText xml:space="preserve"> PAGEREF _Toc215752356 \h </w:instrText>
            </w:r>
            <w:r>
              <w:rPr>
                <w:noProof/>
                <w:webHidden/>
              </w:rPr>
            </w:r>
            <w:r>
              <w:rPr>
                <w:noProof/>
                <w:webHidden/>
              </w:rPr>
              <w:fldChar w:fldCharType="separate"/>
            </w:r>
            <w:r w:rsidR="00516D17">
              <w:rPr>
                <w:noProof/>
                <w:webHidden/>
              </w:rPr>
              <w:t>22</w:t>
            </w:r>
            <w:r>
              <w:rPr>
                <w:noProof/>
                <w:webHidden/>
              </w:rPr>
              <w:fldChar w:fldCharType="end"/>
            </w:r>
          </w:hyperlink>
        </w:p>
        <w:p w14:paraId="7C7894EC" w14:textId="6BCE8784" w:rsidR="00DB54D5" w:rsidRDefault="00DB54D5">
          <w:pPr>
            <w:pStyle w:val="TOC1"/>
            <w:tabs>
              <w:tab w:val="left" w:pos="480"/>
              <w:tab w:val="right" w:leader="dot" w:pos="9016"/>
            </w:tabs>
            <w:rPr>
              <w:noProof/>
              <w:kern w:val="2"/>
              <w:sz w:val="24"/>
              <w:szCs w:val="24"/>
              <w:lang w:eastAsia="en-AU"/>
              <w14:ligatures w14:val="standardContextual"/>
            </w:rPr>
          </w:pPr>
          <w:hyperlink w:anchor="_Toc215752357" w:history="1">
            <w:r w:rsidRPr="00587DE3">
              <w:rPr>
                <w:rStyle w:val="Hyperlink"/>
                <w:noProof/>
              </w:rPr>
              <w:t>9.</w:t>
            </w:r>
            <w:r>
              <w:rPr>
                <w:noProof/>
                <w:kern w:val="2"/>
                <w:sz w:val="24"/>
                <w:szCs w:val="24"/>
                <w:lang w:eastAsia="en-AU"/>
                <w14:ligatures w14:val="standardContextual"/>
              </w:rPr>
              <w:tab/>
            </w:r>
            <w:r w:rsidRPr="00587DE3">
              <w:rPr>
                <w:rStyle w:val="Hyperlink"/>
                <w:noProof/>
              </w:rPr>
              <w:t>CRIS APPROVAL AND CHANGE REGISTER</w:t>
            </w:r>
            <w:r>
              <w:rPr>
                <w:noProof/>
                <w:webHidden/>
              </w:rPr>
              <w:tab/>
            </w:r>
            <w:r>
              <w:rPr>
                <w:noProof/>
                <w:webHidden/>
              </w:rPr>
              <w:fldChar w:fldCharType="begin"/>
            </w:r>
            <w:r>
              <w:rPr>
                <w:noProof/>
                <w:webHidden/>
              </w:rPr>
              <w:instrText xml:space="preserve"> PAGEREF _Toc215752357 \h </w:instrText>
            </w:r>
            <w:r>
              <w:rPr>
                <w:noProof/>
                <w:webHidden/>
              </w:rPr>
            </w:r>
            <w:r>
              <w:rPr>
                <w:noProof/>
                <w:webHidden/>
              </w:rPr>
              <w:fldChar w:fldCharType="separate"/>
            </w:r>
            <w:r w:rsidR="00516D17">
              <w:rPr>
                <w:noProof/>
                <w:webHidden/>
              </w:rPr>
              <w:t>22</w:t>
            </w:r>
            <w:r>
              <w:rPr>
                <w:noProof/>
                <w:webHidden/>
              </w:rPr>
              <w:fldChar w:fldCharType="end"/>
            </w:r>
          </w:hyperlink>
        </w:p>
        <w:p w14:paraId="151890B6" w14:textId="38F62130" w:rsidR="00016586" w:rsidRDefault="00016586">
          <w:r>
            <w:rPr>
              <w:b/>
              <w:bCs/>
              <w:noProof/>
            </w:rPr>
            <w:fldChar w:fldCharType="end"/>
          </w:r>
        </w:p>
      </w:sdtContent>
    </w:sdt>
    <w:p w14:paraId="6D595F5F" w14:textId="7A3960E4" w:rsidR="00016586" w:rsidRDefault="00016586" w:rsidP="00DB42A5"/>
    <w:p w14:paraId="064715AD" w14:textId="30619971" w:rsidR="006B567F" w:rsidRDefault="006B567F" w:rsidP="00DB42A5"/>
    <w:p w14:paraId="2B484ED5" w14:textId="6E6698AB" w:rsidR="006B567F" w:rsidRDefault="006B567F" w:rsidP="00DB42A5"/>
    <w:p w14:paraId="70FBC8E3" w14:textId="4C6D7EB0" w:rsidR="006B567F" w:rsidRDefault="006B567F" w:rsidP="00DB42A5"/>
    <w:p w14:paraId="1FA212D0" w14:textId="77777777" w:rsidR="006B567F" w:rsidRDefault="006B567F" w:rsidP="00DB42A5"/>
    <w:p w14:paraId="63590DAE" w14:textId="77777777" w:rsidR="001F3F05" w:rsidRDefault="001F3F05">
      <w:pPr>
        <w:spacing w:after="160" w:line="259" w:lineRule="auto"/>
      </w:pPr>
      <w:r>
        <w:br w:type="page"/>
      </w:r>
    </w:p>
    <w:p w14:paraId="7E1F2276" w14:textId="2A7D339B" w:rsidR="001F3F05" w:rsidRPr="00D57921" w:rsidRDefault="00063557" w:rsidP="00AF30D7">
      <w:pPr>
        <w:pStyle w:val="Heading1"/>
        <w:numPr>
          <w:ilvl w:val="0"/>
          <w:numId w:val="2"/>
        </w:numPr>
      </w:pPr>
      <w:bookmarkStart w:id="10" w:name="_Toc215752340"/>
      <w:r w:rsidRPr="00D57921">
        <w:lastRenderedPageBreak/>
        <w:t>INTRODUCTION</w:t>
      </w:r>
      <w:bookmarkEnd w:id="10"/>
    </w:p>
    <w:p w14:paraId="3C19F25B" w14:textId="3F26AC94" w:rsidR="00165B41" w:rsidRPr="000F6B09" w:rsidRDefault="001F3F05" w:rsidP="00AF30D7">
      <w:pPr>
        <w:pStyle w:val="Heading2"/>
        <w:numPr>
          <w:ilvl w:val="1"/>
          <w:numId w:val="2"/>
        </w:numPr>
        <w:ind w:left="426"/>
        <w:rPr>
          <w:color w:val="auto"/>
        </w:rPr>
      </w:pPr>
      <w:bookmarkStart w:id="11" w:name="_Toc215752341"/>
      <w:r w:rsidRPr="000F6B09">
        <w:rPr>
          <w:color w:val="auto"/>
        </w:rPr>
        <w:t>Purpose</w:t>
      </w:r>
      <w:bookmarkEnd w:id="11"/>
    </w:p>
    <w:p w14:paraId="18B817E2" w14:textId="41DDCE2E" w:rsidR="00F03C83" w:rsidRPr="00016586" w:rsidRDefault="002B7C0F" w:rsidP="51FF8415">
      <w:pPr>
        <w:spacing w:before="120"/>
        <w:rPr>
          <w:rFonts w:cs="Times New Roman"/>
          <w:sz w:val="24"/>
          <w:szCs w:val="24"/>
        </w:rPr>
      </w:pPr>
      <w:r w:rsidRPr="00FC39FD">
        <w:rPr>
          <w:rFonts w:cstheme="minorHAnsi"/>
        </w:rPr>
        <w:t xml:space="preserve">NOPTA’s purpose is to administer titles and data management for petroleum and GHG titles in Australian Commonwealth waters. </w:t>
      </w:r>
      <w:r w:rsidR="0FE8EE63" w:rsidRPr="51FF8415">
        <w:rPr>
          <w:rFonts w:eastAsia="SimSun"/>
        </w:rPr>
        <w:t xml:space="preserve">This Cost Recovery Implementation Statement (CRIS) </w:t>
      </w:r>
      <w:r w:rsidR="58AC7556" w:rsidRPr="51FF8415">
        <w:rPr>
          <w:rFonts w:eastAsia="SimSun"/>
        </w:rPr>
        <w:t>-</w:t>
      </w:r>
      <w:r w:rsidR="00B96DD2">
        <w:rPr>
          <w:rFonts w:eastAsia="SimSun"/>
        </w:rPr>
        <w:t xml:space="preserve"> </w:t>
      </w:r>
      <w:r w:rsidR="58AC7556" w:rsidRPr="51FF8415">
        <w:rPr>
          <w:rFonts w:eastAsia="SimSun"/>
        </w:rPr>
        <w:t>outlines</w:t>
      </w:r>
      <w:r w:rsidR="0FE8EE63" w:rsidRPr="51FF8415">
        <w:rPr>
          <w:rFonts w:eastAsia="SimSun"/>
        </w:rPr>
        <w:t xml:space="preserve"> how </w:t>
      </w:r>
      <w:r w:rsidR="5A0C0814" w:rsidRPr="51FF8415">
        <w:rPr>
          <w:rFonts w:eastAsia="SimSun"/>
        </w:rPr>
        <w:t>the National Offshore Petroleum Titles Administrator (NOPTA)</w:t>
      </w:r>
      <w:r w:rsidR="0FE8EE63" w:rsidRPr="51FF8415">
        <w:rPr>
          <w:rFonts w:eastAsia="SimSun"/>
        </w:rPr>
        <w:t xml:space="preserve"> implements </w:t>
      </w:r>
      <w:r w:rsidR="33850E63" w:rsidRPr="51FF8415">
        <w:rPr>
          <w:rFonts w:eastAsia="SimSun"/>
        </w:rPr>
        <w:t xml:space="preserve">cost recovery </w:t>
      </w:r>
      <w:r w:rsidR="0FE8EE63" w:rsidRPr="51FF8415">
        <w:rPr>
          <w:rFonts w:eastAsia="SimSun"/>
        </w:rPr>
        <w:t>charging</w:t>
      </w:r>
      <w:r w:rsidR="75848ACD" w:rsidRPr="51FF8415">
        <w:rPr>
          <w:rFonts w:eastAsia="SimSun"/>
        </w:rPr>
        <w:t xml:space="preserve"> </w:t>
      </w:r>
      <w:r w:rsidR="0FE8EE63" w:rsidRPr="51FF8415">
        <w:rPr>
          <w:rFonts w:eastAsia="SimSun"/>
        </w:rPr>
        <w:t xml:space="preserve">for </w:t>
      </w:r>
      <w:r w:rsidR="5A0C0814">
        <w:t xml:space="preserve">the administration of offshore petroleum and greenhouse gas (GHG) storage titles (titles administration) under the </w:t>
      </w:r>
      <w:r w:rsidR="5A0C0814" w:rsidRPr="57F2F6E5">
        <w:rPr>
          <w:i/>
          <w:iCs/>
        </w:rPr>
        <w:t>Offshore Petroleum and Greenhouse Gas Storage Act 2006</w:t>
      </w:r>
      <w:r w:rsidR="5A0C0814">
        <w:t xml:space="preserve"> (the OPGGS Act)</w:t>
      </w:r>
      <w:r w:rsidR="00A14C35">
        <w:rPr>
          <w:rStyle w:val="FootnoteReference"/>
        </w:rPr>
        <w:footnoteReference w:id="2"/>
      </w:r>
      <w:r w:rsidR="5A0C0814">
        <w:t xml:space="preserve">, the </w:t>
      </w:r>
      <w:r w:rsidR="5A0C0814" w:rsidRPr="57F2F6E5">
        <w:rPr>
          <w:i/>
          <w:iCs/>
        </w:rPr>
        <w:t>Offshore Petroleum and Greenhouse Gas Storage (Regulatory Levies) Act 2003</w:t>
      </w:r>
      <w:r w:rsidR="5A0C0814">
        <w:t xml:space="preserve"> (the Levies Act)</w:t>
      </w:r>
      <w:r w:rsidR="00A14C35">
        <w:rPr>
          <w:rStyle w:val="FootnoteReference"/>
        </w:rPr>
        <w:footnoteReference w:id="3"/>
      </w:r>
      <w:r w:rsidR="5A0C0814">
        <w:t>, and associated regulations.</w:t>
      </w:r>
      <w:r w:rsidR="0FE8EE63" w:rsidRPr="51FF8415">
        <w:rPr>
          <w:rFonts w:eastAsia="SimSun"/>
        </w:rPr>
        <w:t xml:space="preserve"> </w:t>
      </w:r>
      <w:r w:rsidR="009427A1">
        <w:rPr>
          <w:rFonts w:eastAsia="SimSun"/>
        </w:rPr>
        <w:t>Sta</w:t>
      </w:r>
      <w:r w:rsidR="007C5FBD">
        <w:rPr>
          <w:rFonts w:eastAsia="SimSun"/>
        </w:rPr>
        <w:t>keholders that may be impacted by the charges presented in this CRIS include</w:t>
      </w:r>
      <w:r w:rsidR="00592500">
        <w:rPr>
          <w:rFonts w:eastAsia="SimSun"/>
        </w:rPr>
        <w:t xml:space="preserve"> offshore </w:t>
      </w:r>
      <w:r w:rsidR="003A3DC2">
        <w:rPr>
          <w:rFonts w:eastAsia="SimSun"/>
        </w:rPr>
        <w:t>petrol</w:t>
      </w:r>
      <w:r w:rsidR="00D31B6D">
        <w:rPr>
          <w:rFonts w:eastAsia="SimSun"/>
        </w:rPr>
        <w:t>eum</w:t>
      </w:r>
      <w:r w:rsidR="00D578EB">
        <w:rPr>
          <w:rFonts w:eastAsia="SimSun"/>
        </w:rPr>
        <w:t xml:space="preserve"> and greenhouse </w:t>
      </w:r>
      <w:r w:rsidR="00CF48C3">
        <w:rPr>
          <w:rFonts w:eastAsia="SimSun"/>
        </w:rPr>
        <w:t>gas</w:t>
      </w:r>
      <w:r w:rsidR="008A1E78">
        <w:rPr>
          <w:rFonts w:eastAsia="SimSun"/>
        </w:rPr>
        <w:t xml:space="preserve"> industry participants </w:t>
      </w:r>
      <w:r w:rsidR="0024372F">
        <w:rPr>
          <w:rFonts w:eastAsia="SimSun"/>
        </w:rPr>
        <w:t>operating in Australian Commonwealth waters</w:t>
      </w:r>
      <w:r w:rsidR="003F0E7E">
        <w:rPr>
          <w:rFonts w:eastAsia="SimSun"/>
        </w:rPr>
        <w:t xml:space="preserve">. </w:t>
      </w:r>
      <w:r w:rsidR="001C077B">
        <w:rPr>
          <w:rFonts w:eastAsia="SimSun"/>
        </w:rPr>
        <w:t>Participants include</w:t>
      </w:r>
      <w:r w:rsidR="00290972">
        <w:rPr>
          <w:rFonts w:eastAsia="SimSun"/>
        </w:rPr>
        <w:t xml:space="preserve"> tit</w:t>
      </w:r>
      <w:r w:rsidR="008B7BF0">
        <w:rPr>
          <w:rFonts w:eastAsia="SimSun"/>
        </w:rPr>
        <w:t>l</w:t>
      </w:r>
      <w:r w:rsidR="00290972">
        <w:rPr>
          <w:rFonts w:eastAsia="SimSun"/>
        </w:rPr>
        <w:t xml:space="preserve">eholders and </w:t>
      </w:r>
      <w:r w:rsidR="00D868C8">
        <w:rPr>
          <w:rFonts w:eastAsia="SimSun"/>
        </w:rPr>
        <w:t>applicants</w:t>
      </w:r>
      <w:r w:rsidR="00D578EB">
        <w:rPr>
          <w:rFonts w:eastAsia="SimSun"/>
        </w:rPr>
        <w:t xml:space="preserve"> </w:t>
      </w:r>
      <w:r w:rsidR="003F0E7E">
        <w:rPr>
          <w:rFonts w:eastAsia="SimSun"/>
        </w:rPr>
        <w:t>and/</w:t>
      </w:r>
      <w:r w:rsidR="00D578EB">
        <w:rPr>
          <w:rFonts w:eastAsia="SimSun"/>
        </w:rPr>
        <w:t>or those</w:t>
      </w:r>
      <w:r w:rsidR="00E074B2">
        <w:rPr>
          <w:rFonts w:eastAsia="SimSun"/>
        </w:rPr>
        <w:t xml:space="preserve"> undertaking </w:t>
      </w:r>
      <w:r w:rsidR="007A2071">
        <w:rPr>
          <w:rFonts w:eastAsia="SimSun"/>
        </w:rPr>
        <w:t xml:space="preserve">or wishing to undertake </w:t>
      </w:r>
      <w:r w:rsidR="00E074B2">
        <w:rPr>
          <w:rFonts w:eastAsia="SimSun"/>
        </w:rPr>
        <w:t xml:space="preserve">activities </w:t>
      </w:r>
      <w:r w:rsidR="00A54959">
        <w:rPr>
          <w:rFonts w:eastAsia="SimSun"/>
        </w:rPr>
        <w:t>administer</w:t>
      </w:r>
      <w:r w:rsidR="00E074B2">
        <w:rPr>
          <w:rFonts w:eastAsia="SimSun"/>
        </w:rPr>
        <w:t>ed by</w:t>
      </w:r>
      <w:r w:rsidR="007A2071">
        <w:rPr>
          <w:rFonts w:eastAsia="SimSun"/>
        </w:rPr>
        <w:t xml:space="preserve"> the OPGGS Act</w:t>
      </w:r>
      <w:r w:rsidR="008B7BF0">
        <w:rPr>
          <w:rFonts w:eastAsia="SimSun"/>
        </w:rPr>
        <w:t>.</w:t>
      </w:r>
    </w:p>
    <w:p w14:paraId="1BC6EFEA" w14:textId="4FE749E7" w:rsidR="00F03C83" w:rsidRPr="00016586" w:rsidRDefault="0FE8EE63" w:rsidP="01119175">
      <w:pPr>
        <w:spacing w:before="120"/>
        <w:rPr>
          <w:rFonts w:eastAsia="SimSun"/>
        </w:rPr>
      </w:pPr>
      <w:r w:rsidRPr="51FF8415">
        <w:rPr>
          <w:rFonts w:eastAsia="SimSun"/>
        </w:rPr>
        <w:t xml:space="preserve">It reports actual financial and non-financial performance information for </w:t>
      </w:r>
      <w:r w:rsidR="5A0C0814" w:rsidRPr="51FF8415">
        <w:rPr>
          <w:rFonts w:eastAsia="SimSun"/>
        </w:rPr>
        <w:t>titles administration</w:t>
      </w:r>
      <w:r w:rsidRPr="51FF8415">
        <w:rPr>
          <w:rFonts w:eastAsia="SimSun"/>
        </w:rPr>
        <w:t xml:space="preserve"> and contains financial and demand forecasts for </w:t>
      </w:r>
      <w:r w:rsidR="5A0C0814" w:rsidRPr="51FF8415">
        <w:rPr>
          <w:rFonts w:eastAsia="SimSun"/>
        </w:rPr>
        <w:t>202</w:t>
      </w:r>
      <w:r w:rsidR="00E77219">
        <w:rPr>
          <w:rFonts w:eastAsia="SimSun"/>
        </w:rPr>
        <w:t>5</w:t>
      </w:r>
      <w:r w:rsidR="5A0C0814" w:rsidRPr="51FF8415">
        <w:rPr>
          <w:rFonts w:eastAsia="SimSun"/>
        </w:rPr>
        <w:t>-2</w:t>
      </w:r>
      <w:r w:rsidR="00E77219">
        <w:rPr>
          <w:rFonts w:eastAsia="SimSun"/>
        </w:rPr>
        <w:t>6</w:t>
      </w:r>
      <w:r w:rsidRPr="51FF8415">
        <w:rPr>
          <w:rFonts w:eastAsia="SimSun"/>
        </w:rPr>
        <w:t xml:space="preserve"> and </w:t>
      </w:r>
      <w:r w:rsidR="165721E5" w:rsidRPr="51FF8415">
        <w:rPr>
          <w:rFonts w:eastAsia="SimSun"/>
        </w:rPr>
        <w:t xml:space="preserve">3 </w:t>
      </w:r>
      <w:r w:rsidRPr="51FF8415">
        <w:rPr>
          <w:rFonts w:eastAsia="SimSun"/>
        </w:rPr>
        <w:t xml:space="preserve">forward years. </w:t>
      </w:r>
    </w:p>
    <w:p w14:paraId="73723E53" w14:textId="1FA09DE7" w:rsidR="00F03C83" w:rsidRPr="00016586" w:rsidRDefault="6381ACE4" w:rsidP="51FF8415">
      <w:pPr>
        <w:spacing w:before="120"/>
        <w:rPr>
          <w:rFonts w:eastAsia="SimSun"/>
        </w:rPr>
      </w:pPr>
      <w:r w:rsidRPr="51FF8415">
        <w:rPr>
          <w:rFonts w:eastAsia="SimSun"/>
        </w:rPr>
        <w:t xml:space="preserve">This CRIS excludes </w:t>
      </w:r>
      <w:r w:rsidR="39D43431" w:rsidRPr="51FF8415">
        <w:rPr>
          <w:rFonts w:eastAsia="SimSun"/>
        </w:rPr>
        <w:t xml:space="preserve">the </w:t>
      </w:r>
      <w:r w:rsidRPr="51FF8415">
        <w:rPr>
          <w:rFonts w:eastAsia="SimSun"/>
        </w:rPr>
        <w:t>cost recovery</w:t>
      </w:r>
      <w:r w:rsidR="5149B83C" w:rsidRPr="51FF8415">
        <w:rPr>
          <w:rFonts w:eastAsia="SimSun"/>
        </w:rPr>
        <w:t xml:space="preserve"> charging</w:t>
      </w:r>
      <w:r w:rsidRPr="51FF8415">
        <w:rPr>
          <w:rFonts w:eastAsia="SimSun"/>
        </w:rPr>
        <w:t xml:space="preserve"> for </w:t>
      </w:r>
      <w:r w:rsidR="150D62EC" w:rsidRPr="51FF8415">
        <w:rPr>
          <w:rFonts w:eastAsia="SimSun"/>
        </w:rPr>
        <w:t>the</w:t>
      </w:r>
      <w:r w:rsidR="0BE18EFE" w:rsidRPr="51FF8415">
        <w:rPr>
          <w:rFonts w:eastAsia="SimSun"/>
        </w:rPr>
        <w:t xml:space="preserve"> administration</w:t>
      </w:r>
      <w:r w:rsidR="6B718A54" w:rsidRPr="51FF8415">
        <w:rPr>
          <w:rFonts w:eastAsia="SimSun"/>
        </w:rPr>
        <w:t xml:space="preserve"> of</w:t>
      </w:r>
      <w:r w:rsidR="150D62EC" w:rsidRPr="51FF8415">
        <w:rPr>
          <w:rFonts w:eastAsia="SimSun"/>
        </w:rPr>
        <w:t xml:space="preserve"> </w:t>
      </w:r>
      <w:r w:rsidR="6767C195" w:rsidRPr="51FF8415">
        <w:rPr>
          <w:rFonts w:eastAsia="SimSun"/>
        </w:rPr>
        <w:t>o</w:t>
      </w:r>
      <w:r w:rsidR="7051E8B3" w:rsidRPr="51FF8415">
        <w:rPr>
          <w:rFonts w:eastAsia="SimSun"/>
        </w:rPr>
        <w:t xml:space="preserve">ffshore </w:t>
      </w:r>
      <w:r w:rsidR="0ABF8253" w:rsidRPr="51FF8415">
        <w:rPr>
          <w:rFonts w:eastAsia="SimSun"/>
        </w:rPr>
        <w:t>e</w:t>
      </w:r>
      <w:r w:rsidR="42DBCB15" w:rsidRPr="51FF8415">
        <w:rPr>
          <w:rFonts w:eastAsia="SimSun"/>
        </w:rPr>
        <w:t xml:space="preserve">lectricity </w:t>
      </w:r>
      <w:r w:rsidR="183875F9" w:rsidRPr="51FF8415">
        <w:rPr>
          <w:rFonts w:eastAsia="SimSun"/>
        </w:rPr>
        <w:t>i</w:t>
      </w:r>
      <w:r w:rsidR="7051E8B3" w:rsidRPr="51FF8415">
        <w:rPr>
          <w:rFonts w:eastAsia="SimSun"/>
        </w:rPr>
        <w:t xml:space="preserve">nfrastructure </w:t>
      </w:r>
      <w:r w:rsidR="22D89866" w:rsidRPr="51FF8415">
        <w:rPr>
          <w:rFonts w:eastAsia="SimSun"/>
        </w:rPr>
        <w:t>(OEI) licences and offshore infrastructure activities</w:t>
      </w:r>
      <w:r w:rsidR="197B3039" w:rsidRPr="51FF8415">
        <w:rPr>
          <w:rFonts w:eastAsia="SimSun"/>
        </w:rPr>
        <w:t xml:space="preserve"> under the </w:t>
      </w:r>
      <w:r w:rsidR="197B3039" w:rsidRPr="01119175">
        <w:rPr>
          <w:rFonts w:eastAsia="SimSun"/>
          <w:i/>
        </w:rPr>
        <w:t>Offshore Electricity Infrastructure Act 2021</w:t>
      </w:r>
      <w:r w:rsidR="197B3039" w:rsidRPr="51FF8415">
        <w:rPr>
          <w:rFonts w:eastAsia="SimSun"/>
        </w:rPr>
        <w:t xml:space="preserve"> (the OEI Act)</w:t>
      </w:r>
      <w:r w:rsidR="00F30E31">
        <w:rPr>
          <w:rStyle w:val="FootnoteReference"/>
          <w:rFonts w:eastAsia="SimSun"/>
        </w:rPr>
        <w:footnoteReference w:id="4"/>
      </w:r>
      <w:r w:rsidR="22FBE3C7" w:rsidRPr="51FF8415">
        <w:rPr>
          <w:rFonts w:eastAsia="SimSun"/>
        </w:rPr>
        <w:t xml:space="preserve">. </w:t>
      </w:r>
      <w:r w:rsidR="5F6CF78A" w:rsidRPr="51FF8415">
        <w:rPr>
          <w:rFonts w:eastAsia="SimSun"/>
        </w:rPr>
        <w:t xml:space="preserve">The cost recovery </w:t>
      </w:r>
      <w:r w:rsidR="3D812E97" w:rsidRPr="51FF8415">
        <w:rPr>
          <w:rFonts w:eastAsia="SimSun"/>
        </w:rPr>
        <w:t xml:space="preserve">arrangements </w:t>
      </w:r>
      <w:r w:rsidR="5F6CF78A" w:rsidRPr="51FF8415">
        <w:rPr>
          <w:rFonts w:eastAsia="SimSun"/>
        </w:rPr>
        <w:t xml:space="preserve">for this activity </w:t>
      </w:r>
      <w:r w:rsidR="001A0093" w:rsidRPr="51FF8415">
        <w:rPr>
          <w:rFonts w:eastAsia="SimSun"/>
        </w:rPr>
        <w:t>are</w:t>
      </w:r>
      <w:r w:rsidR="5F6CF78A" w:rsidRPr="51FF8415">
        <w:rPr>
          <w:rFonts w:eastAsia="SimSun"/>
        </w:rPr>
        <w:t xml:space="preserve"> subject to a separate </w:t>
      </w:r>
      <w:r w:rsidR="75B565BB" w:rsidRPr="51FF8415">
        <w:rPr>
          <w:rFonts w:eastAsia="SimSun"/>
        </w:rPr>
        <w:t>CRIS</w:t>
      </w:r>
      <w:r w:rsidR="000B62AF">
        <w:rPr>
          <w:rStyle w:val="FootnoteReference"/>
          <w:rFonts w:eastAsia="SimSun"/>
        </w:rPr>
        <w:footnoteReference w:id="5"/>
      </w:r>
      <w:r w:rsidR="75B565BB" w:rsidRPr="51FF8415">
        <w:rPr>
          <w:rFonts w:eastAsia="SimSun"/>
        </w:rPr>
        <w:t>.</w:t>
      </w:r>
      <w:r w:rsidR="00C0445D">
        <w:rPr>
          <w:rFonts w:eastAsia="SimSun"/>
        </w:rPr>
        <w:t xml:space="preserve"> </w:t>
      </w:r>
    </w:p>
    <w:p w14:paraId="4AA3EC71" w14:textId="58AF3682" w:rsidR="00F03C83" w:rsidRPr="00016586" w:rsidRDefault="5A0C0814" w:rsidP="51FF8415">
      <w:pPr>
        <w:spacing w:before="120"/>
        <w:rPr>
          <w:rFonts w:cs="Times New Roman"/>
          <w:sz w:val="24"/>
          <w:szCs w:val="24"/>
        </w:rPr>
      </w:pPr>
      <w:r w:rsidRPr="51FF8415">
        <w:rPr>
          <w:rFonts w:eastAsia="SimSun"/>
        </w:rPr>
        <w:t>NOPTA</w:t>
      </w:r>
      <w:r w:rsidR="0FE8EE63" w:rsidRPr="51FF8415">
        <w:rPr>
          <w:rFonts w:eastAsia="SimSun"/>
        </w:rPr>
        <w:t xml:space="preserve"> will maintain the CRIS until the activity or cost recovery for the activity has been discontinued.</w:t>
      </w:r>
    </w:p>
    <w:p w14:paraId="06FDB7D2" w14:textId="63A31A7B" w:rsidR="00063557" w:rsidRPr="00D57921" w:rsidRDefault="00063557" w:rsidP="00AF30D7">
      <w:pPr>
        <w:pStyle w:val="Heading1"/>
        <w:numPr>
          <w:ilvl w:val="0"/>
          <w:numId w:val="2"/>
        </w:numPr>
      </w:pPr>
      <w:bookmarkStart w:id="12" w:name="_Toc215752342"/>
      <w:r w:rsidRPr="00D57921">
        <w:t xml:space="preserve">POLICY AND STATUTORY AUTHORITY TO </w:t>
      </w:r>
      <w:r w:rsidR="003460DF">
        <w:t>CHARGE</w:t>
      </w:r>
      <w:r w:rsidR="00DB0487">
        <w:t xml:space="preserve"> (</w:t>
      </w:r>
      <w:r w:rsidRPr="00D57921">
        <w:t>COST RECOVER</w:t>
      </w:r>
      <w:r w:rsidR="00DB0487">
        <w:t>)</w:t>
      </w:r>
      <w:bookmarkEnd w:id="12"/>
    </w:p>
    <w:p w14:paraId="44C7A8BD" w14:textId="4727FEEA" w:rsidR="00063557" w:rsidRPr="00D57921" w:rsidRDefault="00165B41" w:rsidP="00AF30D7">
      <w:pPr>
        <w:pStyle w:val="Heading2"/>
        <w:numPr>
          <w:ilvl w:val="1"/>
          <w:numId w:val="2"/>
        </w:numPr>
        <w:ind w:left="426"/>
      </w:pPr>
      <w:r w:rsidRPr="000F6B09">
        <w:rPr>
          <w:color w:val="auto"/>
        </w:rPr>
        <w:t xml:space="preserve"> </w:t>
      </w:r>
      <w:bookmarkStart w:id="13" w:name="_Toc215752343"/>
      <w:r w:rsidR="006036C2" w:rsidRPr="000F6B09">
        <w:rPr>
          <w:color w:val="auto"/>
        </w:rPr>
        <w:t>Government policy approval to charge for this regulatory activity</w:t>
      </w:r>
      <w:bookmarkEnd w:id="13"/>
    </w:p>
    <w:p w14:paraId="495AE8BA" w14:textId="12836F95" w:rsidR="003D204F" w:rsidRDefault="003D204F" w:rsidP="003D204F">
      <w:pPr>
        <w:spacing w:after="0"/>
        <w:rPr>
          <w:iCs/>
        </w:rPr>
      </w:pPr>
      <w:r w:rsidRPr="00B8155A">
        <w:rPr>
          <w:iCs/>
        </w:rPr>
        <w:t>In its report Review of Regulatory Burden on the Upstream Petroleum (Oil &amp; Gas) Sector</w:t>
      </w:r>
      <w:r w:rsidR="002714D1">
        <w:rPr>
          <w:rStyle w:val="FootnoteReference"/>
          <w:iCs/>
        </w:rPr>
        <w:footnoteReference w:id="6"/>
      </w:r>
      <w:r w:rsidRPr="00B8155A">
        <w:rPr>
          <w:iCs/>
        </w:rPr>
        <w:t xml:space="preserve"> (released on 30 April 2009), the Productivity Commission recommended establishing a national offshore petroleum regulator funded through full cost recovery. As part of the 2011–12 Budget, the Australian Government adopted a revised model for the regulation of the upstream petroleum sector in Commonwealth waters by establishing </w:t>
      </w:r>
      <w:r w:rsidR="001D5237">
        <w:rPr>
          <w:iCs/>
        </w:rPr>
        <w:t xml:space="preserve">the </w:t>
      </w:r>
      <w:r w:rsidR="001D5237" w:rsidRPr="001D5237">
        <w:rPr>
          <w:iCs/>
        </w:rPr>
        <w:t xml:space="preserve">National Offshore Petroleum Safety and Environmental Management Authority </w:t>
      </w:r>
      <w:r w:rsidR="001D5237">
        <w:rPr>
          <w:iCs/>
        </w:rPr>
        <w:t>(</w:t>
      </w:r>
      <w:r w:rsidRPr="00B8155A">
        <w:rPr>
          <w:iCs/>
        </w:rPr>
        <w:t>NOPSEMA</w:t>
      </w:r>
      <w:r w:rsidR="001D5237">
        <w:rPr>
          <w:iCs/>
        </w:rPr>
        <w:t>)</w:t>
      </w:r>
      <w:r w:rsidRPr="00B8155A">
        <w:rPr>
          <w:iCs/>
        </w:rPr>
        <w:t xml:space="preserve"> and NOPTA instead of a single regulator</w:t>
      </w:r>
      <w:r w:rsidRPr="00755098">
        <w:rPr>
          <w:iCs/>
          <w:vertAlign w:val="superscript"/>
        </w:rPr>
        <w:footnoteReference w:id="7"/>
      </w:r>
      <w:r w:rsidRPr="00B8155A">
        <w:rPr>
          <w:iCs/>
        </w:rPr>
        <w:t>. Both entities were to operate on a full cost recovery basis from 1 January 2012</w:t>
      </w:r>
      <w:r>
        <w:rPr>
          <w:iCs/>
        </w:rPr>
        <w:t>.</w:t>
      </w:r>
    </w:p>
    <w:p w14:paraId="020179D5" w14:textId="77777777" w:rsidR="00A669CA" w:rsidRDefault="00A669CA" w:rsidP="00D34C88"/>
    <w:p w14:paraId="7DDB7339" w14:textId="53731BE1" w:rsidR="006036C2" w:rsidRPr="00D57921" w:rsidRDefault="00AD0880" w:rsidP="00AF30D7">
      <w:pPr>
        <w:pStyle w:val="Heading2"/>
        <w:numPr>
          <w:ilvl w:val="1"/>
          <w:numId w:val="2"/>
        </w:numPr>
        <w:ind w:left="426"/>
      </w:pPr>
      <w:r>
        <w:t xml:space="preserve"> </w:t>
      </w:r>
      <w:bookmarkStart w:id="14" w:name="_Toc215752344"/>
      <w:r w:rsidR="006036C2" w:rsidRPr="008C13C3">
        <w:rPr>
          <w:color w:val="auto"/>
        </w:rPr>
        <w:t>Statutory authority to charge</w:t>
      </w:r>
      <w:bookmarkEnd w:id="14"/>
      <w:r w:rsidR="006036C2" w:rsidRPr="008C13C3">
        <w:rPr>
          <w:color w:val="auto"/>
        </w:rPr>
        <w:t xml:space="preserve"> </w:t>
      </w:r>
    </w:p>
    <w:p w14:paraId="62089FCC" w14:textId="5BE3E7B1" w:rsidR="00103AE9" w:rsidRDefault="003D204F" w:rsidP="003D204F">
      <w:pPr>
        <w:rPr>
          <w:rFonts w:cstheme="minorHAnsi"/>
        </w:rPr>
      </w:pPr>
      <w:r w:rsidRPr="00755098">
        <w:rPr>
          <w:rFonts w:cstheme="minorHAnsi"/>
        </w:rPr>
        <w:t xml:space="preserve">The legal authority to impose the Annual Titles Administration Levy is contained in Part 4C of the </w:t>
      </w:r>
      <w:r w:rsidRPr="00755098">
        <w:rPr>
          <w:rFonts w:cstheme="minorHAnsi"/>
          <w:iCs/>
        </w:rPr>
        <w:t>Levies Act</w:t>
      </w:r>
      <w:r w:rsidRPr="00755098">
        <w:rPr>
          <w:rFonts w:cstheme="minorHAnsi"/>
        </w:rPr>
        <w:t xml:space="preserve">. The amounts are prescribed in the </w:t>
      </w:r>
      <w:r w:rsidRPr="00755098">
        <w:rPr>
          <w:rFonts w:cstheme="minorHAnsi"/>
          <w:i/>
        </w:rPr>
        <w:t>Offshore Petroleum and Greenhouse Gas Storage (Regulatory Levies) Regulations 20</w:t>
      </w:r>
      <w:r w:rsidR="00103AE9">
        <w:rPr>
          <w:rFonts w:cstheme="minorHAnsi"/>
          <w:i/>
        </w:rPr>
        <w:t>22</w:t>
      </w:r>
      <w:r w:rsidR="001D5237">
        <w:rPr>
          <w:rFonts w:cstheme="minorHAnsi"/>
          <w:i/>
        </w:rPr>
        <w:t xml:space="preserve"> </w:t>
      </w:r>
      <w:r w:rsidR="001D5237">
        <w:rPr>
          <w:rFonts w:cstheme="minorHAnsi"/>
          <w:iCs/>
        </w:rPr>
        <w:t>(the Regulatory Levies)</w:t>
      </w:r>
      <w:r w:rsidR="000814E2">
        <w:rPr>
          <w:rStyle w:val="FootnoteReference"/>
          <w:rFonts w:cstheme="minorHAnsi"/>
          <w:iCs/>
        </w:rPr>
        <w:footnoteReference w:id="8"/>
      </w:r>
      <w:r w:rsidRPr="00755098">
        <w:rPr>
          <w:rFonts w:cstheme="minorHAnsi"/>
        </w:rPr>
        <w:t xml:space="preserve">. </w:t>
      </w:r>
    </w:p>
    <w:p w14:paraId="0D42BAB6" w14:textId="3FA48ACB" w:rsidR="008C13C3" w:rsidRDefault="009B5AF4" w:rsidP="008D7B56">
      <w:pPr>
        <w:rPr>
          <w:rFonts w:cstheme="minorHAnsi"/>
        </w:rPr>
      </w:pPr>
      <w:r>
        <w:rPr>
          <w:rFonts w:cstheme="minorHAnsi"/>
        </w:rPr>
        <w:t>The annual</w:t>
      </w:r>
      <w:r w:rsidR="008C13C3" w:rsidRPr="00BE4D82">
        <w:rPr>
          <w:rFonts w:cstheme="minorHAnsi"/>
        </w:rPr>
        <w:t xml:space="preserve"> </w:t>
      </w:r>
      <w:r>
        <w:rPr>
          <w:rFonts w:cstheme="minorHAnsi"/>
        </w:rPr>
        <w:t>t</w:t>
      </w:r>
      <w:r w:rsidR="008C13C3" w:rsidRPr="00BE4D82">
        <w:rPr>
          <w:rFonts w:cstheme="minorHAnsi"/>
        </w:rPr>
        <w:t xml:space="preserve">itles </w:t>
      </w:r>
      <w:r>
        <w:rPr>
          <w:rFonts w:cstheme="minorHAnsi"/>
        </w:rPr>
        <w:t>a</w:t>
      </w:r>
      <w:r w:rsidR="008C13C3" w:rsidRPr="00BE4D82">
        <w:rPr>
          <w:rFonts w:cstheme="minorHAnsi"/>
        </w:rPr>
        <w:t xml:space="preserve">dministration </w:t>
      </w:r>
      <w:r>
        <w:rPr>
          <w:rFonts w:cstheme="minorHAnsi"/>
        </w:rPr>
        <w:t>l</w:t>
      </w:r>
      <w:r w:rsidR="008C13C3" w:rsidRPr="00BE4D82">
        <w:rPr>
          <w:rFonts w:cstheme="minorHAnsi"/>
        </w:rPr>
        <w:t xml:space="preserve">evy </w:t>
      </w:r>
      <w:r>
        <w:rPr>
          <w:rFonts w:cstheme="minorHAnsi"/>
        </w:rPr>
        <w:t>is payable</w:t>
      </w:r>
      <w:r w:rsidR="008C13C3" w:rsidRPr="00BE4D82">
        <w:rPr>
          <w:rFonts w:cstheme="minorHAnsi"/>
          <w:i/>
        </w:rPr>
        <w:t xml:space="preserve"> </w:t>
      </w:r>
      <w:r w:rsidR="008C13C3" w:rsidRPr="00BE4D82">
        <w:rPr>
          <w:rFonts w:cstheme="minorHAnsi"/>
        </w:rPr>
        <w:t xml:space="preserve">upon the grant of a title and annually thereafter within 30 days of the anniversary of the title. Where a title is in force for less than 12 months, the levy is calculated for the period the title remains in force. </w:t>
      </w:r>
    </w:p>
    <w:p w14:paraId="2723C46D" w14:textId="7CB1209C" w:rsidR="008D7B56" w:rsidRPr="008C13C3" w:rsidRDefault="003D204F" w:rsidP="008D7B56">
      <w:pPr>
        <w:rPr>
          <w:highlight w:val="yellow"/>
        </w:rPr>
      </w:pPr>
      <w:r w:rsidRPr="713BF64E">
        <w:t xml:space="preserve">The legal authority to </w:t>
      </w:r>
      <w:r w:rsidR="008C13C3" w:rsidRPr="713BF64E">
        <w:t>impose</w:t>
      </w:r>
      <w:r w:rsidRPr="713BF64E">
        <w:t xml:space="preserve"> application fees can be found in Chapter 2, Chapter 3, Chapter 4, Chapter 5, and Chapter 6 of the OPGGS Act. The fees are prescribed in the </w:t>
      </w:r>
      <w:r w:rsidRPr="713BF64E">
        <w:rPr>
          <w:i/>
          <w:iCs/>
        </w:rPr>
        <w:t>Offshore Petroleum and Greenhouse Gas Storage (Resource Management and Administration) Regulations 2011</w:t>
      </w:r>
      <w:r w:rsidR="000A729C" w:rsidRPr="713BF64E">
        <w:rPr>
          <w:i/>
          <w:iCs/>
        </w:rPr>
        <w:t xml:space="preserve"> </w:t>
      </w:r>
      <w:r w:rsidR="000A729C" w:rsidRPr="713BF64E">
        <w:t>(RMA Regulations)</w:t>
      </w:r>
      <w:r w:rsidR="008870ED">
        <w:rPr>
          <w:rStyle w:val="FootnoteReference"/>
        </w:rPr>
        <w:footnoteReference w:id="9"/>
      </w:r>
      <w:r w:rsidRPr="713BF64E">
        <w:t>.</w:t>
      </w:r>
      <w:r w:rsidR="008D7B56" w:rsidRPr="713BF64E">
        <w:t xml:space="preserve"> </w:t>
      </w:r>
      <w:r w:rsidR="008C13C3" w:rsidRPr="713BF64E">
        <w:t>Application fees are payable in accordance with the RMA Regulations at the time that an application is submitted</w:t>
      </w:r>
      <w:r w:rsidR="008D7B56" w:rsidRPr="713BF64E">
        <w:t xml:space="preserve"> for approval to enable titleholders to undertake certain regulated activities.</w:t>
      </w:r>
      <w:r w:rsidR="008D7B56" w:rsidRPr="713BF64E">
        <w:rPr>
          <w:highlight w:val="yellow"/>
        </w:rPr>
        <w:t xml:space="preserve"> </w:t>
      </w:r>
    </w:p>
    <w:p w14:paraId="41B677B1" w14:textId="1A805249" w:rsidR="003D204F" w:rsidRDefault="003D204F" w:rsidP="003D204F">
      <w:pPr>
        <w:rPr>
          <w:rFonts w:cstheme="minorHAnsi"/>
        </w:rPr>
      </w:pPr>
      <w:r w:rsidRPr="00755098">
        <w:rPr>
          <w:rFonts w:cstheme="minorHAnsi"/>
        </w:rPr>
        <w:t>NOPTA is fully funded through the cost recovery charges imposed under this legislation managing the funds through an administered Special Account</w:t>
      </w:r>
      <w:r w:rsidR="002714D1">
        <w:rPr>
          <w:rStyle w:val="FootnoteReference"/>
          <w:rFonts w:cstheme="minorHAnsi"/>
        </w:rPr>
        <w:footnoteReference w:id="10"/>
      </w:r>
      <w:r w:rsidRPr="00755098">
        <w:rPr>
          <w:rFonts w:cstheme="minorHAnsi"/>
        </w:rPr>
        <w:t xml:space="preserve">. NOPTA does not receive an annual departmental appropriation. NOPTA recovers its costs via application fees and the </w:t>
      </w:r>
      <w:r w:rsidR="0063017F">
        <w:rPr>
          <w:rFonts w:cstheme="minorHAnsi"/>
        </w:rPr>
        <w:t>a</w:t>
      </w:r>
      <w:r w:rsidRPr="00755098">
        <w:rPr>
          <w:rFonts w:cstheme="minorHAnsi"/>
        </w:rPr>
        <w:t xml:space="preserve">nnual </w:t>
      </w:r>
      <w:r w:rsidR="00961F73">
        <w:rPr>
          <w:rFonts w:cstheme="minorHAnsi"/>
        </w:rPr>
        <w:t>t</w:t>
      </w:r>
      <w:r w:rsidRPr="00755098">
        <w:rPr>
          <w:rFonts w:cstheme="minorHAnsi"/>
        </w:rPr>
        <w:t xml:space="preserve">itles </w:t>
      </w:r>
      <w:r w:rsidR="00961F73">
        <w:rPr>
          <w:rFonts w:cstheme="minorHAnsi"/>
        </w:rPr>
        <w:t>a</w:t>
      </w:r>
      <w:r w:rsidRPr="00755098">
        <w:rPr>
          <w:rFonts w:cstheme="minorHAnsi"/>
        </w:rPr>
        <w:t xml:space="preserve">dministration </w:t>
      </w:r>
      <w:r w:rsidR="00961F73">
        <w:rPr>
          <w:rFonts w:cstheme="minorHAnsi"/>
        </w:rPr>
        <w:t>l</w:t>
      </w:r>
      <w:r w:rsidRPr="00755098">
        <w:rPr>
          <w:rFonts w:cstheme="minorHAnsi"/>
        </w:rPr>
        <w:t>evy</w:t>
      </w:r>
      <w:r w:rsidR="008D7B56" w:rsidRPr="00755098">
        <w:rPr>
          <w:iCs/>
          <w:vertAlign w:val="superscript"/>
        </w:rPr>
        <w:footnoteReference w:id="11"/>
      </w:r>
      <w:r>
        <w:rPr>
          <w:rFonts w:cstheme="minorHAnsi"/>
        </w:rPr>
        <w:t>.</w:t>
      </w:r>
    </w:p>
    <w:p w14:paraId="56DF30BF" w14:textId="06D1A178" w:rsidR="00BB1922" w:rsidRDefault="00EF1BD5" w:rsidP="00EF1BD5">
      <w:pPr>
        <w:pStyle w:val="Heading2"/>
        <w:numPr>
          <w:ilvl w:val="1"/>
          <w:numId w:val="2"/>
        </w:numPr>
        <w:ind w:left="426"/>
        <w:rPr>
          <w:rFonts w:cstheme="minorHAnsi"/>
        </w:rPr>
      </w:pPr>
      <w:r>
        <w:rPr>
          <w:rFonts w:cstheme="minorHAnsi"/>
        </w:rPr>
        <w:t xml:space="preserve"> </w:t>
      </w:r>
      <w:bookmarkStart w:id="15" w:name="_Toc215752345"/>
      <w:r w:rsidR="004A2BB8">
        <w:rPr>
          <w:rFonts w:cstheme="minorHAnsi"/>
        </w:rPr>
        <w:t>NOPTA statutory review</w:t>
      </w:r>
      <w:bookmarkEnd w:id="15"/>
    </w:p>
    <w:p w14:paraId="0A4C3CAE" w14:textId="3EC8F969" w:rsidR="00ED6EA8" w:rsidRPr="00ED6EA8" w:rsidRDefault="00ED6EA8" w:rsidP="00ED6EA8">
      <w:pPr>
        <w:pStyle w:val="Default"/>
        <w:rPr>
          <w:rFonts w:asciiTheme="minorHAnsi" w:hAnsiTheme="minorHAnsi" w:cstheme="minorHAnsi"/>
          <w:color w:val="auto"/>
          <w:sz w:val="20"/>
          <w:szCs w:val="20"/>
        </w:rPr>
      </w:pPr>
      <w:r w:rsidRPr="00ED6EA8">
        <w:rPr>
          <w:rFonts w:asciiTheme="minorHAnsi" w:hAnsiTheme="minorHAnsi" w:cstheme="minorHAnsi"/>
          <w:color w:val="auto"/>
          <w:sz w:val="20"/>
          <w:szCs w:val="20"/>
        </w:rPr>
        <w:t>Under section 695</w:t>
      </w:r>
      <w:proofErr w:type="gramStart"/>
      <w:r w:rsidRPr="00ED6EA8">
        <w:rPr>
          <w:rFonts w:asciiTheme="minorHAnsi" w:hAnsiTheme="minorHAnsi" w:cstheme="minorHAnsi"/>
          <w:color w:val="auto"/>
          <w:sz w:val="20"/>
          <w:szCs w:val="20"/>
        </w:rPr>
        <w:t>P(</w:t>
      </w:r>
      <w:proofErr w:type="gramEnd"/>
      <w:r w:rsidRPr="00ED6EA8">
        <w:rPr>
          <w:rFonts w:asciiTheme="minorHAnsi" w:hAnsiTheme="minorHAnsi" w:cstheme="minorHAnsi"/>
          <w:color w:val="auto"/>
          <w:sz w:val="20"/>
          <w:szCs w:val="20"/>
        </w:rPr>
        <w:t>1) of the OPGGS Act the responsible Commonwealth Minister must cause to be conducted reviews of the activities of NOPTA.</w:t>
      </w:r>
      <w:r w:rsidR="008C2BC3">
        <w:rPr>
          <w:rFonts w:asciiTheme="minorHAnsi" w:hAnsiTheme="minorHAnsi" w:cstheme="minorHAnsi"/>
          <w:color w:val="auto"/>
          <w:sz w:val="20"/>
          <w:szCs w:val="20"/>
        </w:rPr>
        <w:t xml:space="preserve"> </w:t>
      </w:r>
      <w:r w:rsidR="001C2525">
        <w:rPr>
          <w:rFonts w:asciiTheme="minorHAnsi" w:hAnsiTheme="minorHAnsi" w:cstheme="minorHAnsi"/>
          <w:color w:val="auto"/>
          <w:sz w:val="20"/>
          <w:szCs w:val="20"/>
        </w:rPr>
        <w:t xml:space="preserve">The review </w:t>
      </w:r>
      <w:r w:rsidR="00B97D45">
        <w:rPr>
          <w:rFonts w:asciiTheme="minorHAnsi" w:hAnsiTheme="minorHAnsi" w:cstheme="minorHAnsi"/>
          <w:color w:val="auto"/>
          <w:sz w:val="20"/>
          <w:szCs w:val="20"/>
        </w:rPr>
        <w:t xml:space="preserve">must include an assessment of the effectiveness of the Titles </w:t>
      </w:r>
      <w:r w:rsidR="008942F7">
        <w:rPr>
          <w:rFonts w:asciiTheme="minorHAnsi" w:hAnsiTheme="minorHAnsi" w:cstheme="minorHAnsi"/>
          <w:color w:val="auto"/>
          <w:sz w:val="20"/>
          <w:szCs w:val="20"/>
        </w:rPr>
        <w:t>Administrator</w:t>
      </w:r>
      <w:r w:rsidR="00B97D45">
        <w:rPr>
          <w:rFonts w:asciiTheme="minorHAnsi" w:hAnsiTheme="minorHAnsi" w:cstheme="minorHAnsi"/>
          <w:color w:val="auto"/>
          <w:sz w:val="20"/>
          <w:szCs w:val="20"/>
        </w:rPr>
        <w:t xml:space="preserve"> </w:t>
      </w:r>
      <w:r w:rsidR="008942F7">
        <w:rPr>
          <w:rFonts w:asciiTheme="minorHAnsi" w:hAnsiTheme="minorHAnsi" w:cstheme="minorHAnsi"/>
          <w:color w:val="auto"/>
          <w:sz w:val="20"/>
          <w:szCs w:val="20"/>
        </w:rPr>
        <w:t>in c</w:t>
      </w:r>
      <w:r w:rsidR="00666CA2">
        <w:rPr>
          <w:rFonts w:asciiTheme="minorHAnsi" w:hAnsiTheme="minorHAnsi" w:cstheme="minorHAnsi"/>
          <w:color w:val="auto"/>
          <w:sz w:val="20"/>
          <w:szCs w:val="20"/>
        </w:rPr>
        <w:t xml:space="preserve">ontributing to the efficiency of decision-making by a Joint Authority </w:t>
      </w:r>
      <w:r w:rsidR="00802AE1">
        <w:rPr>
          <w:rFonts w:asciiTheme="minorHAnsi" w:hAnsiTheme="minorHAnsi" w:cstheme="minorHAnsi"/>
          <w:color w:val="auto"/>
          <w:sz w:val="20"/>
          <w:szCs w:val="20"/>
        </w:rPr>
        <w:t>for a state or the Northern Territory.</w:t>
      </w:r>
    </w:p>
    <w:p w14:paraId="29C0880C" w14:textId="77777777" w:rsidR="00ED6EA8" w:rsidRPr="00ED6EA8" w:rsidRDefault="00ED6EA8" w:rsidP="00ED6EA8">
      <w:pPr>
        <w:pStyle w:val="Default"/>
        <w:rPr>
          <w:rFonts w:asciiTheme="minorHAnsi" w:hAnsiTheme="minorHAnsi" w:cstheme="minorHAnsi"/>
          <w:color w:val="auto"/>
          <w:sz w:val="20"/>
          <w:szCs w:val="20"/>
        </w:rPr>
      </w:pPr>
    </w:p>
    <w:p w14:paraId="5A300DF9" w14:textId="045CCD45" w:rsidR="00ED6EA8" w:rsidRDefault="00BA1F68" w:rsidP="003A7ED4">
      <w:pPr>
        <w:rPr>
          <w:rFonts w:cstheme="minorHAnsi"/>
        </w:rPr>
      </w:pPr>
      <w:r w:rsidRPr="00683A4D">
        <w:rPr>
          <w:rFonts w:ascii="Calibri" w:hAnsi="Calibri" w:cs="Calibri"/>
        </w:rPr>
        <w:t>The statutory review will</w:t>
      </w:r>
      <w:r w:rsidR="0069683C">
        <w:rPr>
          <w:rFonts w:ascii="Calibri" w:hAnsi="Calibri" w:cs="Calibri"/>
        </w:rPr>
        <w:t xml:space="preserve"> also</w:t>
      </w:r>
      <w:r w:rsidRPr="00683A4D">
        <w:rPr>
          <w:rFonts w:ascii="Calibri" w:hAnsi="Calibri" w:cs="Calibri"/>
        </w:rPr>
        <w:t xml:space="preserve"> assess and provide recommendations in relation to the current cost recovery model. The review will consider </w:t>
      </w:r>
      <w:r w:rsidR="00ED6EA8" w:rsidRPr="00ED6EA8">
        <w:rPr>
          <w:rFonts w:cstheme="minorHAnsi"/>
        </w:rPr>
        <w:t xml:space="preserve">opportunities where NOPTA can reduce </w:t>
      </w:r>
      <w:r w:rsidR="00634F4C">
        <w:rPr>
          <w:rFonts w:cstheme="minorHAnsi"/>
        </w:rPr>
        <w:t>any</w:t>
      </w:r>
      <w:r w:rsidR="00ED6EA8" w:rsidRPr="00ED6EA8">
        <w:rPr>
          <w:rFonts w:cstheme="minorHAnsi"/>
        </w:rPr>
        <w:t xml:space="preserve"> cross</w:t>
      </w:r>
      <w:r w:rsidR="00D4723D">
        <w:rPr>
          <w:rFonts w:cstheme="minorHAnsi"/>
        </w:rPr>
        <w:t>-</w:t>
      </w:r>
      <w:r w:rsidR="004D4BDA">
        <w:rPr>
          <w:rFonts w:cstheme="minorHAnsi"/>
        </w:rPr>
        <w:t>subsidisation</w:t>
      </w:r>
      <w:r w:rsidR="00ED6EA8" w:rsidRPr="00ED6EA8">
        <w:rPr>
          <w:rFonts w:cstheme="minorHAnsi"/>
        </w:rPr>
        <w:t>, reduce its operating costs, increase efficiencies across the branch and streamline functions to reduce the financial burden on industry.</w:t>
      </w:r>
    </w:p>
    <w:p w14:paraId="5D65DE88" w14:textId="55CF559C" w:rsidR="003036D7" w:rsidRPr="004A2BB8" w:rsidRDefault="00FE6472" w:rsidP="38DEAB33">
      <w:pPr>
        <w:rPr>
          <w:rFonts w:ascii="Calibri" w:hAnsi="Calibri" w:cs="Calibri"/>
        </w:rPr>
      </w:pPr>
      <w:r w:rsidRPr="38DEAB33">
        <w:t xml:space="preserve">The review will inform future </w:t>
      </w:r>
      <w:r w:rsidR="00B30458" w:rsidRPr="38DEAB33">
        <w:t>c</w:t>
      </w:r>
      <w:r w:rsidR="00AF5D0D" w:rsidRPr="38DEAB33">
        <w:t>ost recovery charging arrangements</w:t>
      </w:r>
      <w:r w:rsidR="5593430B" w:rsidRPr="38DEAB33">
        <w:t xml:space="preserve"> </w:t>
      </w:r>
      <w:r w:rsidR="00362DAB">
        <w:t>to ensure that they remain</w:t>
      </w:r>
      <w:r w:rsidR="5593430B" w:rsidRPr="38DEAB33">
        <w:t xml:space="preserve"> consistent with the Australian Government Charging Framework</w:t>
      </w:r>
      <w:r w:rsidR="009C7CC2" w:rsidRPr="38DEAB33">
        <w:t>.</w:t>
      </w:r>
    </w:p>
    <w:p w14:paraId="2BF729FB" w14:textId="057B1092" w:rsidR="006036C2" w:rsidRDefault="003460DF" w:rsidP="00AF30D7">
      <w:pPr>
        <w:pStyle w:val="Heading1"/>
        <w:numPr>
          <w:ilvl w:val="0"/>
          <w:numId w:val="2"/>
        </w:numPr>
      </w:pPr>
      <w:bookmarkStart w:id="16" w:name="_Toc215752346"/>
      <w:r>
        <w:t>CHARGING (</w:t>
      </w:r>
      <w:r w:rsidR="006036C2" w:rsidRPr="00D57921">
        <w:t>COST</w:t>
      </w:r>
      <w:r w:rsidR="0061095D" w:rsidRPr="00D57921">
        <w:t xml:space="preserve"> RECOVERY</w:t>
      </w:r>
      <w:r>
        <w:t>)</w:t>
      </w:r>
      <w:r w:rsidR="006036C2" w:rsidRPr="00D57921">
        <w:t xml:space="preserve"> MODEL</w:t>
      </w:r>
      <w:bookmarkEnd w:id="16"/>
    </w:p>
    <w:p w14:paraId="6F66E99B" w14:textId="77777777" w:rsidR="00BB1922" w:rsidRPr="00BB1922" w:rsidRDefault="00BB1922" w:rsidP="00BB1922"/>
    <w:p w14:paraId="1ADBA0F0" w14:textId="7A5EFCD0" w:rsidR="006036C2" w:rsidRPr="008C13C3" w:rsidRDefault="00AD0880" w:rsidP="00AF30D7">
      <w:pPr>
        <w:pStyle w:val="Heading2"/>
        <w:numPr>
          <w:ilvl w:val="1"/>
          <w:numId w:val="2"/>
        </w:numPr>
        <w:ind w:left="426"/>
        <w:rPr>
          <w:color w:val="auto"/>
        </w:rPr>
      </w:pPr>
      <w:r w:rsidRPr="008C13C3">
        <w:rPr>
          <w:color w:val="auto"/>
        </w:rPr>
        <w:t xml:space="preserve"> </w:t>
      </w:r>
      <w:bookmarkStart w:id="17" w:name="_Toc215752347"/>
      <w:r w:rsidR="006036C2" w:rsidRPr="008C13C3">
        <w:rPr>
          <w:color w:val="auto"/>
        </w:rPr>
        <w:t>Outputs and business processes of the activity</w:t>
      </w:r>
      <w:bookmarkEnd w:id="17"/>
    </w:p>
    <w:p w14:paraId="1B58956B" w14:textId="0D5C7CD8" w:rsidR="000A4457" w:rsidRPr="00FC39FD" w:rsidRDefault="000A4457" w:rsidP="00FC39FD">
      <w:pPr>
        <w:pStyle w:val="CommentText"/>
        <w:spacing w:after="0"/>
        <w:rPr>
          <w:rFonts w:cstheme="minorHAnsi"/>
        </w:rPr>
      </w:pPr>
      <w:r w:rsidRPr="00FC39FD">
        <w:rPr>
          <w:rFonts w:cstheme="minorHAnsi"/>
        </w:rPr>
        <w:t>NOPTA supports the management of the offshore petroleum and GHG titles by providing expert advice, administration, compliance monitoring and data management in accordance with the OPGGS Act.</w:t>
      </w:r>
    </w:p>
    <w:p w14:paraId="3068F493" w14:textId="77777777" w:rsidR="000A4457" w:rsidRPr="009339CD" w:rsidRDefault="000A4457" w:rsidP="00FC39FD">
      <w:pPr>
        <w:spacing w:after="0"/>
        <w:rPr>
          <w:rFonts w:cstheme="minorHAnsi"/>
        </w:rPr>
      </w:pPr>
    </w:p>
    <w:p w14:paraId="6287A45D" w14:textId="2C8230A1" w:rsidR="008C13C3" w:rsidRDefault="008C13C3" w:rsidP="00FC39FD">
      <w:pPr>
        <w:spacing w:after="0"/>
        <w:rPr>
          <w:rFonts w:cstheme="minorHAnsi"/>
          <w:color w:val="000000"/>
        </w:rPr>
      </w:pPr>
      <w:r>
        <w:rPr>
          <w:rFonts w:cstheme="minorHAnsi"/>
          <w:color w:val="000000"/>
        </w:rPr>
        <w:t xml:space="preserve">NOPTA’s </w:t>
      </w:r>
      <w:r w:rsidR="00053B86">
        <w:rPr>
          <w:rFonts w:cstheme="minorHAnsi"/>
          <w:color w:val="000000"/>
        </w:rPr>
        <w:t>functions</w:t>
      </w:r>
      <w:r>
        <w:rPr>
          <w:rFonts w:cstheme="minorHAnsi"/>
          <w:color w:val="000000"/>
        </w:rPr>
        <w:t xml:space="preserve"> include: </w:t>
      </w:r>
    </w:p>
    <w:p w14:paraId="41DC27A0" w14:textId="77777777" w:rsidR="008C13C3" w:rsidRPr="009B1310" w:rsidRDefault="008C13C3" w:rsidP="008C13C3">
      <w:pPr>
        <w:pStyle w:val="ListParagraph"/>
        <w:numPr>
          <w:ilvl w:val="1"/>
          <w:numId w:val="10"/>
        </w:numPr>
        <w:spacing w:before="160" w:after="160" w:line="276" w:lineRule="auto"/>
        <w:contextualSpacing/>
        <w:rPr>
          <w:rFonts w:asciiTheme="minorHAnsi" w:hAnsiTheme="minorHAnsi" w:cstheme="minorHAnsi"/>
          <w:sz w:val="20"/>
          <w:szCs w:val="20"/>
        </w:rPr>
      </w:pPr>
      <w:r w:rsidRPr="009B1310">
        <w:rPr>
          <w:rFonts w:asciiTheme="minorHAnsi" w:hAnsiTheme="minorHAnsi" w:cstheme="minorHAnsi"/>
          <w:sz w:val="20"/>
          <w:szCs w:val="20"/>
        </w:rPr>
        <w:t xml:space="preserve">Providing information, assessments, analysis, reports, advice and recommendations to the relevant decision makers under the OPGGS Act. </w:t>
      </w:r>
    </w:p>
    <w:p w14:paraId="35E8FAFE" w14:textId="77777777" w:rsidR="008C13C3" w:rsidRPr="009B1310" w:rsidRDefault="008C13C3" w:rsidP="008C13C3">
      <w:pPr>
        <w:pStyle w:val="ListParagraph"/>
        <w:numPr>
          <w:ilvl w:val="1"/>
          <w:numId w:val="10"/>
        </w:numPr>
        <w:spacing w:before="160" w:after="160" w:line="276" w:lineRule="auto"/>
        <w:contextualSpacing/>
        <w:rPr>
          <w:rFonts w:asciiTheme="minorHAnsi" w:hAnsiTheme="minorHAnsi" w:cstheme="minorHAnsi"/>
          <w:sz w:val="20"/>
          <w:szCs w:val="20"/>
        </w:rPr>
      </w:pPr>
      <w:r w:rsidRPr="009B1310">
        <w:rPr>
          <w:rFonts w:asciiTheme="minorHAnsi" w:hAnsiTheme="minorHAnsi" w:cstheme="minorHAnsi"/>
          <w:sz w:val="20"/>
          <w:szCs w:val="20"/>
        </w:rPr>
        <w:t xml:space="preserve">Facilitating life of title administration, including compliance monitoring. </w:t>
      </w:r>
    </w:p>
    <w:p w14:paraId="45F1C242" w14:textId="77777777" w:rsidR="008C13C3" w:rsidRPr="009B1310" w:rsidRDefault="008C13C3" w:rsidP="008C13C3">
      <w:pPr>
        <w:pStyle w:val="ListParagraph"/>
        <w:numPr>
          <w:ilvl w:val="1"/>
          <w:numId w:val="10"/>
        </w:numPr>
        <w:spacing w:before="160" w:after="160" w:line="276" w:lineRule="auto"/>
        <w:contextualSpacing/>
        <w:rPr>
          <w:rFonts w:asciiTheme="minorHAnsi" w:hAnsiTheme="minorHAnsi" w:cstheme="minorHAnsi"/>
          <w:sz w:val="20"/>
          <w:szCs w:val="20"/>
        </w:rPr>
      </w:pPr>
      <w:r w:rsidRPr="009B1310">
        <w:rPr>
          <w:rFonts w:asciiTheme="minorHAnsi" w:hAnsiTheme="minorHAnsi" w:cstheme="minorHAnsi"/>
          <w:sz w:val="20"/>
          <w:szCs w:val="20"/>
        </w:rPr>
        <w:t xml:space="preserve">Engaging with titleholders on their performance in meeting regulatory obligations and expectations. </w:t>
      </w:r>
    </w:p>
    <w:p w14:paraId="66B62B9A" w14:textId="77777777" w:rsidR="008C13C3" w:rsidRPr="009B1310" w:rsidRDefault="008C13C3" w:rsidP="008C13C3">
      <w:pPr>
        <w:pStyle w:val="ListParagraph"/>
        <w:numPr>
          <w:ilvl w:val="1"/>
          <w:numId w:val="10"/>
        </w:numPr>
        <w:spacing w:before="160" w:after="160" w:line="276" w:lineRule="auto"/>
        <w:contextualSpacing/>
        <w:rPr>
          <w:rFonts w:asciiTheme="minorHAnsi" w:hAnsiTheme="minorHAnsi" w:cstheme="minorHAnsi"/>
          <w:sz w:val="20"/>
          <w:szCs w:val="20"/>
        </w:rPr>
      </w:pPr>
      <w:r w:rsidRPr="009B1310">
        <w:rPr>
          <w:rFonts w:asciiTheme="minorHAnsi" w:hAnsiTheme="minorHAnsi" w:cstheme="minorHAnsi"/>
          <w:sz w:val="20"/>
          <w:szCs w:val="20"/>
        </w:rPr>
        <w:t xml:space="preserve">Manage the submission and release of data. </w:t>
      </w:r>
    </w:p>
    <w:p w14:paraId="75B393AD" w14:textId="77777777" w:rsidR="008C13C3" w:rsidRPr="009B1310" w:rsidRDefault="008C13C3" w:rsidP="008C13C3">
      <w:pPr>
        <w:pStyle w:val="ListParagraph"/>
        <w:numPr>
          <w:ilvl w:val="1"/>
          <w:numId w:val="10"/>
        </w:numPr>
        <w:spacing w:before="160" w:after="160" w:line="276" w:lineRule="auto"/>
        <w:contextualSpacing/>
        <w:rPr>
          <w:rFonts w:asciiTheme="minorHAnsi" w:hAnsiTheme="minorHAnsi" w:cstheme="minorHAnsi"/>
          <w:sz w:val="20"/>
          <w:szCs w:val="20"/>
        </w:rPr>
      </w:pPr>
      <w:r w:rsidRPr="009B1310">
        <w:rPr>
          <w:rFonts w:asciiTheme="minorHAnsi" w:hAnsiTheme="minorHAnsi" w:cstheme="minorHAnsi"/>
          <w:sz w:val="20"/>
          <w:szCs w:val="20"/>
        </w:rPr>
        <w:t xml:space="preserve">The Titles Administrator is the decision maker for the approval and registration of a change in control of a company, transfers and dealings, and for granting of short-term petroleum and GHG titles. </w:t>
      </w:r>
    </w:p>
    <w:p w14:paraId="053540CC" w14:textId="77777777" w:rsidR="008C13C3" w:rsidRPr="009B1310" w:rsidRDefault="008C13C3" w:rsidP="008C13C3">
      <w:pPr>
        <w:pStyle w:val="ListParagraph"/>
        <w:numPr>
          <w:ilvl w:val="1"/>
          <w:numId w:val="10"/>
        </w:numPr>
        <w:spacing w:before="160" w:after="160" w:line="276" w:lineRule="auto"/>
        <w:contextualSpacing/>
        <w:rPr>
          <w:rFonts w:asciiTheme="minorHAnsi" w:hAnsiTheme="minorHAnsi" w:cstheme="minorHAnsi"/>
          <w:sz w:val="20"/>
          <w:szCs w:val="20"/>
        </w:rPr>
      </w:pPr>
      <w:r w:rsidRPr="009B1310">
        <w:rPr>
          <w:rFonts w:asciiTheme="minorHAnsi" w:hAnsiTheme="minorHAnsi" w:cstheme="minorHAnsi"/>
          <w:sz w:val="20"/>
          <w:szCs w:val="20"/>
        </w:rPr>
        <w:t>Maintain the public registers of offshore petroleum, GHG titles.</w:t>
      </w:r>
    </w:p>
    <w:p w14:paraId="670389C7" w14:textId="77777777" w:rsidR="008C13C3" w:rsidRPr="009B1310" w:rsidRDefault="008C13C3" w:rsidP="008C13C3">
      <w:pPr>
        <w:pStyle w:val="ListParagraph"/>
        <w:numPr>
          <w:ilvl w:val="1"/>
          <w:numId w:val="10"/>
        </w:numPr>
        <w:spacing w:before="160" w:after="160" w:line="276" w:lineRule="auto"/>
        <w:contextualSpacing/>
        <w:rPr>
          <w:rFonts w:asciiTheme="minorHAnsi" w:hAnsiTheme="minorHAnsi" w:cstheme="minorHAnsi"/>
          <w:sz w:val="20"/>
          <w:szCs w:val="20"/>
        </w:rPr>
      </w:pPr>
      <w:r w:rsidRPr="009B1310">
        <w:rPr>
          <w:rFonts w:asciiTheme="minorHAnsi" w:hAnsiTheme="minorHAnsi" w:cstheme="minorHAnsi"/>
          <w:sz w:val="20"/>
          <w:szCs w:val="20"/>
        </w:rPr>
        <w:t xml:space="preserve">Cooperate with the National Offshore Petroleum Safety and Environmental Management Authority (NOPSEMA) on matters relating to the administration and enforcement of the OPGGS Act and associated regulations. </w:t>
      </w:r>
    </w:p>
    <w:p w14:paraId="0DC995ED" w14:textId="77777777" w:rsidR="008C13C3" w:rsidRDefault="008C13C3" w:rsidP="008C13C3">
      <w:pPr>
        <w:pStyle w:val="ListParagraph"/>
        <w:numPr>
          <w:ilvl w:val="1"/>
          <w:numId w:val="10"/>
        </w:numPr>
        <w:spacing w:before="160" w:after="160" w:line="276" w:lineRule="auto"/>
        <w:contextualSpacing/>
        <w:rPr>
          <w:rFonts w:asciiTheme="minorHAnsi" w:hAnsiTheme="minorHAnsi"/>
          <w:sz w:val="20"/>
          <w:szCs w:val="20"/>
        </w:rPr>
      </w:pPr>
      <w:r w:rsidRPr="3EECC85E">
        <w:rPr>
          <w:rFonts w:asciiTheme="minorHAnsi" w:hAnsiTheme="minorHAnsi"/>
          <w:sz w:val="20"/>
          <w:szCs w:val="20"/>
        </w:rPr>
        <w:t xml:space="preserve">Ensuring petroleum resource management is undertaken in accordance with the principles of good oilfield practice. </w:t>
      </w:r>
    </w:p>
    <w:p w14:paraId="7FECE262" w14:textId="1B6E80A0" w:rsidR="00741586" w:rsidRPr="009B1310" w:rsidRDefault="00741586" w:rsidP="008C13C3">
      <w:pPr>
        <w:pStyle w:val="ListParagraph"/>
        <w:numPr>
          <w:ilvl w:val="1"/>
          <w:numId w:val="10"/>
        </w:numPr>
        <w:spacing w:before="160" w:after="160" w:line="276" w:lineRule="auto"/>
        <w:contextualSpacing/>
        <w:rPr>
          <w:rFonts w:asciiTheme="minorHAnsi" w:hAnsiTheme="minorHAnsi"/>
          <w:sz w:val="20"/>
          <w:szCs w:val="20"/>
        </w:rPr>
      </w:pPr>
      <w:r w:rsidRPr="3EECC85E">
        <w:rPr>
          <w:rFonts w:asciiTheme="minorHAnsi" w:hAnsiTheme="minorHAnsi"/>
          <w:sz w:val="20"/>
          <w:szCs w:val="20"/>
        </w:rPr>
        <w:t xml:space="preserve">Secure </w:t>
      </w:r>
      <w:r w:rsidR="00250401" w:rsidRPr="3EECC85E">
        <w:rPr>
          <w:rFonts w:asciiTheme="minorHAnsi" w:hAnsiTheme="minorHAnsi"/>
          <w:sz w:val="20"/>
          <w:szCs w:val="20"/>
        </w:rPr>
        <w:t xml:space="preserve">optimum </w:t>
      </w:r>
      <w:r w:rsidR="00DC3121" w:rsidRPr="3EECC85E">
        <w:rPr>
          <w:rFonts w:asciiTheme="minorHAnsi" w:hAnsiTheme="minorHAnsi"/>
          <w:sz w:val="20"/>
          <w:szCs w:val="20"/>
        </w:rPr>
        <w:t>long-term</w:t>
      </w:r>
      <w:r w:rsidR="00250401" w:rsidRPr="3EECC85E">
        <w:rPr>
          <w:rFonts w:asciiTheme="minorHAnsi" w:hAnsiTheme="minorHAnsi"/>
          <w:sz w:val="20"/>
          <w:szCs w:val="20"/>
        </w:rPr>
        <w:t xml:space="preserve"> recovery</w:t>
      </w:r>
      <w:r w:rsidR="00DC3121" w:rsidRPr="3EECC85E">
        <w:rPr>
          <w:rFonts w:asciiTheme="minorHAnsi" w:hAnsiTheme="minorHAnsi"/>
          <w:sz w:val="20"/>
          <w:szCs w:val="20"/>
        </w:rPr>
        <w:t xml:space="preserve"> of petroleum.</w:t>
      </w:r>
    </w:p>
    <w:p w14:paraId="67377173" w14:textId="331B4C44" w:rsidR="000837D3" w:rsidRDefault="156E22E2" w:rsidP="008C13C3">
      <w:pPr>
        <w:pStyle w:val="ListParagraph"/>
        <w:numPr>
          <w:ilvl w:val="1"/>
          <w:numId w:val="10"/>
        </w:numPr>
        <w:spacing w:before="160" w:after="160" w:line="276" w:lineRule="auto"/>
        <w:contextualSpacing/>
        <w:rPr>
          <w:rFonts w:asciiTheme="minorHAnsi" w:hAnsiTheme="minorHAnsi"/>
          <w:sz w:val="20"/>
          <w:szCs w:val="20"/>
        </w:rPr>
      </w:pPr>
      <w:r w:rsidRPr="3EECC85E">
        <w:rPr>
          <w:rFonts w:asciiTheme="minorHAnsi" w:hAnsiTheme="minorHAnsi"/>
          <w:sz w:val="20"/>
          <w:szCs w:val="20"/>
        </w:rPr>
        <w:t>F</w:t>
      </w:r>
      <w:r w:rsidR="2BCEC3DB" w:rsidRPr="3EECC85E">
        <w:rPr>
          <w:rFonts w:asciiTheme="minorHAnsi" w:hAnsiTheme="minorHAnsi"/>
          <w:sz w:val="20"/>
          <w:szCs w:val="20"/>
        </w:rPr>
        <w:t>ield</w:t>
      </w:r>
      <w:r w:rsidR="008C13C3" w:rsidRPr="3EECC85E">
        <w:rPr>
          <w:rFonts w:asciiTheme="minorHAnsi" w:hAnsiTheme="minorHAnsi"/>
          <w:sz w:val="20"/>
          <w:szCs w:val="20"/>
        </w:rPr>
        <w:t xml:space="preserve"> performance monitoring strategies</w:t>
      </w:r>
      <w:r w:rsidR="002D01FD" w:rsidRPr="3EECC85E">
        <w:rPr>
          <w:rFonts w:asciiTheme="minorHAnsi" w:hAnsiTheme="minorHAnsi"/>
          <w:sz w:val="20"/>
          <w:szCs w:val="20"/>
        </w:rPr>
        <w:t xml:space="preserve"> and reporting.</w:t>
      </w:r>
    </w:p>
    <w:p w14:paraId="09895787" w14:textId="442F9E6E" w:rsidR="008C13C3" w:rsidRPr="009B1310" w:rsidRDefault="00AF6492" w:rsidP="008C13C3">
      <w:pPr>
        <w:pStyle w:val="ListParagraph"/>
        <w:numPr>
          <w:ilvl w:val="1"/>
          <w:numId w:val="10"/>
        </w:numPr>
        <w:spacing w:before="160" w:after="160" w:line="276" w:lineRule="auto"/>
        <w:contextualSpacing/>
        <w:rPr>
          <w:rFonts w:asciiTheme="minorHAnsi" w:hAnsiTheme="minorHAnsi"/>
          <w:sz w:val="20"/>
          <w:szCs w:val="20"/>
        </w:rPr>
      </w:pPr>
      <w:r w:rsidRPr="3EECC85E">
        <w:rPr>
          <w:rFonts w:asciiTheme="minorHAnsi" w:hAnsiTheme="minorHAnsi"/>
          <w:sz w:val="20"/>
          <w:szCs w:val="20"/>
        </w:rPr>
        <w:t xml:space="preserve">Engagement with </w:t>
      </w:r>
      <w:r w:rsidR="007D6FDE" w:rsidRPr="3EECC85E">
        <w:rPr>
          <w:rFonts w:asciiTheme="minorHAnsi" w:hAnsiTheme="minorHAnsi"/>
          <w:sz w:val="20"/>
          <w:szCs w:val="20"/>
        </w:rPr>
        <w:t xml:space="preserve">titleholders </w:t>
      </w:r>
      <w:r w:rsidR="00156CC8" w:rsidRPr="3EECC85E">
        <w:rPr>
          <w:rFonts w:asciiTheme="minorHAnsi" w:hAnsiTheme="minorHAnsi"/>
          <w:sz w:val="20"/>
          <w:szCs w:val="20"/>
        </w:rPr>
        <w:t>on the management of late life assets</w:t>
      </w:r>
      <w:r w:rsidR="0073797A" w:rsidRPr="3EECC85E">
        <w:rPr>
          <w:rFonts w:asciiTheme="minorHAnsi" w:hAnsiTheme="minorHAnsi"/>
          <w:sz w:val="20"/>
          <w:szCs w:val="20"/>
        </w:rPr>
        <w:t>.</w:t>
      </w:r>
      <w:r w:rsidR="00156CC8" w:rsidRPr="3EECC85E">
        <w:rPr>
          <w:rFonts w:asciiTheme="minorHAnsi" w:hAnsiTheme="minorHAnsi"/>
          <w:sz w:val="20"/>
          <w:szCs w:val="20"/>
        </w:rPr>
        <w:t xml:space="preserve"> </w:t>
      </w:r>
      <w:r w:rsidR="008C13C3" w:rsidRPr="3EECC85E">
        <w:rPr>
          <w:rFonts w:asciiTheme="minorHAnsi" w:hAnsiTheme="minorHAnsi"/>
          <w:sz w:val="20"/>
          <w:szCs w:val="20"/>
        </w:rPr>
        <w:t xml:space="preserve"> </w:t>
      </w:r>
    </w:p>
    <w:p w14:paraId="759E9628" w14:textId="34E06452" w:rsidR="00D344EE" w:rsidRDefault="008C13C3" w:rsidP="00BB1922">
      <w:pPr>
        <w:pStyle w:val="ListParagraph"/>
        <w:numPr>
          <w:ilvl w:val="1"/>
          <w:numId w:val="10"/>
        </w:numPr>
        <w:spacing w:before="160" w:after="160" w:line="276" w:lineRule="auto"/>
        <w:contextualSpacing/>
        <w:rPr>
          <w:rFonts w:asciiTheme="minorHAnsi" w:hAnsiTheme="minorHAnsi" w:cstheme="minorHAnsi"/>
          <w:sz w:val="20"/>
          <w:szCs w:val="20"/>
        </w:rPr>
      </w:pPr>
      <w:r w:rsidRPr="009B1310">
        <w:rPr>
          <w:rFonts w:asciiTheme="minorHAnsi" w:hAnsiTheme="minorHAnsi" w:cstheme="minorHAnsi"/>
          <w:sz w:val="20"/>
          <w:szCs w:val="20"/>
        </w:rPr>
        <w:t>Collecting levies and fees in accordance with government policy and Titles Administrator’s approved Cost Recovery Implementation Statements. Maintaining special accounts consistent with the</w:t>
      </w:r>
      <w:r w:rsidRPr="002D1895">
        <w:rPr>
          <w:rFonts w:asciiTheme="minorHAnsi" w:hAnsiTheme="minorHAnsi" w:cstheme="minorHAnsi"/>
          <w:sz w:val="20"/>
          <w:szCs w:val="20"/>
        </w:rPr>
        <w:t xml:space="preserve"> requirements of the Public Governance, Performance and Accountability Act 2013 (PGPA Act)</w:t>
      </w:r>
      <w:r w:rsidR="009256A5">
        <w:rPr>
          <w:rStyle w:val="FootnoteReference"/>
          <w:rFonts w:cstheme="minorHAnsi"/>
          <w:sz w:val="20"/>
          <w:szCs w:val="20"/>
        </w:rPr>
        <w:footnoteReference w:id="12"/>
      </w:r>
      <w:r w:rsidRPr="002D1895">
        <w:rPr>
          <w:rFonts w:asciiTheme="minorHAnsi" w:hAnsiTheme="minorHAnsi" w:cstheme="minorHAnsi"/>
          <w:sz w:val="20"/>
          <w:szCs w:val="20"/>
        </w:rPr>
        <w:t>.</w:t>
      </w:r>
    </w:p>
    <w:p w14:paraId="207B1921" w14:textId="77777777" w:rsidR="00BB1922" w:rsidRPr="00BB1922" w:rsidRDefault="00BB1922" w:rsidP="00BB1922">
      <w:pPr>
        <w:pStyle w:val="ListParagraph"/>
        <w:numPr>
          <w:ilvl w:val="0"/>
          <w:numId w:val="0"/>
        </w:numPr>
        <w:spacing w:before="160" w:after="160" w:line="276" w:lineRule="auto"/>
        <w:ind w:left="720"/>
        <w:contextualSpacing/>
        <w:rPr>
          <w:rFonts w:asciiTheme="minorHAnsi" w:hAnsiTheme="minorHAnsi" w:cstheme="minorHAnsi"/>
          <w:sz w:val="20"/>
          <w:szCs w:val="20"/>
        </w:rPr>
      </w:pPr>
    </w:p>
    <w:p w14:paraId="023ECAD1" w14:textId="77777777" w:rsidR="00BB1922" w:rsidRDefault="00C73B39" w:rsidP="00BB1922">
      <w:pPr>
        <w:spacing w:after="0"/>
        <w:rPr>
          <w:rFonts w:cstheme="minorHAnsi"/>
        </w:rPr>
      </w:pPr>
      <w:r w:rsidRPr="00BE4D82">
        <w:rPr>
          <w:rFonts w:cstheme="minorHAnsi"/>
        </w:rPr>
        <w:t>NOPTA undertakes the functions legislated to it under the OPGGS Act, including support functions. The teams and staff involved in delivering these functions are outlined as follows.</w:t>
      </w:r>
    </w:p>
    <w:p w14:paraId="1B9F30AF" w14:textId="77777777" w:rsidR="00BB1922" w:rsidRDefault="00BB1922" w:rsidP="00BB1922">
      <w:pPr>
        <w:spacing w:after="0"/>
        <w:rPr>
          <w:rFonts w:cstheme="minorHAnsi"/>
        </w:rPr>
      </w:pPr>
    </w:p>
    <w:p w14:paraId="4114AA15" w14:textId="0A117102" w:rsidR="001E341C" w:rsidRPr="00BB1922" w:rsidRDefault="113E4F87" w:rsidP="7D2C4714">
      <w:pPr>
        <w:spacing w:after="0"/>
      </w:pPr>
      <w:r w:rsidRPr="00BE4D82">
        <w:t>NOPTA</w:t>
      </w:r>
      <w:r w:rsidR="2949D4EC" w:rsidRPr="00BE4D82">
        <w:t xml:space="preserve">’s </w:t>
      </w:r>
      <w:r w:rsidR="00AC5B54">
        <w:t>2025-26</w:t>
      </w:r>
      <w:r w:rsidR="00470258">
        <w:t xml:space="preserve"> B</w:t>
      </w:r>
      <w:r w:rsidR="00AC5B54">
        <w:t>udget</w:t>
      </w:r>
      <w:r w:rsidR="001E341C" w:rsidDel="113E4F87">
        <w:t xml:space="preserve"> </w:t>
      </w:r>
      <w:r w:rsidRPr="00A934FD">
        <w:t>ha</w:t>
      </w:r>
      <w:r w:rsidR="00AC5B54" w:rsidRPr="00A934FD">
        <w:t>s</w:t>
      </w:r>
      <w:r w:rsidRPr="00A934FD">
        <w:t xml:space="preserve"> </w:t>
      </w:r>
      <w:r w:rsidR="00B67B1B" w:rsidRPr="00A934FD">
        <w:t>9</w:t>
      </w:r>
      <w:r w:rsidR="00974BBA">
        <w:t>1</w:t>
      </w:r>
      <w:r w:rsidR="00690864" w:rsidRPr="002A5270">
        <w:t>.</w:t>
      </w:r>
      <w:r w:rsidR="00DE341F">
        <w:t>7</w:t>
      </w:r>
      <w:r w:rsidRPr="00A934FD">
        <w:t xml:space="preserve"> </w:t>
      </w:r>
      <w:r w:rsidR="00273E56" w:rsidRPr="00A934FD">
        <w:t>A</w:t>
      </w:r>
      <w:r w:rsidR="00A83886" w:rsidRPr="00A934FD">
        <w:t xml:space="preserve">verage </w:t>
      </w:r>
      <w:r w:rsidR="00273E56" w:rsidRPr="00A934FD">
        <w:t>S</w:t>
      </w:r>
      <w:r w:rsidR="00B9215C" w:rsidRPr="00A934FD">
        <w:t xml:space="preserve">taffing </w:t>
      </w:r>
      <w:r w:rsidR="00273E56" w:rsidRPr="00A934FD">
        <w:t>L</w:t>
      </w:r>
      <w:r w:rsidR="00B9215C" w:rsidRPr="00A934FD">
        <w:t>evel</w:t>
      </w:r>
      <w:r w:rsidRPr="00A934FD">
        <w:t xml:space="preserve"> </w:t>
      </w:r>
      <w:r w:rsidR="006734AE" w:rsidRPr="00A934FD">
        <w:t xml:space="preserve">(ASL) </w:t>
      </w:r>
      <w:r w:rsidRPr="00A934FD">
        <w:t>staff (</w:t>
      </w:r>
      <w:r w:rsidR="006734AE" w:rsidRPr="00A934FD">
        <w:t>plus</w:t>
      </w:r>
      <w:r w:rsidRPr="00A934FD">
        <w:t xml:space="preserve"> </w:t>
      </w:r>
      <w:r w:rsidR="00473FCC">
        <w:t>7.18</w:t>
      </w:r>
      <w:r w:rsidR="003150C1" w:rsidRPr="00A934FD">
        <w:t xml:space="preserve"> </w:t>
      </w:r>
      <w:r w:rsidRPr="00A934FD">
        <w:t>contractors) to support the delivery of its legislated functions.</w:t>
      </w:r>
      <w:r w:rsidR="001E341C" w:rsidRPr="00A934FD">
        <w:rPr>
          <w:rStyle w:val="FootnoteReference"/>
        </w:rPr>
        <w:footnoteReference w:id="13"/>
      </w:r>
      <w:r w:rsidRPr="00A934FD">
        <w:t xml:space="preserve"> This includes </w:t>
      </w:r>
      <w:r w:rsidR="00B80B02">
        <w:t>8</w:t>
      </w:r>
      <w:r w:rsidR="001D5E34">
        <w:t>2.1</w:t>
      </w:r>
      <w:r w:rsidRPr="00A934FD">
        <w:t xml:space="preserve"> </w:t>
      </w:r>
      <w:r w:rsidR="54019016" w:rsidRPr="00A934FD">
        <w:t>ASL</w:t>
      </w:r>
      <w:r w:rsidRPr="00A934FD">
        <w:t xml:space="preserve"> in the </w:t>
      </w:r>
      <w:r w:rsidR="00FD1AAA" w:rsidRPr="00A934FD">
        <w:t>twelve</w:t>
      </w:r>
      <w:r w:rsidRPr="00A934FD">
        <w:t xml:space="preserve"> specialised</w:t>
      </w:r>
      <w:r w:rsidRPr="00BE4D82">
        <w:t xml:space="preserve"> teams</w:t>
      </w:r>
      <w:r w:rsidR="001E2DC3">
        <w:t>.</w:t>
      </w:r>
    </w:p>
    <w:p w14:paraId="6BC3C4DD" w14:textId="77777777" w:rsidR="001E341C" w:rsidRDefault="001E341C" w:rsidP="00D34C88"/>
    <w:p w14:paraId="6C8CB637" w14:textId="1DC8225C" w:rsidR="001E341C" w:rsidRPr="007930D0" w:rsidRDefault="001E341C" w:rsidP="00550BE9">
      <w:pPr>
        <w:spacing w:after="0"/>
        <w:rPr>
          <w:rStyle w:val="cf01"/>
          <w:i/>
          <w:iCs/>
        </w:rPr>
      </w:pPr>
      <w:r w:rsidRPr="007930D0">
        <w:rPr>
          <w:rStyle w:val="cf01"/>
          <w:i/>
          <w:iCs/>
        </w:rPr>
        <w:t>Departmental overheads</w:t>
      </w:r>
    </w:p>
    <w:p w14:paraId="3C646C6E" w14:textId="2DC498BE" w:rsidR="007930D0" w:rsidRPr="00BE4D82" w:rsidRDefault="00444961" w:rsidP="00550BE9">
      <w:pPr>
        <w:spacing w:after="0"/>
        <w:rPr>
          <w:rFonts w:cstheme="minorHAnsi"/>
        </w:rPr>
      </w:pPr>
      <w:r>
        <w:rPr>
          <w:rFonts w:cstheme="minorHAnsi"/>
        </w:rPr>
        <w:t>De</w:t>
      </w:r>
      <w:r w:rsidR="002544D3">
        <w:rPr>
          <w:rFonts w:cstheme="minorHAnsi"/>
        </w:rPr>
        <w:t>partment of Industry</w:t>
      </w:r>
      <w:r w:rsidR="008D4B21">
        <w:rPr>
          <w:rFonts w:cstheme="minorHAnsi"/>
        </w:rPr>
        <w:t>, Science and Resources (</w:t>
      </w:r>
      <w:r w:rsidR="001C1893">
        <w:rPr>
          <w:rFonts w:cstheme="minorHAnsi"/>
        </w:rPr>
        <w:t>DISR</w:t>
      </w:r>
      <w:r w:rsidR="008D4B21">
        <w:rPr>
          <w:rFonts w:cstheme="minorHAnsi"/>
        </w:rPr>
        <w:t>)</w:t>
      </w:r>
      <w:r w:rsidR="007930D0" w:rsidRPr="00BE4D82">
        <w:rPr>
          <w:rFonts w:cstheme="minorHAnsi"/>
        </w:rPr>
        <w:t xml:space="preserve"> provides the following support and services to NOPTA:</w:t>
      </w:r>
    </w:p>
    <w:p w14:paraId="73A09E4F" w14:textId="1E1562DD" w:rsidR="007930D0" w:rsidRPr="004E2194" w:rsidRDefault="007930D0" w:rsidP="00AF30D7">
      <w:pPr>
        <w:pStyle w:val="ListParagraph"/>
        <w:numPr>
          <w:ilvl w:val="1"/>
          <w:numId w:val="10"/>
        </w:numPr>
        <w:spacing w:before="160" w:after="160" w:line="276" w:lineRule="auto"/>
        <w:contextualSpacing/>
        <w:rPr>
          <w:rFonts w:asciiTheme="minorHAnsi" w:hAnsiTheme="minorHAnsi" w:cstheme="minorHAnsi"/>
          <w:sz w:val="20"/>
          <w:szCs w:val="20"/>
        </w:rPr>
      </w:pPr>
      <w:r w:rsidRPr="004E2194">
        <w:rPr>
          <w:rFonts w:asciiTheme="minorHAnsi" w:hAnsiTheme="minorHAnsi" w:cstheme="minorHAnsi"/>
          <w:sz w:val="20"/>
          <w:szCs w:val="20"/>
        </w:rPr>
        <w:t xml:space="preserve">workers compensation insurance premium </w:t>
      </w:r>
    </w:p>
    <w:p w14:paraId="73E6418B" w14:textId="4EFB9DDF" w:rsidR="007930D0" w:rsidRPr="004E2194" w:rsidRDefault="007930D0" w:rsidP="00AF30D7">
      <w:pPr>
        <w:pStyle w:val="ListParagraph"/>
        <w:numPr>
          <w:ilvl w:val="1"/>
          <w:numId w:val="10"/>
        </w:numPr>
        <w:spacing w:before="160" w:after="160" w:line="276" w:lineRule="auto"/>
        <w:contextualSpacing/>
        <w:rPr>
          <w:rFonts w:asciiTheme="minorHAnsi" w:hAnsiTheme="minorHAnsi" w:cstheme="minorHAnsi"/>
          <w:sz w:val="20"/>
          <w:szCs w:val="20"/>
        </w:rPr>
      </w:pPr>
      <w:r w:rsidRPr="004E2194">
        <w:rPr>
          <w:rFonts w:asciiTheme="minorHAnsi" w:hAnsiTheme="minorHAnsi" w:cstheme="minorHAnsi"/>
          <w:sz w:val="20"/>
          <w:szCs w:val="20"/>
        </w:rPr>
        <w:t xml:space="preserve">property and general liability insurance premium </w:t>
      </w:r>
    </w:p>
    <w:p w14:paraId="78FA6E69" w14:textId="7A6EF887" w:rsidR="007930D0" w:rsidRPr="004E2194" w:rsidRDefault="007930D0" w:rsidP="00AF30D7">
      <w:pPr>
        <w:pStyle w:val="ListParagraph"/>
        <w:numPr>
          <w:ilvl w:val="1"/>
          <w:numId w:val="10"/>
        </w:numPr>
        <w:spacing w:before="160" w:after="160" w:line="276" w:lineRule="auto"/>
        <w:contextualSpacing/>
        <w:rPr>
          <w:rFonts w:asciiTheme="minorHAnsi" w:hAnsiTheme="minorHAnsi" w:cstheme="minorHAnsi"/>
          <w:sz w:val="20"/>
          <w:szCs w:val="20"/>
        </w:rPr>
      </w:pPr>
      <w:r w:rsidRPr="004E2194">
        <w:rPr>
          <w:rFonts w:asciiTheme="minorHAnsi" w:hAnsiTheme="minorHAnsi" w:cstheme="minorHAnsi"/>
          <w:sz w:val="20"/>
          <w:szCs w:val="20"/>
        </w:rPr>
        <w:t xml:space="preserve">governance structure (Accountable Authority instructions, delegations, departmental policies), mandatory training, financial and other departmental systems, corporate support </w:t>
      </w:r>
    </w:p>
    <w:p w14:paraId="3A6A9A72" w14:textId="7AD1CAED" w:rsidR="007930D0" w:rsidRPr="004E2194" w:rsidRDefault="0093592D" w:rsidP="00AF30D7">
      <w:pPr>
        <w:pStyle w:val="ListParagraph"/>
        <w:numPr>
          <w:ilvl w:val="1"/>
          <w:numId w:val="10"/>
        </w:numPr>
        <w:spacing w:before="160" w:after="160" w:line="276" w:lineRule="auto"/>
        <w:contextualSpacing/>
        <w:rPr>
          <w:rFonts w:asciiTheme="minorHAnsi" w:hAnsiTheme="minorHAnsi" w:cstheme="minorHAnsi"/>
          <w:sz w:val="20"/>
          <w:szCs w:val="20"/>
        </w:rPr>
      </w:pPr>
      <w:r>
        <w:rPr>
          <w:rFonts w:asciiTheme="minorHAnsi" w:hAnsiTheme="minorHAnsi" w:cstheme="minorHAnsi"/>
          <w:sz w:val="20"/>
          <w:szCs w:val="20"/>
        </w:rPr>
        <w:t>s</w:t>
      </w:r>
      <w:r w:rsidR="007930D0" w:rsidRPr="004E2194">
        <w:rPr>
          <w:rFonts w:asciiTheme="minorHAnsi" w:hAnsiTheme="minorHAnsi" w:cstheme="minorHAnsi"/>
          <w:sz w:val="20"/>
          <w:szCs w:val="20"/>
        </w:rPr>
        <w:t xml:space="preserve">tandard </w:t>
      </w:r>
      <w:r>
        <w:rPr>
          <w:rFonts w:asciiTheme="minorHAnsi" w:hAnsiTheme="minorHAnsi" w:cstheme="minorHAnsi"/>
          <w:sz w:val="20"/>
          <w:szCs w:val="20"/>
        </w:rPr>
        <w:t>p</w:t>
      </w:r>
      <w:r w:rsidR="007930D0" w:rsidRPr="004E2194">
        <w:rPr>
          <w:rFonts w:asciiTheme="minorHAnsi" w:hAnsiTheme="minorHAnsi" w:cstheme="minorHAnsi"/>
          <w:sz w:val="20"/>
          <w:szCs w:val="20"/>
        </w:rPr>
        <w:t xml:space="preserve">rotected </w:t>
      </w:r>
      <w:r>
        <w:rPr>
          <w:rFonts w:asciiTheme="minorHAnsi" w:hAnsiTheme="minorHAnsi" w:cstheme="minorHAnsi"/>
          <w:sz w:val="20"/>
          <w:szCs w:val="20"/>
        </w:rPr>
        <w:t>d</w:t>
      </w:r>
      <w:r w:rsidR="007930D0" w:rsidRPr="004E2194">
        <w:rPr>
          <w:rFonts w:asciiTheme="minorHAnsi" w:hAnsiTheme="minorHAnsi" w:cstheme="minorHAnsi"/>
          <w:sz w:val="20"/>
          <w:szCs w:val="20"/>
        </w:rPr>
        <w:t xml:space="preserve">esktop </w:t>
      </w:r>
      <w:r>
        <w:rPr>
          <w:rFonts w:asciiTheme="minorHAnsi" w:hAnsiTheme="minorHAnsi" w:cstheme="minorHAnsi"/>
          <w:sz w:val="20"/>
          <w:szCs w:val="20"/>
        </w:rPr>
        <w:t>o</w:t>
      </w:r>
      <w:r w:rsidR="007930D0" w:rsidRPr="004E2194">
        <w:rPr>
          <w:rFonts w:asciiTheme="minorHAnsi" w:hAnsiTheme="minorHAnsi" w:cstheme="minorHAnsi"/>
          <w:sz w:val="20"/>
          <w:szCs w:val="20"/>
        </w:rPr>
        <w:t xml:space="preserve">ffering </w:t>
      </w:r>
    </w:p>
    <w:p w14:paraId="26B3DB43" w14:textId="168CB8E3" w:rsidR="007930D0" w:rsidRPr="004E2194" w:rsidRDefault="007361E8" w:rsidP="00AF30D7">
      <w:pPr>
        <w:pStyle w:val="ListParagraph"/>
        <w:numPr>
          <w:ilvl w:val="1"/>
          <w:numId w:val="10"/>
        </w:numPr>
        <w:spacing w:before="160" w:after="160" w:line="276" w:lineRule="auto"/>
        <w:contextualSpacing/>
        <w:rPr>
          <w:rFonts w:asciiTheme="minorHAnsi" w:hAnsiTheme="minorHAnsi" w:cstheme="minorHAnsi"/>
          <w:sz w:val="20"/>
          <w:szCs w:val="20"/>
        </w:rPr>
      </w:pPr>
      <w:r>
        <w:rPr>
          <w:rFonts w:asciiTheme="minorHAnsi" w:hAnsiTheme="minorHAnsi" w:cstheme="minorHAnsi"/>
          <w:sz w:val="20"/>
          <w:szCs w:val="20"/>
        </w:rPr>
        <w:t>h</w:t>
      </w:r>
      <w:r w:rsidR="007930D0" w:rsidRPr="004E2194">
        <w:rPr>
          <w:rFonts w:asciiTheme="minorHAnsi" w:hAnsiTheme="minorHAnsi" w:cstheme="minorHAnsi"/>
          <w:sz w:val="20"/>
          <w:szCs w:val="20"/>
        </w:rPr>
        <w:t xml:space="preserve">uman </w:t>
      </w:r>
      <w:r>
        <w:rPr>
          <w:rFonts w:asciiTheme="minorHAnsi" w:hAnsiTheme="minorHAnsi" w:cstheme="minorHAnsi"/>
          <w:sz w:val="20"/>
          <w:szCs w:val="20"/>
        </w:rPr>
        <w:t>r</w:t>
      </w:r>
      <w:r w:rsidR="007930D0" w:rsidRPr="004E2194">
        <w:rPr>
          <w:rFonts w:asciiTheme="minorHAnsi" w:hAnsiTheme="minorHAnsi" w:cstheme="minorHAnsi"/>
          <w:sz w:val="20"/>
          <w:szCs w:val="20"/>
        </w:rPr>
        <w:t>esources support and payroll processing.</w:t>
      </w:r>
    </w:p>
    <w:p w14:paraId="5CEF56A1" w14:textId="1E3263F4" w:rsidR="007930D0" w:rsidRPr="00BE4D82" w:rsidRDefault="007930D0" w:rsidP="007930D0">
      <w:pPr>
        <w:rPr>
          <w:rFonts w:cstheme="minorHAnsi"/>
        </w:rPr>
      </w:pPr>
      <w:r w:rsidRPr="00BA1D37">
        <w:rPr>
          <w:rFonts w:cstheme="minorHAnsi"/>
        </w:rPr>
        <w:t>Costs are allocated to NOPTA and included in the cost recovery model as overheads. The 202</w:t>
      </w:r>
      <w:r w:rsidR="00B50E4B" w:rsidRPr="00BA1D37">
        <w:rPr>
          <w:rFonts w:cstheme="minorHAnsi"/>
        </w:rPr>
        <w:t>5</w:t>
      </w:r>
      <w:r w:rsidRPr="00BA1D37">
        <w:rPr>
          <w:rFonts w:cstheme="minorHAnsi"/>
        </w:rPr>
        <w:t>-2</w:t>
      </w:r>
      <w:r w:rsidR="00B50E4B" w:rsidRPr="00BA1D37">
        <w:rPr>
          <w:rFonts w:cstheme="minorHAnsi"/>
        </w:rPr>
        <w:t>6</w:t>
      </w:r>
      <w:r w:rsidRPr="00BA1D37">
        <w:rPr>
          <w:rFonts w:cstheme="minorHAnsi"/>
        </w:rPr>
        <w:t xml:space="preserve"> financial year costs are estimated to be $</w:t>
      </w:r>
      <w:r w:rsidR="00BA1713" w:rsidRPr="00BA1D37">
        <w:rPr>
          <w:rFonts w:cstheme="minorHAnsi"/>
        </w:rPr>
        <w:t>1,</w:t>
      </w:r>
      <w:r w:rsidR="00BA0B0E" w:rsidRPr="00BA1D37">
        <w:rPr>
          <w:rFonts w:cstheme="minorHAnsi"/>
        </w:rPr>
        <w:t>596</w:t>
      </w:r>
      <w:r w:rsidR="00E13A5F" w:rsidRPr="00BA1D37">
        <w:rPr>
          <w:rFonts w:cstheme="minorHAnsi"/>
        </w:rPr>
        <w:t>,</w:t>
      </w:r>
      <w:r w:rsidR="00BA1D37" w:rsidRPr="00BA1D37">
        <w:rPr>
          <w:rFonts w:cstheme="minorHAnsi"/>
        </w:rPr>
        <w:t>490</w:t>
      </w:r>
      <w:r w:rsidRPr="00BA1D37">
        <w:rPr>
          <w:rFonts w:cstheme="minorHAnsi"/>
        </w:rPr>
        <w:t>.</w:t>
      </w:r>
    </w:p>
    <w:p w14:paraId="278929C3" w14:textId="44EF1792" w:rsidR="00CD005B" w:rsidRPr="00CD005B" w:rsidRDefault="007930D0" w:rsidP="00CD005B">
      <w:pPr>
        <w:rPr>
          <w:rFonts w:cstheme="minorHAnsi"/>
        </w:rPr>
      </w:pPr>
      <w:r w:rsidRPr="00BE4D82">
        <w:rPr>
          <w:rFonts w:cstheme="minorHAnsi"/>
        </w:rPr>
        <w:t>NOPTA shares accommodation with NOPSEMA in Perth and Melbourne</w:t>
      </w:r>
      <w:r w:rsidR="003E224D">
        <w:rPr>
          <w:rFonts w:cstheme="minorHAnsi"/>
        </w:rPr>
        <w:t>, being the</w:t>
      </w:r>
      <w:r w:rsidR="00936286">
        <w:rPr>
          <w:rFonts w:cstheme="minorHAnsi"/>
        </w:rPr>
        <w:t xml:space="preserve"> most </w:t>
      </w:r>
      <w:r w:rsidR="00CE50E0">
        <w:rPr>
          <w:rFonts w:cstheme="minorHAnsi"/>
        </w:rPr>
        <w:t>cost-effective</w:t>
      </w:r>
      <w:r w:rsidR="00936286">
        <w:rPr>
          <w:rFonts w:cstheme="minorHAnsi"/>
        </w:rPr>
        <w:t xml:space="preserve"> option</w:t>
      </w:r>
      <w:r w:rsidRPr="00BE4D82">
        <w:rPr>
          <w:rFonts w:cstheme="minorHAnsi"/>
        </w:rPr>
        <w:t>.</w:t>
      </w:r>
    </w:p>
    <w:p w14:paraId="491F0ACF" w14:textId="77777777" w:rsidR="00CD005B" w:rsidRDefault="00CD005B" w:rsidP="007930D0">
      <w:pPr>
        <w:rPr>
          <w:rFonts w:cstheme="minorHAnsi"/>
        </w:rPr>
      </w:pPr>
    </w:p>
    <w:p w14:paraId="4A1ACFBD" w14:textId="69880598" w:rsidR="00515396" w:rsidRDefault="00A36F09" w:rsidP="00A36F09">
      <w:pPr>
        <w:spacing w:after="0"/>
        <w:rPr>
          <w:rFonts w:cstheme="minorHAnsi"/>
        </w:rPr>
      </w:pPr>
      <w:r w:rsidRPr="00A36F09">
        <w:rPr>
          <w:rFonts w:cstheme="minorHAnsi"/>
          <w:i/>
          <w:iCs/>
        </w:rPr>
        <w:t>Outputs and business processes</w:t>
      </w:r>
    </w:p>
    <w:p w14:paraId="5057ACE9" w14:textId="77777777" w:rsidR="00A36F09" w:rsidRPr="00A36F09" w:rsidRDefault="00A36F09" w:rsidP="007930D0">
      <w:pPr>
        <w:rPr>
          <w:rFonts w:cstheme="minorHAnsi"/>
        </w:rPr>
      </w:pPr>
    </w:p>
    <w:p w14:paraId="16D5BC9E" w14:textId="23681AAD" w:rsidR="007930D0" w:rsidRPr="0012039D" w:rsidRDefault="0012039D" w:rsidP="00D57F8E">
      <w:pPr>
        <w:pStyle w:val="Caption"/>
      </w:pPr>
      <w:r w:rsidRPr="0012039D">
        <w:t xml:space="preserve">Table </w:t>
      </w:r>
      <w:r w:rsidR="00AF228C">
        <w:t>3</w:t>
      </w:r>
      <w:r w:rsidRPr="0012039D">
        <w:t xml:space="preserve">: </w:t>
      </w:r>
      <w:r w:rsidR="007930D0" w:rsidRPr="0012039D">
        <w:t>Outputs and business processes</w:t>
      </w:r>
    </w:p>
    <w:p w14:paraId="3A467BDA" w14:textId="3518781E" w:rsidR="007930D0" w:rsidRPr="007930D0" w:rsidRDefault="007930D0" w:rsidP="00550BE9">
      <w:pPr>
        <w:spacing w:after="0"/>
      </w:pPr>
      <w:r>
        <w:t>All references are to the OPGGS Act unless otherwise described.</w:t>
      </w:r>
    </w:p>
    <w:tbl>
      <w:tblPr>
        <w:tblStyle w:val="ListTable3-Accent1"/>
        <w:tblW w:w="9351" w:type="dxa"/>
        <w:tblLook w:val="04A0" w:firstRow="1" w:lastRow="0" w:firstColumn="1" w:lastColumn="0" w:noHBand="0" w:noVBand="1"/>
      </w:tblPr>
      <w:tblGrid>
        <w:gridCol w:w="568"/>
        <w:gridCol w:w="3538"/>
        <w:gridCol w:w="5245"/>
      </w:tblGrid>
      <w:tr w:rsidR="007930D0" w:rsidRPr="001B57AC" w14:paraId="388B6BE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68" w:type="dxa"/>
            <w:tcBorders>
              <w:top w:val="single" w:sz="4" w:space="0" w:color="5B9BD5" w:themeColor="accent1"/>
            </w:tcBorders>
            <w:hideMark/>
          </w:tcPr>
          <w:p w14:paraId="2172AD12" w14:textId="77777777" w:rsidR="007930D0" w:rsidRPr="00BE4D82" w:rsidRDefault="007930D0">
            <w:pPr>
              <w:jc w:val="center"/>
              <w:rPr>
                <w:rFonts w:cstheme="minorHAnsi"/>
                <w:b w:val="0"/>
                <w:bCs w:val="0"/>
                <w:sz w:val="18"/>
                <w:szCs w:val="18"/>
                <w:lang w:val="en-AU"/>
              </w:rPr>
            </w:pPr>
            <w:r w:rsidRPr="00BE4D82">
              <w:rPr>
                <w:rFonts w:cstheme="minorHAnsi"/>
                <w:sz w:val="18"/>
                <w:szCs w:val="18"/>
                <w:lang w:val="en-AU"/>
              </w:rPr>
              <w:t>No</w:t>
            </w:r>
          </w:p>
        </w:tc>
        <w:tc>
          <w:tcPr>
            <w:tcW w:w="3538" w:type="dxa"/>
            <w:tcBorders>
              <w:top w:val="single" w:sz="4" w:space="0" w:color="5B9BD5" w:themeColor="accent1"/>
            </w:tcBorders>
            <w:hideMark/>
          </w:tcPr>
          <w:p w14:paraId="47664289" w14:textId="0BEC8F37" w:rsidR="007930D0" w:rsidRPr="00BE4D82" w:rsidRDefault="0012039D">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val="en-AU"/>
              </w:rPr>
            </w:pPr>
            <w:r>
              <w:rPr>
                <w:rFonts w:cstheme="minorHAnsi"/>
                <w:sz w:val="18"/>
                <w:szCs w:val="18"/>
                <w:lang w:val="en-AU"/>
              </w:rPr>
              <w:t>Outputs</w:t>
            </w:r>
          </w:p>
        </w:tc>
        <w:tc>
          <w:tcPr>
            <w:tcW w:w="5245" w:type="dxa"/>
            <w:tcBorders>
              <w:top w:val="single" w:sz="4" w:space="0" w:color="5B9BD5" w:themeColor="accent1"/>
            </w:tcBorders>
            <w:hideMark/>
          </w:tcPr>
          <w:p w14:paraId="3913680C" w14:textId="77777777" w:rsidR="007930D0" w:rsidRPr="00BE4D82" w:rsidRDefault="007930D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val="en-AU"/>
              </w:rPr>
            </w:pPr>
            <w:r w:rsidRPr="00BE4D82">
              <w:rPr>
                <w:rFonts w:cstheme="minorHAnsi"/>
                <w:sz w:val="18"/>
                <w:szCs w:val="18"/>
                <w:lang w:val="en-AU"/>
              </w:rPr>
              <w:t>Process</w:t>
            </w:r>
          </w:p>
        </w:tc>
      </w:tr>
      <w:tr w:rsidR="007930D0" w:rsidRPr="001B57AC" w14:paraId="082FE7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3"/>
            <w:tcBorders>
              <w:right w:val="single" w:sz="4" w:space="0" w:color="5B9BD5" w:themeColor="accent1"/>
            </w:tcBorders>
            <w:shd w:val="clear" w:color="auto" w:fill="E7E6E6" w:themeFill="background2"/>
          </w:tcPr>
          <w:p w14:paraId="57B65035" w14:textId="77777777" w:rsidR="007930D0" w:rsidRPr="00BE4D82" w:rsidRDefault="007930D0">
            <w:pPr>
              <w:rPr>
                <w:rFonts w:cstheme="minorHAnsi"/>
                <w:b w:val="0"/>
                <w:bCs w:val="0"/>
                <w:i/>
                <w:iCs/>
                <w:sz w:val="18"/>
                <w:szCs w:val="18"/>
                <w:lang w:val="en-AU"/>
              </w:rPr>
            </w:pPr>
            <w:r w:rsidRPr="00BE4D82">
              <w:rPr>
                <w:rFonts w:cstheme="minorHAnsi"/>
                <w:sz w:val="18"/>
                <w:szCs w:val="18"/>
                <w:lang w:val="en-AU"/>
              </w:rPr>
              <w:t>Petroleum</w:t>
            </w:r>
          </w:p>
        </w:tc>
      </w:tr>
      <w:tr w:rsidR="007930D0" w:rsidRPr="001B57AC" w14:paraId="797788B5" w14:textId="77777777">
        <w:tc>
          <w:tcPr>
            <w:cnfStyle w:val="001000000000" w:firstRow="0" w:lastRow="0" w:firstColumn="1" w:lastColumn="0" w:oddVBand="0" w:evenVBand="0" w:oddHBand="0" w:evenHBand="0" w:firstRowFirstColumn="0" w:firstRowLastColumn="0" w:lastRowFirstColumn="0" w:lastRowLastColumn="0"/>
            <w:tcW w:w="568" w:type="dxa"/>
            <w:hideMark/>
          </w:tcPr>
          <w:p w14:paraId="30C98450" w14:textId="77777777" w:rsidR="007930D0" w:rsidRPr="00BE4D82" w:rsidRDefault="007930D0">
            <w:pPr>
              <w:jc w:val="center"/>
              <w:rPr>
                <w:rFonts w:cstheme="minorHAnsi"/>
                <w:b w:val="0"/>
                <w:sz w:val="18"/>
                <w:szCs w:val="18"/>
                <w:lang w:val="en-AU"/>
              </w:rPr>
            </w:pPr>
            <w:r w:rsidRPr="00BE4D82">
              <w:rPr>
                <w:rFonts w:cstheme="minorHAnsi"/>
                <w:sz w:val="18"/>
                <w:szCs w:val="18"/>
                <w:lang w:val="en-AU"/>
              </w:rPr>
              <w:t>1</w:t>
            </w:r>
          </w:p>
        </w:tc>
        <w:tc>
          <w:tcPr>
            <w:tcW w:w="3538" w:type="dxa"/>
            <w:hideMark/>
          </w:tcPr>
          <w:p w14:paraId="3DE5B6E5" w14:textId="77777777" w:rsidR="007930D0" w:rsidRPr="00BE4D82" w:rsidRDefault="007930D0">
            <w:pPr>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AU"/>
              </w:rPr>
            </w:pPr>
            <w:r w:rsidRPr="00BE4D82">
              <w:rPr>
                <w:rFonts w:cstheme="minorHAnsi"/>
                <w:b/>
                <w:sz w:val="18"/>
                <w:szCs w:val="18"/>
                <w:lang w:val="en-AU"/>
              </w:rPr>
              <w:t>Acreage Release</w:t>
            </w:r>
            <w:r w:rsidRPr="00BE4D82">
              <w:rPr>
                <w:rFonts w:cstheme="minorHAnsi"/>
                <w:b/>
                <w:bCs/>
                <w:sz w:val="18"/>
                <w:szCs w:val="18"/>
                <w:lang w:val="en-AU"/>
              </w:rPr>
              <w:t xml:space="preserve"> (Petroleum Exploration Permit):</w:t>
            </w:r>
          </w:p>
          <w:p w14:paraId="30A6541F" w14:textId="77777777" w:rsidR="007930D0" w:rsidRPr="00BE4D82" w:rsidRDefault="007930D0">
            <w:pPr>
              <w:cnfStyle w:val="000000000000" w:firstRow="0" w:lastRow="0" w:firstColumn="0" w:lastColumn="0" w:oddVBand="0" w:evenVBand="0" w:oddHBand="0" w:evenHBand="0" w:firstRowFirstColumn="0" w:firstRowLastColumn="0" w:lastRowFirstColumn="0" w:lastRowLastColumn="0"/>
              <w:rPr>
                <w:rFonts w:cstheme="minorHAnsi"/>
                <w:sz w:val="18"/>
                <w:szCs w:val="18"/>
                <w:lang w:val="en-AU"/>
              </w:rPr>
            </w:pPr>
            <w:r w:rsidRPr="00BE4D82">
              <w:rPr>
                <w:rFonts w:cstheme="minorHAnsi"/>
                <w:sz w:val="18"/>
                <w:szCs w:val="18"/>
                <w:lang w:val="en-AU"/>
              </w:rPr>
              <w:t>(Chapter 2)</w:t>
            </w:r>
          </w:p>
        </w:tc>
        <w:tc>
          <w:tcPr>
            <w:tcW w:w="5245" w:type="dxa"/>
            <w:hideMark/>
          </w:tcPr>
          <w:p w14:paraId="77F5F66F" w14:textId="77777777" w:rsidR="007930D0" w:rsidRPr="00BE4D82" w:rsidRDefault="007930D0">
            <w:pPr>
              <w:cnfStyle w:val="000000000000" w:firstRow="0" w:lastRow="0" w:firstColumn="0" w:lastColumn="0" w:oddVBand="0" w:evenVBand="0" w:oddHBand="0" w:evenHBand="0" w:firstRowFirstColumn="0" w:firstRowLastColumn="0" w:lastRowFirstColumn="0" w:lastRowLastColumn="0"/>
              <w:rPr>
                <w:rFonts w:cstheme="minorHAnsi"/>
                <w:b/>
                <w:bCs/>
                <w:i/>
                <w:iCs/>
                <w:sz w:val="18"/>
                <w:szCs w:val="18"/>
                <w:lang w:val="en-AU"/>
              </w:rPr>
            </w:pPr>
            <w:r w:rsidRPr="00BE4D82">
              <w:rPr>
                <w:rFonts w:cstheme="minorHAnsi"/>
                <w:b/>
                <w:bCs/>
                <w:i/>
                <w:iCs/>
                <w:sz w:val="18"/>
                <w:szCs w:val="18"/>
                <w:lang w:val="en-AU"/>
              </w:rPr>
              <w:t>Release</w:t>
            </w:r>
          </w:p>
          <w:p w14:paraId="31FC03F9" w14:textId="77777777" w:rsidR="007930D0" w:rsidRPr="009449C7" w:rsidRDefault="007930D0" w:rsidP="00AF30D7">
            <w:pPr>
              <w:pStyle w:val="ListParagraph"/>
              <w:numPr>
                <w:ilvl w:val="0"/>
                <w:numId w:val="8"/>
              </w:numPr>
              <w:spacing w:after="0" w:line="276" w:lineRule="auto"/>
              <w:ind w:left="337" w:hanging="33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9449C7">
              <w:rPr>
                <w:rFonts w:asciiTheme="minorHAnsi" w:hAnsiTheme="minorHAnsi" w:cstheme="minorHAnsi"/>
                <w:sz w:val="18"/>
                <w:szCs w:val="18"/>
              </w:rPr>
              <w:t xml:space="preserve">Gazettal of acreage release areas </w:t>
            </w:r>
          </w:p>
          <w:p w14:paraId="2C3146D8" w14:textId="77777777" w:rsidR="007930D0" w:rsidRPr="004C72B9" w:rsidRDefault="007930D0" w:rsidP="00AF30D7">
            <w:pPr>
              <w:pStyle w:val="ListParagraph"/>
              <w:numPr>
                <w:ilvl w:val="0"/>
                <w:numId w:val="8"/>
              </w:numPr>
              <w:spacing w:after="0" w:line="276" w:lineRule="auto"/>
              <w:ind w:left="337" w:hanging="33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9449C7">
              <w:rPr>
                <w:rFonts w:asciiTheme="minorHAnsi" w:hAnsiTheme="minorHAnsi" w:cstheme="minorHAnsi"/>
                <w:sz w:val="18"/>
                <w:szCs w:val="18"/>
              </w:rPr>
              <w:t>Maintain guidance material</w:t>
            </w:r>
            <w:r w:rsidRPr="00BE4D82">
              <w:rPr>
                <w:rStyle w:val="FootnoteReference"/>
                <w:rFonts w:cstheme="minorHAnsi"/>
                <w:sz w:val="18"/>
                <w:szCs w:val="18"/>
                <w:lang w:val="en-AU"/>
              </w:rPr>
              <w:footnoteReference w:id="14"/>
            </w:r>
            <w:r w:rsidRPr="004C72B9">
              <w:rPr>
                <w:rFonts w:asciiTheme="minorHAnsi" w:hAnsiTheme="minorHAnsi" w:cstheme="minorHAnsi"/>
                <w:sz w:val="18"/>
                <w:szCs w:val="18"/>
              </w:rPr>
              <w:t xml:space="preserve"> for applicants</w:t>
            </w:r>
          </w:p>
        </w:tc>
      </w:tr>
      <w:tr w:rsidR="007930D0" w:rsidRPr="001B57AC" w14:paraId="7DC5CD6E" w14:textId="77777777">
        <w:trPr>
          <w:cnfStyle w:val="000000100000" w:firstRow="0" w:lastRow="0" w:firstColumn="0" w:lastColumn="0" w:oddVBand="0" w:evenVBand="0" w:oddHBand="1" w:evenHBand="0" w:firstRowFirstColumn="0" w:firstRowLastColumn="0" w:lastRowFirstColumn="0" w:lastRowLastColumn="0"/>
          <w:trHeight w:val="1507"/>
        </w:trPr>
        <w:tc>
          <w:tcPr>
            <w:cnfStyle w:val="001000000000" w:firstRow="0" w:lastRow="0" w:firstColumn="1" w:lastColumn="0" w:oddVBand="0" w:evenVBand="0" w:oddHBand="0" w:evenHBand="0" w:firstRowFirstColumn="0" w:firstRowLastColumn="0" w:lastRowFirstColumn="0" w:lastRowLastColumn="0"/>
            <w:tcW w:w="568" w:type="dxa"/>
            <w:hideMark/>
          </w:tcPr>
          <w:p w14:paraId="79C48974" w14:textId="77777777" w:rsidR="007930D0" w:rsidRPr="00BE4D82" w:rsidRDefault="007930D0">
            <w:pPr>
              <w:jc w:val="center"/>
              <w:rPr>
                <w:rFonts w:cstheme="minorHAnsi"/>
                <w:b w:val="0"/>
                <w:bCs w:val="0"/>
                <w:sz w:val="18"/>
                <w:szCs w:val="18"/>
                <w:lang w:val="en-AU"/>
              </w:rPr>
            </w:pPr>
            <w:r w:rsidRPr="00BE4D82">
              <w:rPr>
                <w:rFonts w:cstheme="minorHAnsi"/>
                <w:sz w:val="18"/>
                <w:szCs w:val="18"/>
                <w:lang w:val="en-AU"/>
              </w:rPr>
              <w:t>2</w:t>
            </w:r>
          </w:p>
        </w:tc>
        <w:tc>
          <w:tcPr>
            <w:tcW w:w="3538" w:type="dxa"/>
            <w:hideMark/>
          </w:tcPr>
          <w:p w14:paraId="03DA112B" w14:textId="77777777" w:rsidR="007930D0" w:rsidRPr="00BE4D82" w:rsidRDefault="007930D0">
            <w:pPr>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AU"/>
              </w:rPr>
            </w:pPr>
            <w:r w:rsidRPr="00BE4D82">
              <w:rPr>
                <w:rFonts w:cstheme="minorHAnsi"/>
                <w:b/>
                <w:bCs/>
                <w:sz w:val="18"/>
                <w:szCs w:val="18"/>
                <w:lang w:val="en-AU"/>
              </w:rPr>
              <w:t>Petroleum Exploration Permit:</w:t>
            </w:r>
          </w:p>
          <w:p w14:paraId="5FD152FF" w14:textId="77777777" w:rsidR="007930D0" w:rsidRPr="00BE4D82" w:rsidRDefault="007930D0">
            <w:pPr>
              <w:cnfStyle w:val="000000100000" w:firstRow="0" w:lastRow="0" w:firstColumn="0" w:lastColumn="0" w:oddVBand="0" w:evenVBand="0" w:oddHBand="1" w:evenHBand="0" w:firstRowFirstColumn="0" w:firstRowLastColumn="0" w:lastRowFirstColumn="0" w:lastRowLastColumn="0"/>
              <w:rPr>
                <w:rFonts w:cstheme="minorHAnsi"/>
                <w:sz w:val="18"/>
                <w:szCs w:val="18"/>
                <w:lang w:val="en-AU"/>
              </w:rPr>
            </w:pPr>
            <w:r w:rsidRPr="00BE4D82">
              <w:rPr>
                <w:rFonts w:cstheme="minorHAnsi"/>
                <w:sz w:val="18"/>
                <w:szCs w:val="18"/>
                <w:lang w:val="en-AU"/>
              </w:rPr>
              <w:t>(Chapter 2)</w:t>
            </w:r>
          </w:p>
        </w:tc>
        <w:tc>
          <w:tcPr>
            <w:tcW w:w="5245" w:type="dxa"/>
            <w:hideMark/>
          </w:tcPr>
          <w:p w14:paraId="7C69D933" w14:textId="77777777" w:rsidR="007930D0" w:rsidRPr="00BE4D82" w:rsidRDefault="007930D0">
            <w:pPr>
              <w:cnfStyle w:val="000000100000" w:firstRow="0" w:lastRow="0" w:firstColumn="0" w:lastColumn="0" w:oddVBand="0" w:evenVBand="0" w:oddHBand="1" w:evenHBand="0" w:firstRowFirstColumn="0" w:firstRowLastColumn="0" w:lastRowFirstColumn="0" w:lastRowLastColumn="0"/>
              <w:rPr>
                <w:rFonts w:cstheme="minorHAnsi"/>
                <w:b/>
                <w:bCs/>
                <w:i/>
                <w:iCs/>
                <w:sz w:val="18"/>
                <w:szCs w:val="18"/>
                <w:lang w:val="en-AU"/>
              </w:rPr>
            </w:pPr>
            <w:r w:rsidRPr="00BE4D82">
              <w:rPr>
                <w:rFonts w:cstheme="minorHAnsi"/>
                <w:b/>
                <w:bCs/>
                <w:i/>
                <w:iCs/>
                <w:sz w:val="18"/>
                <w:szCs w:val="18"/>
                <w:lang w:val="en-AU"/>
              </w:rPr>
              <w:t xml:space="preserve">Grant, Renewal, Surrender, Expiry, Cancellation  </w:t>
            </w:r>
          </w:p>
          <w:p w14:paraId="03BE6E32" w14:textId="77777777" w:rsidR="007930D0" w:rsidRPr="00BE4D82" w:rsidRDefault="007930D0">
            <w:pPr>
              <w:cnfStyle w:val="000000100000" w:firstRow="0" w:lastRow="0" w:firstColumn="0" w:lastColumn="0" w:oddVBand="0" w:evenVBand="0" w:oddHBand="1" w:evenHBand="0" w:firstRowFirstColumn="0" w:firstRowLastColumn="0" w:lastRowFirstColumn="0" w:lastRowLastColumn="0"/>
              <w:rPr>
                <w:rFonts w:cstheme="minorHAnsi"/>
                <w:sz w:val="18"/>
                <w:szCs w:val="18"/>
                <w:lang w:val="en-AU"/>
              </w:rPr>
            </w:pPr>
            <w:r w:rsidRPr="00BE4D82">
              <w:rPr>
                <w:rFonts w:cstheme="minorHAnsi"/>
                <w:sz w:val="18"/>
                <w:szCs w:val="18"/>
                <w:lang w:val="en-AU"/>
              </w:rPr>
              <w:t>General overview of process:</w:t>
            </w:r>
          </w:p>
          <w:p w14:paraId="3B962099" w14:textId="77777777" w:rsidR="007930D0" w:rsidRPr="004C72B9" w:rsidRDefault="007930D0" w:rsidP="00BF5785">
            <w:pPr>
              <w:pStyle w:val="ListParagraph"/>
              <w:numPr>
                <w:ilvl w:val="0"/>
                <w:numId w:val="8"/>
              </w:numPr>
              <w:spacing w:after="0" w:line="276" w:lineRule="auto"/>
              <w:ind w:left="335" w:hanging="335"/>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61688">
              <w:rPr>
                <w:rFonts w:asciiTheme="minorHAnsi" w:hAnsiTheme="minorHAnsi" w:cstheme="minorHAnsi"/>
                <w:sz w:val="18"/>
                <w:szCs w:val="18"/>
              </w:rPr>
              <w:t xml:space="preserve">receipt of application </w:t>
            </w:r>
          </w:p>
          <w:p w14:paraId="096D5C69" w14:textId="30F650F8" w:rsidR="007930D0" w:rsidRPr="004C72B9" w:rsidRDefault="007930D0" w:rsidP="00BF5785">
            <w:pPr>
              <w:pStyle w:val="ListParagraph"/>
              <w:numPr>
                <w:ilvl w:val="0"/>
                <w:numId w:val="8"/>
              </w:numPr>
              <w:spacing w:after="0" w:line="276" w:lineRule="auto"/>
              <w:ind w:left="335" w:hanging="335"/>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78A9873C">
              <w:rPr>
                <w:rFonts w:asciiTheme="minorHAnsi" w:hAnsiTheme="minorHAnsi"/>
                <w:sz w:val="18"/>
                <w:szCs w:val="18"/>
              </w:rPr>
              <w:t>assessment of application (including any procedural fairness requirements</w:t>
            </w:r>
            <w:r w:rsidR="00B276BF" w:rsidRPr="78A9873C">
              <w:rPr>
                <w:rFonts w:asciiTheme="minorHAnsi" w:hAnsiTheme="minorHAnsi"/>
                <w:sz w:val="18"/>
                <w:szCs w:val="18"/>
              </w:rPr>
              <w:t>, assessment agains</w:t>
            </w:r>
            <w:r w:rsidR="00E647D0" w:rsidRPr="78A9873C">
              <w:rPr>
                <w:rFonts w:asciiTheme="minorHAnsi" w:hAnsiTheme="minorHAnsi"/>
                <w:sz w:val="18"/>
                <w:szCs w:val="18"/>
              </w:rPr>
              <w:t>t 695</w:t>
            </w:r>
            <w:r w:rsidR="00C91B3C" w:rsidRPr="78A9873C">
              <w:rPr>
                <w:rFonts w:asciiTheme="minorHAnsi" w:hAnsiTheme="minorHAnsi"/>
                <w:sz w:val="18"/>
                <w:szCs w:val="18"/>
              </w:rPr>
              <w:t>YB</w:t>
            </w:r>
            <w:r w:rsidR="00052398" w:rsidRPr="78A9873C">
              <w:rPr>
                <w:rFonts w:asciiTheme="minorHAnsi" w:hAnsiTheme="minorHAnsi"/>
                <w:sz w:val="18"/>
                <w:szCs w:val="18"/>
              </w:rPr>
              <w:t xml:space="preserve">, financial resources and technical advice available to the applicant, </w:t>
            </w:r>
            <w:r w:rsidR="00FF1B5B" w:rsidRPr="78A9873C">
              <w:rPr>
                <w:rFonts w:asciiTheme="minorHAnsi" w:hAnsiTheme="minorHAnsi"/>
                <w:sz w:val="18"/>
                <w:szCs w:val="18"/>
              </w:rPr>
              <w:t xml:space="preserve">and consultation with NOPSEMA, </w:t>
            </w:r>
            <w:r w:rsidR="00052398" w:rsidRPr="78A9873C">
              <w:rPr>
                <w:rFonts w:asciiTheme="minorHAnsi" w:hAnsiTheme="minorHAnsi"/>
                <w:sz w:val="18"/>
                <w:szCs w:val="18"/>
              </w:rPr>
              <w:t>where applicable</w:t>
            </w:r>
            <w:r w:rsidRPr="78A9873C">
              <w:rPr>
                <w:rFonts w:asciiTheme="minorHAnsi" w:hAnsiTheme="minorHAnsi"/>
                <w:sz w:val="18"/>
                <w:szCs w:val="18"/>
              </w:rPr>
              <w:t>)</w:t>
            </w:r>
          </w:p>
          <w:p w14:paraId="753AAEBE" w14:textId="4D9E8A71" w:rsidR="007930D0" w:rsidRPr="004C72B9" w:rsidRDefault="007930D0" w:rsidP="00BF5785">
            <w:pPr>
              <w:pStyle w:val="ListParagraph"/>
              <w:numPr>
                <w:ilvl w:val="0"/>
                <w:numId w:val="8"/>
              </w:numPr>
              <w:spacing w:after="0" w:line="276" w:lineRule="auto"/>
              <w:ind w:left="335" w:hanging="335"/>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78A9873C">
              <w:rPr>
                <w:rFonts w:asciiTheme="minorHAnsi" w:hAnsiTheme="minorHAnsi"/>
                <w:sz w:val="18"/>
                <w:szCs w:val="18"/>
              </w:rPr>
              <w:t xml:space="preserve">implement the decision </w:t>
            </w:r>
          </w:p>
          <w:p w14:paraId="674E92E7" w14:textId="221A5419" w:rsidR="007930D0" w:rsidRPr="004C72B9" w:rsidRDefault="007930D0" w:rsidP="00BF5785">
            <w:pPr>
              <w:pStyle w:val="ListParagraph"/>
              <w:numPr>
                <w:ilvl w:val="0"/>
                <w:numId w:val="8"/>
              </w:numPr>
              <w:spacing w:after="0" w:line="276" w:lineRule="auto"/>
              <w:ind w:left="335" w:hanging="335"/>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78A9873C">
              <w:rPr>
                <w:rFonts w:asciiTheme="minorHAnsi" w:hAnsiTheme="minorHAnsi"/>
                <w:sz w:val="18"/>
                <w:szCs w:val="18"/>
              </w:rPr>
              <w:t xml:space="preserve">dissemination of information </w:t>
            </w:r>
          </w:p>
          <w:p w14:paraId="4C6686B4" w14:textId="3586B37C" w:rsidR="007930D0" w:rsidRPr="004C72B9" w:rsidRDefault="007930D0" w:rsidP="00BF5785">
            <w:pPr>
              <w:pStyle w:val="ListParagraph"/>
              <w:numPr>
                <w:ilvl w:val="0"/>
                <w:numId w:val="8"/>
              </w:numPr>
              <w:spacing w:after="0" w:line="276" w:lineRule="auto"/>
              <w:ind w:left="335" w:hanging="335"/>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78A9873C">
              <w:rPr>
                <w:rFonts w:asciiTheme="minorHAnsi" w:hAnsiTheme="minorHAnsi"/>
                <w:sz w:val="18"/>
                <w:szCs w:val="18"/>
              </w:rPr>
              <w:t>maintain the title register (Chapter 4)</w:t>
            </w:r>
          </w:p>
          <w:p w14:paraId="144A789E" w14:textId="02FF6A76" w:rsidR="007930D0" w:rsidRPr="004C72B9" w:rsidRDefault="007930D0" w:rsidP="00BF5785">
            <w:pPr>
              <w:pStyle w:val="ListParagraph"/>
              <w:numPr>
                <w:ilvl w:val="0"/>
                <w:numId w:val="8"/>
              </w:numPr>
              <w:spacing w:after="0" w:line="276" w:lineRule="auto"/>
              <w:ind w:left="335" w:hanging="335"/>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78A9873C">
              <w:rPr>
                <w:rFonts w:asciiTheme="minorHAnsi" w:hAnsiTheme="minorHAnsi"/>
                <w:sz w:val="18"/>
                <w:szCs w:val="18"/>
              </w:rPr>
              <w:t>gazettal of event (where applicable – Chapter 7)</w:t>
            </w:r>
          </w:p>
          <w:p w14:paraId="0801F4FB" w14:textId="78AEED8D" w:rsidR="007930D0" w:rsidRPr="004C72B9" w:rsidRDefault="007930D0" w:rsidP="00BF5785">
            <w:pPr>
              <w:pStyle w:val="ListParagraph"/>
              <w:numPr>
                <w:ilvl w:val="0"/>
                <w:numId w:val="8"/>
              </w:numPr>
              <w:spacing w:after="0" w:line="276" w:lineRule="auto"/>
              <w:ind w:left="335" w:hanging="335"/>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78A9873C">
              <w:rPr>
                <w:rFonts w:asciiTheme="minorHAnsi" w:hAnsiTheme="minorHAnsi"/>
                <w:sz w:val="18"/>
                <w:szCs w:val="18"/>
              </w:rPr>
              <w:t xml:space="preserve">ongoing assessment of compliance with the legislation including any conditions and expectations of the title (where applicable) </w:t>
            </w:r>
          </w:p>
          <w:p w14:paraId="4E2001C5" w14:textId="75E9FCCF" w:rsidR="007930D0" w:rsidRPr="004C72B9" w:rsidRDefault="007930D0" w:rsidP="00BF5785">
            <w:pPr>
              <w:pStyle w:val="ListParagraph"/>
              <w:numPr>
                <w:ilvl w:val="0"/>
                <w:numId w:val="8"/>
              </w:numPr>
              <w:spacing w:after="0" w:line="276" w:lineRule="auto"/>
              <w:ind w:left="335" w:hanging="335"/>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78A9873C">
              <w:rPr>
                <w:rFonts w:asciiTheme="minorHAnsi" w:hAnsiTheme="minorHAnsi"/>
                <w:sz w:val="18"/>
                <w:szCs w:val="18"/>
              </w:rPr>
              <w:t xml:space="preserve">data management and reporting </w:t>
            </w:r>
          </w:p>
          <w:p w14:paraId="3CF0D26F" w14:textId="2909394C" w:rsidR="007930D0" w:rsidRPr="00D61688" w:rsidRDefault="007930D0" w:rsidP="00BF5785">
            <w:pPr>
              <w:pStyle w:val="ListParagraph"/>
              <w:numPr>
                <w:ilvl w:val="0"/>
                <w:numId w:val="8"/>
              </w:numPr>
              <w:spacing w:after="0" w:line="276" w:lineRule="auto"/>
              <w:ind w:left="335" w:hanging="335"/>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AU"/>
              </w:rPr>
            </w:pPr>
            <w:r w:rsidRPr="78A9873C">
              <w:rPr>
                <w:rFonts w:asciiTheme="minorHAnsi" w:hAnsiTheme="minorHAnsi"/>
                <w:sz w:val="18"/>
                <w:szCs w:val="18"/>
              </w:rPr>
              <w:t xml:space="preserve">develop/maintain guidance material for applicants </w:t>
            </w:r>
          </w:p>
        </w:tc>
      </w:tr>
      <w:tr w:rsidR="007930D0" w:rsidRPr="001B57AC" w14:paraId="3A7528B3" w14:textId="77777777">
        <w:tc>
          <w:tcPr>
            <w:cnfStyle w:val="001000000000" w:firstRow="0" w:lastRow="0" w:firstColumn="1" w:lastColumn="0" w:oddVBand="0" w:evenVBand="0" w:oddHBand="0" w:evenHBand="0" w:firstRowFirstColumn="0" w:firstRowLastColumn="0" w:lastRowFirstColumn="0" w:lastRowLastColumn="0"/>
            <w:tcW w:w="568" w:type="dxa"/>
            <w:hideMark/>
          </w:tcPr>
          <w:p w14:paraId="2866DE63" w14:textId="77777777" w:rsidR="007930D0" w:rsidRPr="00BE4D82" w:rsidRDefault="007930D0">
            <w:pPr>
              <w:jc w:val="center"/>
              <w:rPr>
                <w:rFonts w:cstheme="minorHAnsi"/>
                <w:b w:val="0"/>
                <w:bCs w:val="0"/>
                <w:sz w:val="18"/>
                <w:szCs w:val="18"/>
                <w:lang w:val="en-AU"/>
              </w:rPr>
            </w:pPr>
            <w:r w:rsidRPr="00BE4D82">
              <w:rPr>
                <w:rFonts w:cstheme="minorHAnsi"/>
                <w:sz w:val="18"/>
                <w:szCs w:val="18"/>
                <w:lang w:val="en-AU"/>
              </w:rPr>
              <w:t>3</w:t>
            </w:r>
          </w:p>
        </w:tc>
        <w:tc>
          <w:tcPr>
            <w:tcW w:w="3538" w:type="dxa"/>
            <w:hideMark/>
          </w:tcPr>
          <w:p w14:paraId="0D6E4553" w14:textId="77777777" w:rsidR="007930D0" w:rsidRPr="00BE4D82" w:rsidRDefault="007930D0">
            <w:pPr>
              <w:cnfStyle w:val="000000000000" w:firstRow="0" w:lastRow="0" w:firstColumn="0" w:lastColumn="0" w:oddVBand="0" w:evenVBand="0" w:oddHBand="0" w:evenHBand="0" w:firstRowFirstColumn="0" w:firstRowLastColumn="0" w:lastRowFirstColumn="0" w:lastRowLastColumn="0"/>
              <w:rPr>
                <w:rFonts w:cstheme="minorHAnsi"/>
                <w:sz w:val="18"/>
                <w:szCs w:val="18"/>
                <w:lang w:val="en-AU"/>
              </w:rPr>
            </w:pPr>
            <w:r w:rsidRPr="00BE4D82">
              <w:rPr>
                <w:rFonts w:cstheme="minorHAnsi"/>
                <w:b/>
                <w:bCs/>
                <w:sz w:val="18"/>
                <w:szCs w:val="18"/>
                <w:lang w:val="en-AU"/>
              </w:rPr>
              <w:t>Suspension and extension; variation; exemption</w:t>
            </w:r>
            <w:r w:rsidRPr="00BE4D82">
              <w:rPr>
                <w:rFonts w:cstheme="minorHAnsi"/>
                <w:sz w:val="18"/>
                <w:szCs w:val="18"/>
                <w:lang w:val="en-AU"/>
              </w:rPr>
              <w:t>:</w:t>
            </w:r>
          </w:p>
          <w:p w14:paraId="5A662DF5" w14:textId="77777777" w:rsidR="007930D0" w:rsidRPr="00BE4D82" w:rsidRDefault="007930D0">
            <w:pPr>
              <w:cnfStyle w:val="000000000000" w:firstRow="0" w:lastRow="0" w:firstColumn="0" w:lastColumn="0" w:oddVBand="0" w:evenVBand="0" w:oddHBand="0" w:evenHBand="0" w:firstRowFirstColumn="0" w:firstRowLastColumn="0" w:lastRowFirstColumn="0" w:lastRowLastColumn="0"/>
              <w:rPr>
                <w:rFonts w:cstheme="minorHAnsi"/>
                <w:sz w:val="18"/>
                <w:szCs w:val="18"/>
                <w:lang w:val="en-AU"/>
              </w:rPr>
            </w:pPr>
            <w:r w:rsidRPr="00BE4D82">
              <w:rPr>
                <w:rFonts w:cstheme="minorHAnsi"/>
                <w:sz w:val="18"/>
                <w:szCs w:val="18"/>
                <w:lang w:val="en-AU"/>
              </w:rPr>
              <w:t>(Chapter 2 and 3)</w:t>
            </w:r>
          </w:p>
        </w:tc>
        <w:tc>
          <w:tcPr>
            <w:tcW w:w="5245" w:type="dxa"/>
          </w:tcPr>
          <w:p w14:paraId="1CFE01AC" w14:textId="77777777" w:rsidR="007930D0" w:rsidRPr="00BE4D82" w:rsidRDefault="007930D0">
            <w:pPr>
              <w:cnfStyle w:val="000000000000" w:firstRow="0" w:lastRow="0" w:firstColumn="0" w:lastColumn="0" w:oddVBand="0" w:evenVBand="0" w:oddHBand="0" w:evenHBand="0" w:firstRowFirstColumn="0" w:firstRowLastColumn="0" w:lastRowFirstColumn="0" w:lastRowLastColumn="0"/>
              <w:rPr>
                <w:rFonts w:cstheme="minorHAnsi"/>
                <w:b/>
                <w:bCs/>
                <w:i/>
                <w:iCs/>
                <w:sz w:val="18"/>
                <w:szCs w:val="18"/>
                <w:lang w:val="en-AU"/>
              </w:rPr>
            </w:pPr>
            <w:r w:rsidRPr="00BE4D82">
              <w:rPr>
                <w:rFonts w:cstheme="minorHAnsi"/>
                <w:b/>
                <w:bCs/>
                <w:i/>
                <w:iCs/>
                <w:sz w:val="18"/>
                <w:szCs w:val="18"/>
                <w:lang w:val="en-AU"/>
              </w:rPr>
              <w:t>Exploration permit, Retention Lease, Production Licence, Infrastructure Licence, Pipeline Licence</w:t>
            </w:r>
          </w:p>
          <w:p w14:paraId="5792EC04" w14:textId="77777777" w:rsidR="007930D0" w:rsidRPr="00BE4D82" w:rsidRDefault="007930D0">
            <w:pPr>
              <w:cnfStyle w:val="000000000000" w:firstRow="0" w:lastRow="0" w:firstColumn="0" w:lastColumn="0" w:oddVBand="0" w:evenVBand="0" w:oddHBand="0" w:evenHBand="0" w:firstRowFirstColumn="0" w:firstRowLastColumn="0" w:lastRowFirstColumn="0" w:lastRowLastColumn="0"/>
              <w:rPr>
                <w:rFonts w:cstheme="minorHAnsi"/>
                <w:sz w:val="18"/>
                <w:szCs w:val="18"/>
                <w:lang w:val="en-AU"/>
              </w:rPr>
            </w:pPr>
            <w:r w:rsidRPr="00BE4D82">
              <w:rPr>
                <w:rFonts w:cstheme="minorHAnsi"/>
                <w:sz w:val="18"/>
                <w:szCs w:val="18"/>
                <w:lang w:val="en-AU"/>
              </w:rPr>
              <w:t>See item 2 for general overview of process.</w:t>
            </w:r>
          </w:p>
        </w:tc>
      </w:tr>
      <w:tr w:rsidR="007930D0" w:rsidRPr="001B57AC" w14:paraId="1E8688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hideMark/>
          </w:tcPr>
          <w:p w14:paraId="3BA72D4D" w14:textId="77777777" w:rsidR="007930D0" w:rsidRPr="00BE4D82" w:rsidRDefault="007930D0">
            <w:pPr>
              <w:jc w:val="center"/>
              <w:rPr>
                <w:rFonts w:cstheme="minorHAnsi"/>
                <w:b w:val="0"/>
                <w:sz w:val="18"/>
                <w:szCs w:val="18"/>
                <w:lang w:val="en-AU"/>
              </w:rPr>
            </w:pPr>
            <w:r w:rsidRPr="00BE4D82">
              <w:rPr>
                <w:rFonts w:cstheme="minorHAnsi"/>
                <w:sz w:val="18"/>
                <w:szCs w:val="18"/>
                <w:lang w:val="en-AU"/>
              </w:rPr>
              <w:t>4</w:t>
            </w:r>
          </w:p>
        </w:tc>
        <w:tc>
          <w:tcPr>
            <w:tcW w:w="3538" w:type="dxa"/>
            <w:hideMark/>
          </w:tcPr>
          <w:p w14:paraId="1781A763" w14:textId="77777777" w:rsidR="007930D0" w:rsidRPr="00BE4D82" w:rsidRDefault="007930D0">
            <w:pPr>
              <w:cnfStyle w:val="000000100000" w:firstRow="0" w:lastRow="0" w:firstColumn="0" w:lastColumn="0" w:oddVBand="0" w:evenVBand="0" w:oddHBand="1" w:evenHBand="0" w:firstRowFirstColumn="0" w:firstRowLastColumn="0" w:lastRowFirstColumn="0" w:lastRowLastColumn="0"/>
              <w:rPr>
                <w:rFonts w:cstheme="minorHAnsi"/>
                <w:sz w:val="18"/>
                <w:szCs w:val="18"/>
                <w:lang w:val="en-AU"/>
              </w:rPr>
            </w:pPr>
            <w:r w:rsidRPr="00BE4D82">
              <w:rPr>
                <w:rFonts w:cstheme="minorHAnsi"/>
                <w:b/>
                <w:sz w:val="18"/>
                <w:szCs w:val="18"/>
                <w:lang w:val="en-AU"/>
              </w:rPr>
              <w:t>Declaration of a Location</w:t>
            </w:r>
            <w:r w:rsidRPr="00BE4D82">
              <w:rPr>
                <w:rFonts w:cstheme="minorHAnsi"/>
                <w:sz w:val="18"/>
                <w:szCs w:val="18"/>
                <w:lang w:val="en-AU"/>
              </w:rPr>
              <w:t>:</w:t>
            </w:r>
          </w:p>
          <w:p w14:paraId="63FF2E38" w14:textId="77777777" w:rsidR="007930D0" w:rsidRPr="00BE4D82" w:rsidRDefault="007930D0">
            <w:pPr>
              <w:cnfStyle w:val="000000100000" w:firstRow="0" w:lastRow="0" w:firstColumn="0" w:lastColumn="0" w:oddVBand="0" w:evenVBand="0" w:oddHBand="1" w:evenHBand="0" w:firstRowFirstColumn="0" w:firstRowLastColumn="0" w:lastRowFirstColumn="0" w:lastRowLastColumn="0"/>
              <w:rPr>
                <w:rFonts w:cstheme="minorHAnsi"/>
                <w:sz w:val="18"/>
                <w:szCs w:val="18"/>
                <w:lang w:val="en-AU"/>
              </w:rPr>
            </w:pPr>
            <w:r w:rsidRPr="00BE4D82">
              <w:rPr>
                <w:rFonts w:cstheme="minorHAnsi"/>
                <w:sz w:val="18"/>
                <w:szCs w:val="18"/>
                <w:lang w:val="en-AU"/>
              </w:rPr>
              <w:t>(Chapter 2)</w:t>
            </w:r>
          </w:p>
        </w:tc>
        <w:tc>
          <w:tcPr>
            <w:tcW w:w="5245" w:type="dxa"/>
          </w:tcPr>
          <w:p w14:paraId="4F9D0F75" w14:textId="77777777" w:rsidR="007930D0" w:rsidRPr="00BE4D82" w:rsidRDefault="007930D0">
            <w:pPr>
              <w:cnfStyle w:val="000000100000" w:firstRow="0" w:lastRow="0" w:firstColumn="0" w:lastColumn="0" w:oddVBand="0" w:evenVBand="0" w:oddHBand="1" w:evenHBand="0" w:firstRowFirstColumn="0" w:firstRowLastColumn="0" w:lastRowFirstColumn="0" w:lastRowLastColumn="0"/>
              <w:rPr>
                <w:rFonts w:cstheme="minorHAnsi"/>
                <w:b/>
                <w:bCs/>
                <w:i/>
                <w:iCs/>
                <w:sz w:val="18"/>
                <w:szCs w:val="18"/>
                <w:lang w:val="en-AU"/>
              </w:rPr>
            </w:pPr>
            <w:r w:rsidRPr="00BE4D82">
              <w:rPr>
                <w:rFonts w:cstheme="minorHAnsi"/>
                <w:b/>
                <w:bCs/>
                <w:i/>
                <w:iCs/>
                <w:sz w:val="18"/>
                <w:szCs w:val="18"/>
                <w:lang w:val="en-AU"/>
              </w:rPr>
              <w:t>Declare, Variation and Revocation</w:t>
            </w:r>
          </w:p>
          <w:p w14:paraId="5766D1AC" w14:textId="77777777" w:rsidR="007930D0" w:rsidRPr="00BE4D82" w:rsidRDefault="007930D0">
            <w:pPr>
              <w:cnfStyle w:val="000000100000" w:firstRow="0" w:lastRow="0" w:firstColumn="0" w:lastColumn="0" w:oddVBand="0" w:evenVBand="0" w:oddHBand="1" w:evenHBand="0" w:firstRowFirstColumn="0" w:firstRowLastColumn="0" w:lastRowFirstColumn="0" w:lastRowLastColumn="0"/>
              <w:rPr>
                <w:rFonts w:cstheme="minorHAnsi"/>
                <w:sz w:val="18"/>
                <w:szCs w:val="18"/>
                <w:lang w:val="en-AU"/>
              </w:rPr>
            </w:pPr>
            <w:r w:rsidRPr="00BE4D82">
              <w:rPr>
                <w:rFonts w:cstheme="minorHAnsi"/>
                <w:sz w:val="18"/>
                <w:szCs w:val="18"/>
                <w:lang w:val="en-AU"/>
              </w:rPr>
              <w:t>See item 2 for general overview of process.</w:t>
            </w:r>
          </w:p>
        </w:tc>
      </w:tr>
      <w:tr w:rsidR="007930D0" w:rsidRPr="001B57AC" w14:paraId="2735BC65" w14:textId="77777777">
        <w:tc>
          <w:tcPr>
            <w:cnfStyle w:val="001000000000" w:firstRow="0" w:lastRow="0" w:firstColumn="1" w:lastColumn="0" w:oddVBand="0" w:evenVBand="0" w:oddHBand="0" w:evenHBand="0" w:firstRowFirstColumn="0" w:firstRowLastColumn="0" w:lastRowFirstColumn="0" w:lastRowLastColumn="0"/>
            <w:tcW w:w="568" w:type="dxa"/>
            <w:hideMark/>
          </w:tcPr>
          <w:p w14:paraId="2A41C254" w14:textId="77777777" w:rsidR="007930D0" w:rsidRPr="00BE4D82" w:rsidRDefault="007930D0">
            <w:pPr>
              <w:jc w:val="center"/>
              <w:rPr>
                <w:rFonts w:cstheme="minorHAnsi"/>
                <w:b w:val="0"/>
                <w:bCs w:val="0"/>
                <w:sz w:val="18"/>
                <w:szCs w:val="18"/>
                <w:lang w:val="en-AU"/>
              </w:rPr>
            </w:pPr>
            <w:r w:rsidRPr="00BE4D82">
              <w:rPr>
                <w:rFonts w:cstheme="minorHAnsi"/>
                <w:sz w:val="18"/>
                <w:szCs w:val="18"/>
                <w:lang w:val="en-AU"/>
              </w:rPr>
              <w:t>5</w:t>
            </w:r>
          </w:p>
        </w:tc>
        <w:tc>
          <w:tcPr>
            <w:tcW w:w="3538" w:type="dxa"/>
            <w:hideMark/>
          </w:tcPr>
          <w:p w14:paraId="37C8CC62" w14:textId="77777777" w:rsidR="007930D0" w:rsidRPr="00BE4D82" w:rsidRDefault="007930D0">
            <w:pPr>
              <w:cnfStyle w:val="000000000000" w:firstRow="0" w:lastRow="0" w:firstColumn="0" w:lastColumn="0" w:oddVBand="0" w:evenVBand="0" w:oddHBand="0" w:evenHBand="0" w:firstRowFirstColumn="0" w:firstRowLastColumn="0" w:lastRowFirstColumn="0" w:lastRowLastColumn="0"/>
              <w:rPr>
                <w:rFonts w:cstheme="minorHAnsi"/>
                <w:sz w:val="18"/>
                <w:szCs w:val="18"/>
                <w:lang w:val="en-AU"/>
              </w:rPr>
            </w:pPr>
            <w:r w:rsidRPr="00BE4D82">
              <w:rPr>
                <w:rFonts w:cstheme="minorHAnsi"/>
                <w:b/>
                <w:bCs/>
                <w:sz w:val="18"/>
                <w:szCs w:val="18"/>
                <w:lang w:val="en-AU"/>
              </w:rPr>
              <w:t>Retention Lease</w:t>
            </w:r>
            <w:r w:rsidRPr="00BE4D82">
              <w:rPr>
                <w:rFonts w:cstheme="minorHAnsi"/>
                <w:sz w:val="18"/>
                <w:szCs w:val="18"/>
                <w:lang w:val="en-AU"/>
              </w:rPr>
              <w:t>:</w:t>
            </w:r>
          </w:p>
          <w:p w14:paraId="2D55AA76" w14:textId="77777777" w:rsidR="007930D0" w:rsidRPr="00BE4D82" w:rsidRDefault="007930D0">
            <w:pPr>
              <w:cnfStyle w:val="000000000000" w:firstRow="0" w:lastRow="0" w:firstColumn="0" w:lastColumn="0" w:oddVBand="0" w:evenVBand="0" w:oddHBand="0" w:evenHBand="0" w:firstRowFirstColumn="0" w:firstRowLastColumn="0" w:lastRowFirstColumn="0" w:lastRowLastColumn="0"/>
              <w:rPr>
                <w:rFonts w:cstheme="minorHAnsi"/>
                <w:sz w:val="18"/>
                <w:szCs w:val="18"/>
                <w:lang w:val="en-AU"/>
              </w:rPr>
            </w:pPr>
            <w:r w:rsidRPr="00BE4D82">
              <w:rPr>
                <w:rFonts w:cstheme="minorHAnsi"/>
                <w:sz w:val="18"/>
                <w:szCs w:val="18"/>
                <w:lang w:val="en-AU"/>
              </w:rPr>
              <w:t>(Chapter 2)</w:t>
            </w:r>
          </w:p>
        </w:tc>
        <w:tc>
          <w:tcPr>
            <w:tcW w:w="5245" w:type="dxa"/>
            <w:hideMark/>
          </w:tcPr>
          <w:p w14:paraId="4A79490F" w14:textId="77777777" w:rsidR="007930D0" w:rsidRPr="00BE4D82" w:rsidRDefault="007930D0">
            <w:pPr>
              <w:cnfStyle w:val="000000000000" w:firstRow="0" w:lastRow="0" w:firstColumn="0" w:lastColumn="0" w:oddVBand="0" w:evenVBand="0" w:oddHBand="0" w:evenHBand="0" w:firstRowFirstColumn="0" w:firstRowLastColumn="0" w:lastRowFirstColumn="0" w:lastRowLastColumn="0"/>
              <w:rPr>
                <w:rFonts w:cstheme="minorHAnsi"/>
                <w:b/>
                <w:bCs/>
                <w:i/>
                <w:iCs/>
                <w:sz w:val="18"/>
                <w:szCs w:val="18"/>
                <w:lang w:val="en-AU"/>
              </w:rPr>
            </w:pPr>
            <w:r w:rsidRPr="00BE4D82">
              <w:rPr>
                <w:rFonts w:cstheme="minorHAnsi"/>
                <w:b/>
                <w:bCs/>
                <w:i/>
                <w:iCs/>
                <w:sz w:val="18"/>
                <w:szCs w:val="18"/>
                <w:lang w:val="en-AU"/>
              </w:rPr>
              <w:t xml:space="preserve">Grant, Renewal, Revocation, Surrender, Expiry, Cancellation  </w:t>
            </w:r>
          </w:p>
          <w:p w14:paraId="29F49646" w14:textId="14435637" w:rsidR="007930D0" w:rsidRPr="00BE4D82" w:rsidRDefault="007930D0">
            <w:pPr>
              <w:cnfStyle w:val="000000000000" w:firstRow="0" w:lastRow="0" w:firstColumn="0" w:lastColumn="0" w:oddVBand="0" w:evenVBand="0" w:oddHBand="0" w:evenHBand="0" w:firstRowFirstColumn="0" w:firstRowLastColumn="0" w:lastRowFirstColumn="0" w:lastRowLastColumn="0"/>
              <w:rPr>
                <w:rFonts w:cstheme="minorHAnsi"/>
                <w:sz w:val="18"/>
                <w:szCs w:val="18"/>
                <w:lang w:val="en-AU"/>
              </w:rPr>
            </w:pPr>
            <w:r w:rsidRPr="00BE4D82">
              <w:rPr>
                <w:rFonts w:cstheme="minorHAnsi"/>
                <w:sz w:val="18"/>
                <w:szCs w:val="18"/>
                <w:lang w:val="en-AU"/>
              </w:rPr>
              <w:t>See item 2 for general overview of process</w:t>
            </w:r>
            <w:r w:rsidR="00161176">
              <w:rPr>
                <w:rFonts w:cstheme="minorHAnsi"/>
                <w:sz w:val="18"/>
                <w:szCs w:val="18"/>
                <w:lang w:val="en-AU"/>
              </w:rPr>
              <w:t>.</w:t>
            </w:r>
          </w:p>
        </w:tc>
      </w:tr>
      <w:tr w:rsidR="007930D0" w:rsidRPr="001B57AC" w14:paraId="46E7EBB9" w14:textId="77777777">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568" w:type="dxa"/>
            <w:hideMark/>
          </w:tcPr>
          <w:p w14:paraId="538934AC" w14:textId="77777777" w:rsidR="007930D0" w:rsidRPr="00BE4D82" w:rsidRDefault="007930D0">
            <w:pPr>
              <w:jc w:val="center"/>
              <w:rPr>
                <w:rFonts w:cstheme="minorHAnsi"/>
                <w:b w:val="0"/>
                <w:bCs w:val="0"/>
                <w:sz w:val="18"/>
                <w:szCs w:val="18"/>
                <w:lang w:val="en-AU"/>
              </w:rPr>
            </w:pPr>
            <w:r w:rsidRPr="00BE4D82">
              <w:rPr>
                <w:rFonts w:cstheme="minorHAnsi"/>
                <w:sz w:val="18"/>
                <w:szCs w:val="18"/>
                <w:lang w:val="en-AU"/>
              </w:rPr>
              <w:t>6</w:t>
            </w:r>
          </w:p>
        </w:tc>
        <w:tc>
          <w:tcPr>
            <w:tcW w:w="3538" w:type="dxa"/>
            <w:hideMark/>
          </w:tcPr>
          <w:p w14:paraId="51B69D59" w14:textId="77777777" w:rsidR="007930D0" w:rsidRPr="00BE4D82" w:rsidRDefault="007930D0">
            <w:pPr>
              <w:cnfStyle w:val="000000100000" w:firstRow="0" w:lastRow="0" w:firstColumn="0" w:lastColumn="0" w:oddVBand="0" w:evenVBand="0" w:oddHBand="1" w:evenHBand="0" w:firstRowFirstColumn="0" w:firstRowLastColumn="0" w:lastRowFirstColumn="0" w:lastRowLastColumn="0"/>
              <w:rPr>
                <w:rFonts w:cstheme="minorHAnsi"/>
                <w:sz w:val="18"/>
                <w:szCs w:val="18"/>
                <w:lang w:val="en-AU"/>
              </w:rPr>
            </w:pPr>
            <w:r w:rsidRPr="00BE4D82">
              <w:rPr>
                <w:rFonts w:cstheme="minorHAnsi"/>
                <w:b/>
                <w:bCs/>
                <w:sz w:val="18"/>
                <w:szCs w:val="18"/>
                <w:lang w:val="en-AU"/>
              </w:rPr>
              <w:t>Production Licence</w:t>
            </w:r>
            <w:r w:rsidRPr="00BE4D82">
              <w:rPr>
                <w:rFonts w:cstheme="minorHAnsi"/>
                <w:sz w:val="18"/>
                <w:szCs w:val="18"/>
                <w:lang w:val="en-AU"/>
              </w:rPr>
              <w:t>:</w:t>
            </w:r>
          </w:p>
          <w:p w14:paraId="65BF4AA1" w14:textId="77777777" w:rsidR="007930D0" w:rsidRPr="00BE4D82" w:rsidRDefault="007930D0">
            <w:pPr>
              <w:cnfStyle w:val="000000100000" w:firstRow="0" w:lastRow="0" w:firstColumn="0" w:lastColumn="0" w:oddVBand="0" w:evenVBand="0" w:oddHBand="1" w:evenHBand="0" w:firstRowFirstColumn="0" w:firstRowLastColumn="0" w:lastRowFirstColumn="0" w:lastRowLastColumn="0"/>
              <w:rPr>
                <w:rFonts w:cstheme="minorHAnsi"/>
                <w:sz w:val="18"/>
                <w:szCs w:val="18"/>
                <w:lang w:val="en-AU"/>
              </w:rPr>
            </w:pPr>
            <w:r w:rsidRPr="00BE4D82">
              <w:rPr>
                <w:rFonts w:cstheme="minorHAnsi"/>
                <w:sz w:val="18"/>
                <w:szCs w:val="18"/>
                <w:lang w:val="en-AU"/>
              </w:rPr>
              <w:t>(Chapter 2)</w:t>
            </w:r>
          </w:p>
        </w:tc>
        <w:tc>
          <w:tcPr>
            <w:tcW w:w="5245" w:type="dxa"/>
          </w:tcPr>
          <w:p w14:paraId="769EE085" w14:textId="77777777" w:rsidR="007930D0" w:rsidRPr="00BE4D82" w:rsidRDefault="007930D0">
            <w:pPr>
              <w:cnfStyle w:val="000000100000" w:firstRow="0" w:lastRow="0" w:firstColumn="0" w:lastColumn="0" w:oddVBand="0" w:evenVBand="0" w:oddHBand="1" w:evenHBand="0" w:firstRowFirstColumn="0" w:firstRowLastColumn="0" w:lastRowFirstColumn="0" w:lastRowLastColumn="0"/>
              <w:rPr>
                <w:rFonts w:cstheme="minorHAnsi"/>
                <w:b/>
                <w:bCs/>
                <w:i/>
                <w:iCs/>
                <w:sz w:val="18"/>
                <w:szCs w:val="18"/>
                <w:lang w:val="en-AU"/>
              </w:rPr>
            </w:pPr>
            <w:r w:rsidRPr="00BE4D82">
              <w:rPr>
                <w:rFonts w:cstheme="minorHAnsi"/>
                <w:b/>
                <w:bCs/>
                <w:i/>
                <w:iCs/>
                <w:sz w:val="18"/>
                <w:szCs w:val="18"/>
                <w:lang w:val="en-AU"/>
              </w:rPr>
              <w:t>Grant, Renewal, Surrender, Expiry, Cancellation, Termination</w:t>
            </w:r>
          </w:p>
          <w:p w14:paraId="48184CF2" w14:textId="77777777" w:rsidR="007930D0" w:rsidRPr="00BE4D82" w:rsidRDefault="007930D0">
            <w:pPr>
              <w:cnfStyle w:val="000000100000" w:firstRow="0" w:lastRow="0" w:firstColumn="0" w:lastColumn="0" w:oddVBand="0" w:evenVBand="0" w:oddHBand="1" w:evenHBand="0" w:firstRowFirstColumn="0" w:firstRowLastColumn="0" w:lastRowFirstColumn="0" w:lastRowLastColumn="0"/>
              <w:rPr>
                <w:rFonts w:cstheme="minorHAnsi"/>
                <w:sz w:val="18"/>
                <w:szCs w:val="18"/>
                <w:lang w:val="en-AU"/>
              </w:rPr>
            </w:pPr>
            <w:r w:rsidRPr="00BE4D82">
              <w:rPr>
                <w:rFonts w:cstheme="minorHAnsi"/>
                <w:b/>
                <w:bCs/>
                <w:i/>
                <w:sz w:val="18"/>
                <w:szCs w:val="18"/>
                <w:lang w:val="en-AU"/>
              </w:rPr>
              <w:t>Field Development Plans</w:t>
            </w:r>
            <w:r w:rsidRPr="00BE4D82">
              <w:rPr>
                <w:rFonts w:cstheme="minorHAnsi"/>
                <w:sz w:val="18"/>
                <w:szCs w:val="18"/>
                <w:lang w:val="en-AU"/>
              </w:rPr>
              <w:t xml:space="preserve"> </w:t>
            </w:r>
            <w:r w:rsidRPr="00BE4D82">
              <w:rPr>
                <w:rFonts w:cstheme="minorHAnsi"/>
                <w:b/>
                <w:bCs/>
                <w:sz w:val="18"/>
                <w:szCs w:val="18"/>
                <w:lang w:val="en-AU"/>
              </w:rPr>
              <w:t>(preliminary field development plans, final field development plans and variations)</w:t>
            </w:r>
          </w:p>
          <w:p w14:paraId="674CB8DA" w14:textId="77777777" w:rsidR="007930D0" w:rsidRPr="00BE4D82" w:rsidRDefault="007930D0">
            <w:pPr>
              <w:cnfStyle w:val="000000100000" w:firstRow="0" w:lastRow="0" w:firstColumn="0" w:lastColumn="0" w:oddVBand="0" w:evenVBand="0" w:oddHBand="1" w:evenHBand="0" w:firstRowFirstColumn="0" w:firstRowLastColumn="0" w:lastRowFirstColumn="0" w:lastRowLastColumn="0"/>
              <w:rPr>
                <w:rFonts w:cstheme="minorHAnsi"/>
                <w:sz w:val="18"/>
                <w:szCs w:val="18"/>
                <w:lang w:val="en-AU"/>
              </w:rPr>
            </w:pPr>
            <w:r w:rsidRPr="00BE4D82">
              <w:rPr>
                <w:rFonts w:cstheme="minorHAnsi"/>
                <w:b/>
                <w:bCs/>
                <w:i/>
                <w:sz w:val="18"/>
                <w:szCs w:val="18"/>
                <w:lang w:val="en-AU"/>
              </w:rPr>
              <w:t>Rate of Recovery &amp; Equipment and Procedures</w:t>
            </w:r>
            <w:r w:rsidRPr="00BE4D82">
              <w:rPr>
                <w:rFonts w:cstheme="minorHAnsi"/>
                <w:sz w:val="18"/>
                <w:szCs w:val="18"/>
                <w:lang w:val="en-AU"/>
              </w:rPr>
              <w:t xml:space="preserve"> </w:t>
            </w:r>
          </w:p>
          <w:p w14:paraId="055C7457" w14:textId="77777777" w:rsidR="007930D0" w:rsidRPr="00BE4D82" w:rsidRDefault="007930D0">
            <w:pPr>
              <w:cnfStyle w:val="000000100000" w:firstRow="0" w:lastRow="0" w:firstColumn="0" w:lastColumn="0" w:oddVBand="0" w:evenVBand="0" w:oddHBand="1" w:evenHBand="0" w:firstRowFirstColumn="0" w:firstRowLastColumn="0" w:lastRowFirstColumn="0" w:lastRowLastColumn="0"/>
              <w:rPr>
                <w:rFonts w:cstheme="minorHAnsi"/>
                <w:sz w:val="18"/>
                <w:szCs w:val="18"/>
                <w:lang w:val="en-AU"/>
              </w:rPr>
            </w:pPr>
            <w:r w:rsidRPr="00BE4D82">
              <w:rPr>
                <w:rFonts w:cstheme="minorHAnsi"/>
                <w:sz w:val="18"/>
                <w:szCs w:val="18"/>
                <w:lang w:val="en-AU"/>
              </w:rPr>
              <w:t>See item 2 for general overview of process.</w:t>
            </w:r>
          </w:p>
        </w:tc>
      </w:tr>
      <w:tr w:rsidR="007930D0" w:rsidRPr="001B57AC" w14:paraId="70C4A93A" w14:textId="77777777">
        <w:trPr>
          <w:trHeight w:val="756"/>
        </w:trPr>
        <w:tc>
          <w:tcPr>
            <w:cnfStyle w:val="001000000000" w:firstRow="0" w:lastRow="0" w:firstColumn="1" w:lastColumn="0" w:oddVBand="0" w:evenVBand="0" w:oddHBand="0" w:evenHBand="0" w:firstRowFirstColumn="0" w:firstRowLastColumn="0" w:lastRowFirstColumn="0" w:lastRowLastColumn="0"/>
            <w:tcW w:w="568" w:type="dxa"/>
            <w:hideMark/>
          </w:tcPr>
          <w:p w14:paraId="4A4AE1F0" w14:textId="77777777" w:rsidR="007930D0" w:rsidRPr="00BE4D82" w:rsidRDefault="007930D0">
            <w:pPr>
              <w:jc w:val="center"/>
              <w:rPr>
                <w:rFonts w:cstheme="minorHAnsi"/>
                <w:b w:val="0"/>
                <w:bCs w:val="0"/>
                <w:sz w:val="18"/>
                <w:szCs w:val="18"/>
                <w:lang w:val="en-AU"/>
              </w:rPr>
            </w:pPr>
            <w:r w:rsidRPr="00BE4D82">
              <w:rPr>
                <w:rFonts w:cstheme="minorHAnsi"/>
                <w:sz w:val="18"/>
                <w:szCs w:val="18"/>
                <w:lang w:val="en-AU"/>
              </w:rPr>
              <w:t>7</w:t>
            </w:r>
          </w:p>
        </w:tc>
        <w:tc>
          <w:tcPr>
            <w:tcW w:w="3538" w:type="dxa"/>
            <w:hideMark/>
          </w:tcPr>
          <w:p w14:paraId="35CA83D6" w14:textId="77777777" w:rsidR="007930D0" w:rsidRPr="00BE4D82" w:rsidRDefault="007930D0">
            <w:pPr>
              <w:cnfStyle w:val="000000000000" w:firstRow="0" w:lastRow="0" w:firstColumn="0" w:lastColumn="0" w:oddVBand="0" w:evenVBand="0" w:oddHBand="0" w:evenHBand="0" w:firstRowFirstColumn="0" w:firstRowLastColumn="0" w:lastRowFirstColumn="0" w:lastRowLastColumn="0"/>
              <w:rPr>
                <w:rFonts w:cstheme="minorHAnsi"/>
                <w:sz w:val="18"/>
                <w:szCs w:val="18"/>
                <w:lang w:val="en-AU"/>
              </w:rPr>
            </w:pPr>
            <w:r w:rsidRPr="00BE4D82">
              <w:rPr>
                <w:rFonts w:cstheme="minorHAnsi"/>
                <w:b/>
                <w:bCs/>
                <w:sz w:val="18"/>
                <w:szCs w:val="18"/>
                <w:lang w:val="en-AU"/>
              </w:rPr>
              <w:t>Infrastructure Licence (IL)</w:t>
            </w:r>
            <w:r w:rsidRPr="00BE4D82">
              <w:rPr>
                <w:rFonts w:cstheme="minorHAnsi"/>
                <w:sz w:val="18"/>
                <w:szCs w:val="18"/>
                <w:lang w:val="en-AU"/>
              </w:rPr>
              <w:t>:</w:t>
            </w:r>
          </w:p>
          <w:p w14:paraId="353085CE" w14:textId="77777777" w:rsidR="007930D0" w:rsidRPr="00BE4D82" w:rsidRDefault="007930D0">
            <w:pPr>
              <w:cnfStyle w:val="000000000000" w:firstRow="0" w:lastRow="0" w:firstColumn="0" w:lastColumn="0" w:oddVBand="0" w:evenVBand="0" w:oddHBand="0" w:evenHBand="0" w:firstRowFirstColumn="0" w:firstRowLastColumn="0" w:lastRowFirstColumn="0" w:lastRowLastColumn="0"/>
              <w:rPr>
                <w:rFonts w:cstheme="minorHAnsi"/>
                <w:sz w:val="18"/>
                <w:szCs w:val="18"/>
                <w:lang w:val="en-AU"/>
              </w:rPr>
            </w:pPr>
            <w:r w:rsidRPr="00BE4D82">
              <w:rPr>
                <w:rFonts w:cstheme="minorHAnsi"/>
                <w:sz w:val="18"/>
                <w:szCs w:val="18"/>
                <w:lang w:val="en-AU"/>
              </w:rPr>
              <w:t>(Chapter 2)</w:t>
            </w:r>
          </w:p>
        </w:tc>
        <w:tc>
          <w:tcPr>
            <w:tcW w:w="5245" w:type="dxa"/>
            <w:hideMark/>
          </w:tcPr>
          <w:p w14:paraId="2189FA3E" w14:textId="77777777" w:rsidR="007930D0" w:rsidRPr="00BE4D82" w:rsidRDefault="007930D0">
            <w:pPr>
              <w:cnfStyle w:val="000000000000" w:firstRow="0" w:lastRow="0" w:firstColumn="0" w:lastColumn="0" w:oddVBand="0" w:evenVBand="0" w:oddHBand="0" w:evenHBand="0" w:firstRowFirstColumn="0" w:firstRowLastColumn="0" w:lastRowFirstColumn="0" w:lastRowLastColumn="0"/>
              <w:rPr>
                <w:rFonts w:cstheme="minorHAnsi"/>
                <w:b/>
                <w:bCs/>
                <w:i/>
                <w:iCs/>
                <w:sz w:val="18"/>
                <w:szCs w:val="18"/>
                <w:lang w:val="en-AU"/>
              </w:rPr>
            </w:pPr>
            <w:r w:rsidRPr="00BE4D82">
              <w:rPr>
                <w:rFonts w:cstheme="minorHAnsi"/>
                <w:b/>
                <w:bCs/>
                <w:i/>
                <w:iCs/>
                <w:sz w:val="18"/>
                <w:szCs w:val="18"/>
                <w:lang w:val="en-AU"/>
              </w:rPr>
              <w:t xml:space="preserve">Grant, Variation, Surrender, Cancellation, Termination   </w:t>
            </w:r>
          </w:p>
          <w:p w14:paraId="4551DE29" w14:textId="77777777" w:rsidR="007930D0" w:rsidRPr="00BE4D82" w:rsidRDefault="007930D0">
            <w:pPr>
              <w:cnfStyle w:val="000000000000" w:firstRow="0" w:lastRow="0" w:firstColumn="0" w:lastColumn="0" w:oddVBand="0" w:evenVBand="0" w:oddHBand="0" w:evenHBand="0" w:firstRowFirstColumn="0" w:firstRowLastColumn="0" w:lastRowFirstColumn="0" w:lastRowLastColumn="0"/>
              <w:rPr>
                <w:rFonts w:cstheme="minorHAnsi"/>
                <w:sz w:val="18"/>
                <w:szCs w:val="18"/>
                <w:lang w:val="en-AU"/>
              </w:rPr>
            </w:pPr>
            <w:r w:rsidRPr="00BE4D82">
              <w:rPr>
                <w:rFonts w:cstheme="minorHAnsi"/>
                <w:sz w:val="18"/>
                <w:szCs w:val="18"/>
                <w:lang w:val="en-AU"/>
              </w:rPr>
              <w:t>See item 2 for general overview of process.</w:t>
            </w:r>
          </w:p>
        </w:tc>
      </w:tr>
      <w:tr w:rsidR="007930D0" w:rsidRPr="001B57AC" w14:paraId="1D376A65" w14:textId="77777777">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568" w:type="dxa"/>
            <w:hideMark/>
          </w:tcPr>
          <w:p w14:paraId="439D0A36" w14:textId="77777777" w:rsidR="007930D0" w:rsidRPr="00BE4D82" w:rsidRDefault="007930D0">
            <w:pPr>
              <w:jc w:val="center"/>
              <w:rPr>
                <w:rFonts w:cstheme="minorHAnsi"/>
                <w:b w:val="0"/>
                <w:bCs w:val="0"/>
                <w:sz w:val="18"/>
                <w:szCs w:val="18"/>
                <w:lang w:val="en-AU"/>
              </w:rPr>
            </w:pPr>
            <w:r w:rsidRPr="00BE4D82">
              <w:rPr>
                <w:rFonts w:cstheme="minorHAnsi"/>
                <w:sz w:val="18"/>
                <w:szCs w:val="18"/>
                <w:lang w:val="en-AU"/>
              </w:rPr>
              <w:t>8</w:t>
            </w:r>
          </w:p>
        </w:tc>
        <w:tc>
          <w:tcPr>
            <w:tcW w:w="3538" w:type="dxa"/>
            <w:hideMark/>
          </w:tcPr>
          <w:p w14:paraId="7A9D8212" w14:textId="77777777" w:rsidR="007930D0" w:rsidRPr="00BE4D82" w:rsidRDefault="007930D0">
            <w:pPr>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AU"/>
              </w:rPr>
            </w:pPr>
            <w:r w:rsidRPr="00BE4D82">
              <w:rPr>
                <w:rFonts w:cstheme="minorHAnsi"/>
                <w:b/>
                <w:bCs/>
                <w:sz w:val="18"/>
                <w:szCs w:val="18"/>
                <w:lang w:val="en-AU"/>
              </w:rPr>
              <w:t>Pipeline Licence:</w:t>
            </w:r>
          </w:p>
          <w:p w14:paraId="0793DF2F" w14:textId="77777777" w:rsidR="007930D0" w:rsidRPr="00BE4D82" w:rsidRDefault="007930D0">
            <w:pPr>
              <w:cnfStyle w:val="000000100000" w:firstRow="0" w:lastRow="0" w:firstColumn="0" w:lastColumn="0" w:oddVBand="0" w:evenVBand="0" w:oddHBand="1" w:evenHBand="0" w:firstRowFirstColumn="0" w:firstRowLastColumn="0" w:lastRowFirstColumn="0" w:lastRowLastColumn="0"/>
              <w:rPr>
                <w:rFonts w:cstheme="minorHAnsi"/>
                <w:sz w:val="18"/>
                <w:szCs w:val="18"/>
                <w:lang w:val="en-AU"/>
              </w:rPr>
            </w:pPr>
            <w:r w:rsidRPr="00BE4D82">
              <w:rPr>
                <w:rFonts w:cstheme="minorHAnsi"/>
                <w:sz w:val="18"/>
                <w:szCs w:val="18"/>
                <w:lang w:val="en-AU"/>
              </w:rPr>
              <w:t>(Chapter 2)</w:t>
            </w:r>
          </w:p>
        </w:tc>
        <w:tc>
          <w:tcPr>
            <w:tcW w:w="5245" w:type="dxa"/>
            <w:hideMark/>
          </w:tcPr>
          <w:p w14:paraId="4EE5BE41" w14:textId="77777777" w:rsidR="007930D0" w:rsidRPr="00BE4D82" w:rsidRDefault="007930D0">
            <w:pPr>
              <w:cnfStyle w:val="000000100000" w:firstRow="0" w:lastRow="0" w:firstColumn="0" w:lastColumn="0" w:oddVBand="0" w:evenVBand="0" w:oddHBand="1" w:evenHBand="0" w:firstRowFirstColumn="0" w:firstRowLastColumn="0" w:lastRowFirstColumn="0" w:lastRowLastColumn="0"/>
              <w:rPr>
                <w:rFonts w:cstheme="minorHAnsi"/>
                <w:b/>
                <w:bCs/>
                <w:i/>
                <w:iCs/>
                <w:sz w:val="18"/>
                <w:szCs w:val="18"/>
                <w:lang w:val="en-AU"/>
              </w:rPr>
            </w:pPr>
            <w:r w:rsidRPr="00BE4D82">
              <w:rPr>
                <w:rFonts w:cstheme="minorHAnsi"/>
                <w:b/>
                <w:bCs/>
                <w:i/>
                <w:iCs/>
                <w:sz w:val="18"/>
                <w:szCs w:val="18"/>
                <w:lang w:val="en-AU"/>
              </w:rPr>
              <w:t xml:space="preserve">Grant, Variation, Cease to Operate, Terminate, Surrender, Cancellation </w:t>
            </w:r>
          </w:p>
          <w:p w14:paraId="5EC09595" w14:textId="77777777" w:rsidR="007930D0" w:rsidRPr="00BE4D82" w:rsidRDefault="007930D0">
            <w:pPr>
              <w:cnfStyle w:val="000000100000" w:firstRow="0" w:lastRow="0" w:firstColumn="0" w:lastColumn="0" w:oddVBand="0" w:evenVBand="0" w:oddHBand="1" w:evenHBand="0" w:firstRowFirstColumn="0" w:firstRowLastColumn="0" w:lastRowFirstColumn="0" w:lastRowLastColumn="0"/>
              <w:rPr>
                <w:rFonts w:cstheme="minorHAnsi"/>
                <w:sz w:val="18"/>
                <w:szCs w:val="18"/>
                <w:lang w:val="en-AU"/>
              </w:rPr>
            </w:pPr>
            <w:r w:rsidRPr="00BE4D82">
              <w:rPr>
                <w:rFonts w:cstheme="minorHAnsi"/>
                <w:sz w:val="18"/>
                <w:szCs w:val="18"/>
                <w:lang w:val="en-AU"/>
              </w:rPr>
              <w:t>See item 2 for general overview of process.</w:t>
            </w:r>
          </w:p>
        </w:tc>
      </w:tr>
      <w:tr w:rsidR="007930D0" w:rsidRPr="001B57AC" w14:paraId="18324733" w14:textId="77777777">
        <w:trPr>
          <w:trHeight w:val="278"/>
        </w:trPr>
        <w:tc>
          <w:tcPr>
            <w:cnfStyle w:val="001000000000" w:firstRow="0" w:lastRow="0" w:firstColumn="1" w:lastColumn="0" w:oddVBand="0" w:evenVBand="0" w:oddHBand="0" w:evenHBand="0" w:firstRowFirstColumn="0" w:firstRowLastColumn="0" w:lastRowFirstColumn="0" w:lastRowLastColumn="0"/>
            <w:tcW w:w="568" w:type="dxa"/>
            <w:hideMark/>
          </w:tcPr>
          <w:p w14:paraId="71F9626E" w14:textId="77777777" w:rsidR="007930D0" w:rsidRPr="00BE4D82" w:rsidRDefault="007930D0">
            <w:pPr>
              <w:jc w:val="center"/>
              <w:rPr>
                <w:rFonts w:cstheme="minorHAnsi"/>
                <w:b w:val="0"/>
                <w:bCs w:val="0"/>
                <w:sz w:val="18"/>
                <w:szCs w:val="18"/>
                <w:lang w:val="en-AU"/>
              </w:rPr>
            </w:pPr>
            <w:r w:rsidRPr="00BE4D82">
              <w:rPr>
                <w:rFonts w:cstheme="minorHAnsi"/>
                <w:sz w:val="18"/>
                <w:szCs w:val="18"/>
                <w:lang w:val="en-AU"/>
              </w:rPr>
              <w:t>9</w:t>
            </w:r>
          </w:p>
        </w:tc>
        <w:tc>
          <w:tcPr>
            <w:tcW w:w="3538" w:type="dxa"/>
            <w:hideMark/>
          </w:tcPr>
          <w:p w14:paraId="07420994" w14:textId="77777777" w:rsidR="007930D0" w:rsidRPr="00BE4D82" w:rsidRDefault="007930D0">
            <w:pPr>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AU"/>
              </w:rPr>
            </w:pPr>
            <w:r w:rsidRPr="00BE4D82">
              <w:rPr>
                <w:rFonts w:cstheme="minorHAnsi"/>
                <w:b/>
                <w:bCs/>
                <w:sz w:val="18"/>
                <w:szCs w:val="18"/>
                <w:lang w:val="en-AU"/>
              </w:rPr>
              <w:t xml:space="preserve">Special Prospecting Authority (SPA), Access Authority (AA) and Scientific Investigation Consents: </w:t>
            </w:r>
          </w:p>
          <w:p w14:paraId="0B7630BC" w14:textId="77777777" w:rsidR="007930D0" w:rsidRPr="00BE4D82" w:rsidRDefault="007930D0">
            <w:pPr>
              <w:cnfStyle w:val="000000000000" w:firstRow="0" w:lastRow="0" w:firstColumn="0" w:lastColumn="0" w:oddVBand="0" w:evenVBand="0" w:oddHBand="0" w:evenHBand="0" w:firstRowFirstColumn="0" w:firstRowLastColumn="0" w:lastRowFirstColumn="0" w:lastRowLastColumn="0"/>
              <w:rPr>
                <w:rFonts w:cstheme="minorHAnsi"/>
                <w:sz w:val="18"/>
                <w:szCs w:val="18"/>
                <w:lang w:val="en-AU"/>
              </w:rPr>
            </w:pPr>
            <w:r w:rsidRPr="00BE4D82">
              <w:rPr>
                <w:rFonts w:cstheme="minorHAnsi"/>
                <w:sz w:val="18"/>
                <w:szCs w:val="18"/>
                <w:lang w:val="en-AU"/>
              </w:rPr>
              <w:t xml:space="preserve">(Chapter 2) </w:t>
            </w:r>
          </w:p>
        </w:tc>
        <w:tc>
          <w:tcPr>
            <w:tcW w:w="5245" w:type="dxa"/>
            <w:hideMark/>
          </w:tcPr>
          <w:p w14:paraId="50385817" w14:textId="77777777" w:rsidR="007930D0" w:rsidRPr="00BE4D82" w:rsidRDefault="007930D0">
            <w:pPr>
              <w:cnfStyle w:val="000000000000" w:firstRow="0" w:lastRow="0" w:firstColumn="0" w:lastColumn="0" w:oddVBand="0" w:evenVBand="0" w:oddHBand="0" w:evenHBand="0" w:firstRowFirstColumn="0" w:firstRowLastColumn="0" w:lastRowFirstColumn="0" w:lastRowLastColumn="0"/>
              <w:rPr>
                <w:rFonts w:cstheme="minorHAnsi"/>
                <w:b/>
                <w:bCs/>
                <w:i/>
                <w:iCs/>
                <w:sz w:val="18"/>
                <w:szCs w:val="18"/>
                <w:lang w:val="en-AU"/>
              </w:rPr>
            </w:pPr>
            <w:r w:rsidRPr="00BE4D82">
              <w:rPr>
                <w:rFonts w:cstheme="minorHAnsi"/>
                <w:b/>
                <w:bCs/>
                <w:i/>
                <w:iCs/>
                <w:sz w:val="18"/>
                <w:szCs w:val="18"/>
                <w:lang w:val="en-AU"/>
              </w:rPr>
              <w:t xml:space="preserve">Grant, Variation (AA), Extension duration (AA), Revocation (AA), Expiry, Surrender (SPA and AA), Cancellation (SPA)  </w:t>
            </w:r>
          </w:p>
          <w:p w14:paraId="1C984240" w14:textId="77777777" w:rsidR="007930D0" w:rsidRPr="00BE4D82" w:rsidRDefault="007930D0">
            <w:pPr>
              <w:cnfStyle w:val="000000000000" w:firstRow="0" w:lastRow="0" w:firstColumn="0" w:lastColumn="0" w:oddVBand="0" w:evenVBand="0" w:oddHBand="0" w:evenHBand="0" w:firstRowFirstColumn="0" w:firstRowLastColumn="0" w:lastRowFirstColumn="0" w:lastRowLastColumn="0"/>
              <w:rPr>
                <w:rFonts w:cstheme="minorHAnsi"/>
                <w:sz w:val="18"/>
                <w:szCs w:val="18"/>
                <w:lang w:val="en-AU"/>
              </w:rPr>
            </w:pPr>
            <w:r w:rsidRPr="00BE4D82">
              <w:rPr>
                <w:rFonts w:cstheme="minorHAnsi"/>
                <w:sz w:val="18"/>
                <w:szCs w:val="18"/>
                <w:lang w:val="en-AU"/>
              </w:rPr>
              <w:t>See item 2 for general overview of process.</w:t>
            </w:r>
          </w:p>
        </w:tc>
      </w:tr>
      <w:tr w:rsidR="007930D0" w:rsidRPr="001B57AC" w14:paraId="5E7ABC71" w14:textId="77777777" w:rsidTr="00B04F0F">
        <w:trPr>
          <w:cnfStyle w:val="000000100000" w:firstRow="0" w:lastRow="0" w:firstColumn="0" w:lastColumn="0" w:oddVBand="0" w:evenVBand="0" w:oddHBand="1" w:evenHBand="0" w:firstRowFirstColumn="0" w:firstRowLastColumn="0" w:lastRowFirstColumn="0" w:lastRowLastColumn="0"/>
          <w:trHeight w:val="1326"/>
        </w:trPr>
        <w:tc>
          <w:tcPr>
            <w:cnfStyle w:val="001000000000" w:firstRow="0" w:lastRow="0" w:firstColumn="1" w:lastColumn="0" w:oddVBand="0" w:evenVBand="0" w:oddHBand="0" w:evenHBand="0" w:firstRowFirstColumn="0" w:firstRowLastColumn="0" w:lastRowFirstColumn="0" w:lastRowLastColumn="0"/>
            <w:tcW w:w="568" w:type="dxa"/>
            <w:hideMark/>
          </w:tcPr>
          <w:p w14:paraId="5BE240F9" w14:textId="77777777" w:rsidR="007930D0" w:rsidRPr="00BE4D82" w:rsidRDefault="007930D0">
            <w:pPr>
              <w:jc w:val="center"/>
              <w:rPr>
                <w:rFonts w:cstheme="minorHAnsi"/>
                <w:b w:val="0"/>
                <w:bCs w:val="0"/>
                <w:sz w:val="18"/>
                <w:szCs w:val="18"/>
                <w:lang w:val="en-AU"/>
              </w:rPr>
            </w:pPr>
            <w:r w:rsidRPr="00BE4D82">
              <w:rPr>
                <w:rFonts w:cstheme="minorHAnsi"/>
                <w:sz w:val="18"/>
                <w:szCs w:val="18"/>
                <w:lang w:val="en-AU"/>
              </w:rPr>
              <w:t>10</w:t>
            </w:r>
          </w:p>
        </w:tc>
        <w:tc>
          <w:tcPr>
            <w:tcW w:w="3538" w:type="dxa"/>
          </w:tcPr>
          <w:p w14:paraId="11E37B4F" w14:textId="558C3DBE" w:rsidR="007930D0" w:rsidRPr="00BE4D82" w:rsidRDefault="007930D0">
            <w:pPr>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AU"/>
              </w:rPr>
            </w:pPr>
            <w:r w:rsidRPr="00BE4D82">
              <w:rPr>
                <w:rFonts w:cstheme="minorHAnsi"/>
                <w:b/>
                <w:bCs/>
                <w:sz w:val="18"/>
                <w:szCs w:val="18"/>
                <w:lang w:val="en-AU"/>
              </w:rPr>
              <w:t>Dealings</w:t>
            </w:r>
          </w:p>
          <w:p w14:paraId="5EFE39EC" w14:textId="77777777" w:rsidR="007930D0" w:rsidRPr="00BE4D82" w:rsidRDefault="007930D0">
            <w:pPr>
              <w:cnfStyle w:val="000000100000" w:firstRow="0" w:lastRow="0" w:firstColumn="0" w:lastColumn="0" w:oddVBand="0" w:evenVBand="0" w:oddHBand="1" w:evenHBand="0" w:firstRowFirstColumn="0" w:firstRowLastColumn="0" w:lastRowFirstColumn="0" w:lastRowLastColumn="0"/>
              <w:rPr>
                <w:rFonts w:cstheme="minorHAnsi"/>
                <w:sz w:val="18"/>
                <w:szCs w:val="18"/>
                <w:lang w:val="en-AU"/>
              </w:rPr>
            </w:pPr>
            <w:r w:rsidRPr="00BE4D82">
              <w:rPr>
                <w:rFonts w:cstheme="minorHAnsi"/>
                <w:sz w:val="18"/>
                <w:szCs w:val="18"/>
                <w:lang w:val="en-AU"/>
              </w:rPr>
              <w:t>(Chapter 4 and Chapter 5)</w:t>
            </w:r>
          </w:p>
          <w:p w14:paraId="5A0103BA" w14:textId="77777777" w:rsidR="007930D0" w:rsidRPr="00C1613F" w:rsidRDefault="007930D0" w:rsidP="00AF30D7">
            <w:pPr>
              <w:pStyle w:val="ListParagraph"/>
              <w:numPr>
                <w:ilvl w:val="0"/>
                <w:numId w:val="8"/>
              </w:numPr>
              <w:spacing w:after="0" w:line="276"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C1613F">
              <w:rPr>
                <w:rFonts w:asciiTheme="minorHAnsi" w:hAnsiTheme="minorHAnsi" w:cstheme="minorHAnsi"/>
                <w:sz w:val="18"/>
                <w:szCs w:val="18"/>
              </w:rPr>
              <w:t xml:space="preserve">For petroleum </w:t>
            </w:r>
          </w:p>
        </w:tc>
        <w:tc>
          <w:tcPr>
            <w:tcW w:w="5245" w:type="dxa"/>
          </w:tcPr>
          <w:p w14:paraId="2AE1A382" w14:textId="77777777" w:rsidR="007930D0" w:rsidRPr="00BE4D82" w:rsidRDefault="007930D0">
            <w:pPr>
              <w:cnfStyle w:val="000000100000" w:firstRow="0" w:lastRow="0" w:firstColumn="0" w:lastColumn="0" w:oddVBand="0" w:evenVBand="0" w:oddHBand="1" w:evenHBand="0" w:firstRowFirstColumn="0" w:firstRowLastColumn="0" w:lastRowFirstColumn="0" w:lastRowLastColumn="0"/>
              <w:rPr>
                <w:rFonts w:cstheme="minorHAnsi"/>
                <w:b/>
                <w:bCs/>
                <w:i/>
                <w:iCs/>
                <w:sz w:val="18"/>
                <w:szCs w:val="18"/>
                <w:lang w:val="en-AU"/>
              </w:rPr>
            </w:pPr>
            <w:r w:rsidRPr="00BE4D82">
              <w:rPr>
                <w:rFonts w:cstheme="minorHAnsi"/>
                <w:b/>
                <w:bCs/>
                <w:i/>
                <w:iCs/>
                <w:sz w:val="18"/>
                <w:szCs w:val="18"/>
                <w:lang w:val="en-AU"/>
              </w:rPr>
              <w:t>Dealings affecting an existing title, future title</w:t>
            </w:r>
          </w:p>
          <w:p w14:paraId="2D4A8147" w14:textId="77777777" w:rsidR="007930D0" w:rsidRDefault="007930D0">
            <w:pPr>
              <w:cnfStyle w:val="000000100000" w:firstRow="0" w:lastRow="0" w:firstColumn="0" w:lastColumn="0" w:oddVBand="0" w:evenVBand="0" w:oddHBand="1" w:evenHBand="0" w:firstRowFirstColumn="0" w:firstRowLastColumn="0" w:lastRowFirstColumn="0" w:lastRowLastColumn="0"/>
              <w:rPr>
                <w:rFonts w:cstheme="minorHAnsi"/>
                <w:b/>
                <w:bCs/>
                <w:i/>
                <w:iCs/>
                <w:sz w:val="18"/>
                <w:szCs w:val="18"/>
                <w:lang w:val="en-AU"/>
              </w:rPr>
            </w:pPr>
            <w:r w:rsidRPr="00BE4D82">
              <w:rPr>
                <w:rFonts w:cstheme="minorHAnsi"/>
                <w:sz w:val="18"/>
                <w:szCs w:val="18"/>
                <w:lang w:val="en-AU"/>
              </w:rPr>
              <w:t>See item 2 for general overview of process.</w:t>
            </w:r>
            <w:r w:rsidRPr="00BE4D82">
              <w:rPr>
                <w:rFonts w:cstheme="minorHAnsi"/>
                <w:b/>
                <w:bCs/>
                <w:i/>
                <w:iCs/>
                <w:sz w:val="18"/>
                <w:szCs w:val="18"/>
                <w:lang w:val="en-AU"/>
              </w:rPr>
              <w:t xml:space="preserve"> </w:t>
            </w:r>
          </w:p>
          <w:p w14:paraId="58963056" w14:textId="77777777" w:rsidR="00863149" w:rsidRPr="009C2722" w:rsidRDefault="00863149" w:rsidP="00863149">
            <w:pPr>
              <w:pStyle w:val="ListParagraph"/>
              <w:numPr>
                <w:ilvl w:val="0"/>
                <w:numId w:val="8"/>
              </w:numPr>
              <w:spacing w:after="0" w:line="276" w:lineRule="auto"/>
              <w:ind w:left="337" w:hanging="337"/>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9C2722">
              <w:rPr>
                <w:rFonts w:asciiTheme="minorHAnsi" w:hAnsiTheme="minorHAnsi" w:cstheme="minorHAnsi"/>
                <w:sz w:val="18"/>
                <w:szCs w:val="18"/>
              </w:rPr>
              <w:t xml:space="preserve">Receipt of application </w:t>
            </w:r>
          </w:p>
          <w:p w14:paraId="14C9376D" w14:textId="7745FE5E" w:rsidR="00863149" w:rsidRPr="009C2722" w:rsidRDefault="00863149" w:rsidP="00863149">
            <w:pPr>
              <w:pStyle w:val="ListParagraph"/>
              <w:numPr>
                <w:ilvl w:val="0"/>
                <w:numId w:val="8"/>
              </w:numPr>
              <w:spacing w:after="0" w:line="276" w:lineRule="auto"/>
              <w:ind w:left="337" w:hanging="337"/>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9C2722">
              <w:rPr>
                <w:rFonts w:asciiTheme="minorHAnsi" w:hAnsiTheme="minorHAnsi" w:cstheme="minorHAnsi"/>
                <w:sz w:val="18"/>
                <w:szCs w:val="18"/>
              </w:rPr>
              <w:t>assessment of application (including any procedural fairness requirements)</w:t>
            </w:r>
          </w:p>
          <w:p w14:paraId="065FFE75" w14:textId="77777777" w:rsidR="00863149" w:rsidRPr="009C2722" w:rsidRDefault="00863149" w:rsidP="00863149">
            <w:pPr>
              <w:pStyle w:val="ListParagraph"/>
              <w:numPr>
                <w:ilvl w:val="0"/>
                <w:numId w:val="8"/>
              </w:numPr>
              <w:spacing w:after="0" w:line="276" w:lineRule="auto"/>
              <w:ind w:left="337" w:hanging="337"/>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9C2722">
              <w:rPr>
                <w:rFonts w:asciiTheme="minorHAnsi" w:hAnsiTheme="minorHAnsi" w:cstheme="minorHAnsi"/>
                <w:sz w:val="18"/>
                <w:szCs w:val="18"/>
              </w:rPr>
              <w:t xml:space="preserve">implement the decision </w:t>
            </w:r>
          </w:p>
          <w:p w14:paraId="2BB18846" w14:textId="77777777" w:rsidR="00863149" w:rsidRPr="009C2722" w:rsidRDefault="00863149" w:rsidP="00863149">
            <w:pPr>
              <w:pStyle w:val="ListParagraph"/>
              <w:numPr>
                <w:ilvl w:val="0"/>
                <w:numId w:val="8"/>
              </w:numPr>
              <w:spacing w:after="0" w:line="276" w:lineRule="auto"/>
              <w:ind w:left="337" w:hanging="337"/>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9C2722">
              <w:rPr>
                <w:rFonts w:asciiTheme="minorHAnsi" w:hAnsiTheme="minorHAnsi" w:cstheme="minorHAnsi"/>
                <w:sz w:val="18"/>
                <w:szCs w:val="18"/>
              </w:rPr>
              <w:t>maintain the register</w:t>
            </w:r>
          </w:p>
          <w:p w14:paraId="54C5C0FE" w14:textId="77777777" w:rsidR="00863149" w:rsidRPr="009C2722" w:rsidRDefault="00863149" w:rsidP="00863149">
            <w:pPr>
              <w:pStyle w:val="ListParagraph"/>
              <w:numPr>
                <w:ilvl w:val="0"/>
                <w:numId w:val="8"/>
              </w:numPr>
              <w:spacing w:after="0" w:line="276" w:lineRule="auto"/>
              <w:ind w:left="337" w:hanging="337"/>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9C2722">
              <w:rPr>
                <w:rFonts w:asciiTheme="minorHAnsi" w:hAnsiTheme="minorHAnsi" w:cstheme="minorHAnsi"/>
                <w:sz w:val="18"/>
                <w:szCs w:val="18"/>
              </w:rPr>
              <w:t xml:space="preserve">dissemination of information </w:t>
            </w:r>
          </w:p>
          <w:p w14:paraId="47350AEC" w14:textId="5D74B010" w:rsidR="00863149" w:rsidRPr="009C2722" w:rsidRDefault="00863149" w:rsidP="00ED5C98">
            <w:pPr>
              <w:pStyle w:val="ListParagraph"/>
              <w:numPr>
                <w:ilvl w:val="0"/>
                <w:numId w:val="8"/>
              </w:numPr>
              <w:spacing w:after="0" w:line="276" w:lineRule="auto"/>
              <w:ind w:left="337" w:hanging="337"/>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9C2722">
              <w:rPr>
                <w:rFonts w:asciiTheme="minorHAnsi" w:hAnsiTheme="minorHAnsi" w:cstheme="minorHAnsi"/>
                <w:sz w:val="18"/>
                <w:szCs w:val="18"/>
              </w:rPr>
              <w:t>develop/maintain guidance material for applicants</w:t>
            </w:r>
          </w:p>
          <w:p w14:paraId="1E4E4C79" w14:textId="77777777" w:rsidR="007930D0" w:rsidRPr="00BE4D82" w:rsidRDefault="007930D0">
            <w:pPr>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AU"/>
              </w:rPr>
            </w:pPr>
            <w:r w:rsidRPr="00BE4D82">
              <w:rPr>
                <w:rFonts w:cstheme="minorHAnsi"/>
                <w:b/>
                <w:bCs/>
                <w:i/>
                <w:iCs/>
                <w:sz w:val="18"/>
                <w:szCs w:val="18"/>
                <w:lang w:val="en-AU"/>
              </w:rPr>
              <w:t xml:space="preserve">Change of company name </w:t>
            </w:r>
          </w:p>
          <w:p w14:paraId="3CD882F7" w14:textId="076884A8" w:rsidR="007930D0" w:rsidRPr="009C2722" w:rsidRDefault="007930D0" w:rsidP="000A5BCB">
            <w:pPr>
              <w:pStyle w:val="ListParagraph"/>
              <w:numPr>
                <w:ilvl w:val="0"/>
                <w:numId w:val="8"/>
              </w:numPr>
              <w:spacing w:after="0" w:line="276" w:lineRule="auto"/>
              <w:ind w:left="337" w:hanging="337"/>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9C2722">
              <w:rPr>
                <w:rFonts w:asciiTheme="minorHAnsi" w:hAnsiTheme="minorHAnsi" w:cstheme="minorHAnsi"/>
                <w:sz w:val="18"/>
                <w:szCs w:val="18"/>
              </w:rPr>
              <w:t xml:space="preserve">Receipt of application </w:t>
            </w:r>
          </w:p>
          <w:p w14:paraId="592522BC" w14:textId="2A3FF2FE" w:rsidR="007930D0" w:rsidRPr="009C2722" w:rsidRDefault="007930D0" w:rsidP="00A33FE6">
            <w:pPr>
              <w:pStyle w:val="ListParagraph"/>
              <w:numPr>
                <w:ilvl w:val="0"/>
                <w:numId w:val="8"/>
              </w:numPr>
              <w:spacing w:after="0" w:line="276" w:lineRule="auto"/>
              <w:ind w:left="337" w:hanging="337"/>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9C2722">
              <w:rPr>
                <w:rFonts w:asciiTheme="minorHAnsi" w:hAnsiTheme="minorHAnsi" w:cstheme="minorHAnsi"/>
                <w:sz w:val="18"/>
                <w:szCs w:val="18"/>
              </w:rPr>
              <w:t xml:space="preserve">assessment of application </w:t>
            </w:r>
            <w:r w:rsidR="00A33FE6" w:rsidRPr="009C2722">
              <w:rPr>
                <w:rFonts w:asciiTheme="minorHAnsi" w:hAnsiTheme="minorHAnsi" w:cstheme="minorHAnsi"/>
                <w:sz w:val="18"/>
                <w:szCs w:val="18"/>
              </w:rPr>
              <w:t>(including any procedural fairness requirements)</w:t>
            </w:r>
          </w:p>
          <w:p w14:paraId="00B25A72" w14:textId="77777777" w:rsidR="007930D0" w:rsidRPr="009C2722" w:rsidRDefault="007930D0" w:rsidP="00AF30D7">
            <w:pPr>
              <w:pStyle w:val="ListParagraph"/>
              <w:numPr>
                <w:ilvl w:val="0"/>
                <w:numId w:val="8"/>
              </w:numPr>
              <w:spacing w:after="0" w:line="276" w:lineRule="auto"/>
              <w:ind w:left="337" w:hanging="337"/>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9C2722">
              <w:rPr>
                <w:rFonts w:asciiTheme="minorHAnsi" w:hAnsiTheme="minorHAnsi" w:cstheme="minorHAnsi"/>
                <w:sz w:val="18"/>
                <w:szCs w:val="18"/>
              </w:rPr>
              <w:t xml:space="preserve">implement the decision </w:t>
            </w:r>
          </w:p>
          <w:p w14:paraId="55447A37" w14:textId="77777777" w:rsidR="007930D0" w:rsidRPr="009C2722" w:rsidRDefault="007930D0" w:rsidP="00AF30D7">
            <w:pPr>
              <w:pStyle w:val="ListParagraph"/>
              <w:numPr>
                <w:ilvl w:val="0"/>
                <w:numId w:val="8"/>
              </w:numPr>
              <w:spacing w:after="0" w:line="276" w:lineRule="auto"/>
              <w:ind w:left="337" w:hanging="337"/>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9C2722">
              <w:rPr>
                <w:rFonts w:asciiTheme="minorHAnsi" w:hAnsiTheme="minorHAnsi" w:cstheme="minorHAnsi"/>
                <w:sz w:val="18"/>
                <w:szCs w:val="18"/>
              </w:rPr>
              <w:t>maintain the register</w:t>
            </w:r>
          </w:p>
          <w:p w14:paraId="3F116FAA" w14:textId="77777777" w:rsidR="007930D0" w:rsidRPr="009C2722" w:rsidRDefault="007930D0" w:rsidP="00AF30D7">
            <w:pPr>
              <w:pStyle w:val="ListParagraph"/>
              <w:numPr>
                <w:ilvl w:val="0"/>
                <w:numId w:val="8"/>
              </w:numPr>
              <w:spacing w:after="0" w:line="276" w:lineRule="auto"/>
              <w:ind w:left="337" w:hanging="337"/>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9C2722">
              <w:rPr>
                <w:rFonts w:asciiTheme="minorHAnsi" w:hAnsiTheme="minorHAnsi" w:cstheme="minorHAnsi"/>
                <w:sz w:val="18"/>
                <w:szCs w:val="18"/>
              </w:rPr>
              <w:t xml:space="preserve">dissemination of information </w:t>
            </w:r>
          </w:p>
          <w:p w14:paraId="1AF5B057" w14:textId="79DE85DB" w:rsidR="00B04F0F" w:rsidRPr="004B0CCE" w:rsidRDefault="007930D0" w:rsidP="004B0CCE">
            <w:pPr>
              <w:pStyle w:val="ListParagraph"/>
              <w:numPr>
                <w:ilvl w:val="0"/>
                <w:numId w:val="8"/>
              </w:numPr>
              <w:spacing w:after="0" w:line="276" w:lineRule="auto"/>
              <w:ind w:left="337" w:hanging="337"/>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9C2722">
              <w:rPr>
                <w:rFonts w:asciiTheme="minorHAnsi" w:hAnsiTheme="minorHAnsi" w:cstheme="minorHAnsi"/>
                <w:sz w:val="18"/>
                <w:szCs w:val="18"/>
              </w:rPr>
              <w:t>develop/maintain guidance material for applicants</w:t>
            </w:r>
          </w:p>
        </w:tc>
      </w:tr>
      <w:tr w:rsidR="009115A5" w:rsidRPr="001B57AC" w14:paraId="506AB831" w14:textId="77777777" w:rsidTr="00B04F0F">
        <w:trPr>
          <w:trHeight w:val="1326"/>
        </w:trPr>
        <w:tc>
          <w:tcPr>
            <w:cnfStyle w:val="001000000000" w:firstRow="0" w:lastRow="0" w:firstColumn="1" w:lastColumn="0" w:oddVBand="0" w:evenVBand="0" w:oddHBand="0" w:evenHBand="0" w:firstRowFirstColumn="0" w:firstRowLastColumn="0" w:lastRowFirstColumn="0" w:lastRowLastColumn="0"/>
            <w:tcW w:w="568" w:type="dxa"/>
          </w:tcPr>
          <w:p w14:paraId="3761A7AB" w14:textId="569ACFC1" w:rsidR="009115A5" w:rsidRPr="00BE4D82" w:rsidRDefault="009115A5" w:rsidP="009115A5">
            <w:pPr>
              <w:jc w:val="center"/>
              <w:rPr>
                <w:rFonts w:cstheme="minorHAnsi"/>
                <w:sz w:val="18"/>
                <w:szCs w:val="18"/>
              </w:rPr>
            </w:pPr>
            <w:r w:rsidRPr="00BE4D82">
              <w:rPr>
                <w:rFonts w:cstheme="minorHAnsi"/>
                <w:sz w:val="18"/>
                <w:szCs w:val="18"/>
                <w:lang w:val="en-AU"/>
              </w:rPr>
              <w:t>1</w:t>
            </w:r>
            <w:r>
              <w:rPr>
                <w:rFonts w:cstheme="minorHAnsi"/>
                <w:sz w:val="18"/>
                <w:szCs w:val="18"/>
                <w:lang w:val="en-AU"/>
              </w:rPr>
              <w:t>1</w:t>
            </w:r>
          </w:p>
        </w:tc>
        <w:tc>
          <w:tcPr>
            <w:tcW w:w="3538" w:type="dxa"/>
          </w:tcPr>
          <w:p w14:paraId="4E200873" w14:textId="5DFA8C97" w:rsidR="009115A5" w:rsidRPr="00BE4D82" w:rsidRDefault="009115A5" w:rsidP="009115A5">
            <w:pPr>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AU"/>
              </w:rPr>
            </w:pPr>
            <w:r>
              <w:rPr>
                <w:rFonts w:cstheme="minorHAnsi"/>
                <w:b/>
                <w:bCs/>
                <w:sz w:val="18"/>
                <w:szCs w:val="18"/>
                <w:lang w:val="en-AU"/>
              </w:rPr>
              <w:t>Transfer</w:t>
            </w:r>
            <w:r w:rsidRPr="00BE4D82">
              <w:rPr>
                <w:rFonts w:cstheme="minorHAnsi"/>
                <w:b/>
                <w:bCs/>
                <w:sz w:val="18"/>
                <w:szCs w:val="18"/>
                <w:lang w:val="en-AU"/>
              </w:rPr>
              <w:t>s</w:t>
            </w:r>
          </w:p>
          <w:p w14:paraId="3DF10A0E" w14:textId="77777777" w:rsidR="009115A5" w:rsidRPr="00BE4D82" w:rsidRDefault="009115A5" w:rsidP="009115A5">
            <w:pPr>
              <w:cnfStyle w:val="000000000000" w:firstRow="0" w:lastRow="0" w:firstColumn="0" w:lastColumn="0" w:oddVBand="0" w:evenVBand="0" w:oddHBand="0" w:evenHBand="0" w:firstRowFirstColumn="0" w:firstRowLastColumn="0" w:lastRowFirstColumn="0" w:lastRowLastColumn="0"/>
              <w:rPr>
                <w:rFonts w:cstheme="minorHAnsi"/>
                <w:sz w:val="18"/>
                <w:szCs w:val="18"/>
                <w:lang w:val="en-AU"/>
              </w:rPr>
            </w:pPr>
            <w:r w:rsidRPr="00BE4D82">
              <w:rPr>
                <w:rFonts w:cstheme="minorHAnsi"/>
                <w:sz w:val="18"/>
                <w:szCs w:val="18"/>
                <w:lang w:val="en-AU"/>
              </w:rPr>
              <w:t>(Chapter 4 and Chapter 5)</w:t>
            </w:r>
          </w:p>
          <w:p w14:paraId="386A1DFE" w14:textId="631B929A" w:rsidR="009115A5" w:rsidRPr="00BE4D82" w:rsidRDefault="009115A5" w:rsidP="009115A5">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C1613F">
              <w:rPr>
                <w:rFonts w:cstheme="minorHAnsi"/>
                <w:sz w:val="18"/>
                <w:szCs w:val="18"/>
              </w:rPr>
              <w:t>For petroleum</w:t>
            </w:r>
          </w:p>
        </w:tc>
        <w:tc>
          <w:tcPr>
            <w:tcW w:w="5245" w:type="dxa"/>
          </w:tcPr>
          <w:p w14:paraId="7CEF227C" w14:textId="77777777" w:rsidR="009115A5" w:rsidRDefault="009115A5" w:rsidP="009115A5">
            <w:pPr>
              <w:cnfStyle w:val="000000000000" w:firstRow="0" w:lastRow="0" w:firstColumn="0" w:lastColumn="0" w:oddVBand="0" w:evenVBand="0" w:oddHBand="0" w:evenHBand="0" w:firstRowFirstColumn="0" w:firstRowLastColumn="0" w:lastRowFirstColumn="0" w:lastRowLastColumn="0"/>
              <w:rPr>
                <w:rFonts w:cstheme="minorHAnsi"/>
                <w:b/>
                <w:bCs/>
                <w:i/>
                <w:iCs/>
                <w:sz w:val="18"/>
                <w:szCs w:val="18"/>
                <w:lang w:val="en-AU"/>
              </w:rPr>
            </w:pPr>
            <w:r w:rsidRPr="00BE4D82">
              <w:rPr>
                <w:rFonts w:cstheme="minorHAnsi"/>
                <w:b/>
                <w:bCs/>
                <w:i/>
                <w:iCs/>
                <w:sz w:val="18"/>
                <w:szCs w:val="18"/>
                <w:lang w:val="en-AU"/>
              </w:rPr>
              <w:t>Transfer of title</w:t>
            </w:r>
          </w:p>
          <w:p w14:paraId="7D0AEB6D" w14:textId="77777777" w:rsidR="009115A5" w:rsidRPr="009C2722" w:rsidRDefault="009115A5" w:rsidP="009115A5">
            <w:pPr>
              <w:pStyle w:val="ListParagraph"/>
              <w:numPr>
                <w:ilvl w:val="0"/>
                <w:numId w:val="8"/>
              </w:numPr>
              <w:spacing w:after="0" w:line="276" w:lineRule="auto"/>
              <w:ind w:left="335" w:hanging="335"/>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9C2722">
              <w:rPr>
                <w:rFonts w:asciiTheme="minorHAnsi" w:hAnsiTheme="minorHAnsi" w:cstheme="minorHAnsi"/>
                <w:sz w:val="18"/>
                <w:szCs w:val="18"/>
              </w:rPr>
              <w:t xml:space="preserve">Receipt of application </w:t>
            </w:r>
          </w:p>
          <w:p w14:paraId="26F6A285" w14:textId="77777777" w:rsidR="009115A5" w:rsidRPr="009C2722" w:rsidRDefault="009115A5" w:rsidP="009115A5">
            <w:pPr>
              <w:pStyle w:val="ListParagraph"/>
              <w:numPr>
                <w:ilvl w:val="0"/>
                <w:numId w:val="8"/>
              </w:numPr>
              <w:spacing w:after="0" w:line="276" w:lineRule="auto"/>
              <w:ind w:left="335" w:hanging="335"/>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9C2722">
              <w:rPr>
                <w:rFonts w:asciiTheme="minorHAnsi" w:hAnsiTheme="minorHAnsi" w:cstheme="minorHAnsi"/>
                <w:sz w:val="18"/>
                <w:szCs w:val="18"/>
              </w:rPr>
              <w:t>assessment of application (including any procedural fairness requirements, assessment against 695YB, financial resources and technical advice available to the applicant, and consultation with NOPSEMA, Joint Authorities and Responsible Commonwealth Minister, where applicable)</w:t>
            </w:r>
          </w:p>
          <w:p w14:paraId="5EC58DC6" w14:textId="77777777" w:rsidR="009115A5" w:rsidRPr="009C2722" w:rsidRDefault="009115A5" w:rsidP="009115A5">
            <w:pPr>
              <w:pStyle w:val="ListParagraph"/>
              <w:numPr>
                <w:ilvl w:val="0"/>
                <w:numId w:val="8"/>
              </w:numPr>
              <w:spacing w:after="0" w:line="276" w:lineRule="auto"/>
              <w:ind w:left="335" w:hanging="335"/>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9C2722">
              <w:rPr>
                <w:rFonts w:asciiTheme="minorHAnsi" w:hAnsiTheme="minorHAnsi" w:cstheme="minorHAnsi"/>
                <w:sz w:val="18"/>
                <w:szCs w:val="18"/>
              </w:rPr>
              <w:t xml:space="preserve">implement the decision </w:t>
            </w:r>
          </w:p>
          <w:p w14:paraId="5BDCCD61" w14:textId="77777777" w:rsidR="009115A5" w:rsidRPr="009C2722" w:rsidRDefault="009115A5" w:rsidP="009115A5">
            <w:pPr>
              <w:pStyle w:val="ListParagraph"/>
              <w:numPr>
                <w:ilvl w:val="0"/>
                <w:numId w:val="8"/>
              </w:numPr>
              <w:spacing w:after="0" w:line="276" w:lineRule="auto"/>
              <w:ind w:left="335" w:hanging="335"/>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9C2722">
              <w:rPr>
                <w:rFonts w:asciiTheme="minorHAnsi" w:hAnsiTheme="minorHAnsi" w:cstheme="minorHAnsi"/>
                <w:sz w:val="18"/>
                <w:szCs w:val="18"/>
              </w:rPr>
              <w:t>maintain the register</w:t>
            </w:r>
          </w:p>
          <w:p w14:paraId="40BFE405" w14:textId="77777777" w:rsidR="009115A5" w:rsidRPr="009C2722" w:rsidRDefault="009115A5" w:rsidP="009115A5">
            <w:pPr>
              <w:pStyle w:val="ListParagraph"/>
              <w:numPr>
                <w:ilvl w:val="0"/>
                <w:numId w:val="8"/>
              </w:numPr>
              <w:spacing w:after="0" w:line="276" w:lineRule="auto"/>
              <w:ind w:left="335" w:hanging="335"/>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9C2722">
              <w:rPr>
                <w:rFonts w:asciiTheme="minorHAnsi" w:hAnsiTheme="minorHAnsi" w:cstheme="minorHAnsi"/>
                <w:sz w:val="18"/>
                <w:szCs w:val="18"/>
              </w:rPr>
              <w:t xml:space="preserve">dissemination of information </w:t>
            </w:r>
          </w:p>
          <w:p w14:paraId="1C9B6F3B" w14:textId="77777777" w:rsidR="009115A5" w:rsidRPr="009C2722" w:rsidRDefault="009115A5" w:rsidP="009115A5">
            <w:pPr>
              <w:pStyle w:val="ListParagraph"/>
              <w:numPr>
                <w:ilvl w:val="0"/>
                <w:numId w:val="8"/>
              </w:numPr>
              <w:spacing w:after="0" w:line="276" w:lineRule="auto"/>
              <w:ind w:left="335" w:hanging="335"/>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9C2722">
              <w:rPr>
                <w:rFonts w:asciiTheme="minorHAnsi" w:hAnsiTheme="minorHAnsi" w:cstheme="minorHAnsi"/>
                <w:sz w:val="18"/>
                <w:szCs w:val="18"/>
              </w:rPr>
              <w:t>develop/maintain guidance material for applicants</w:t>
            </w:r>
          </w:p>
          <w:p w14:paraId="5A0D6F11" w14:textId="04A05FBC" w:rsidR="009115A5" w:rsidRPr="00BE4D82" w:rsidRDefault="009115A5" w:rsidP="009115A5">
            <w:pPr>
              <w:cnfStyle w:val="000000000000" w:firstRow="0" w:lastRow="0" w:firstColumn="0" w:lastColumn="0" w:oddVBand="0" w:evenVBand="0" w:oddHBand="0" w:evenHBand="0" w:firstRowFirstColumn="0" w:firstRowLastColumn="0" w:lastRowFirstColumn="0" w:lastRowLastColumn="0"/>
              <w:rPr>
                <w:rFonts w:cstheme="minorHAnsi"/>
                <w:b/>
                <w:bCs/>
                <w:i/>
                <w:iCs/>
                <w:sz w:val="18"/>
                <w:szCs w:val="18"/>
              </w:rPr>
            </w:pPr>
          </w:p>
        </w:tc>
      </w:tr>
      <w:tr w:rsidR="009115A5" w:rsidRPr="001B57AC" w14:paraId="27E0C391" w14:textId="77777777" w:rsidTr="00B04F0F">
        <w:trPr>
          <w:cnfStyle w:val="000000100000" w:firstRow="0" w:lastRow="0" w:firstColumn="0" w:lastColumn="0" w:oddVBand="0" w:evenVBand="0" w:oddHBand="1" w:evenHBand="0" w:firstRowFirstColumn="0" w:firstRowLastColumn="0" w:lastRowFirstColumn="0" w:lastRowLastColumn="0"/>
          <w:trHeight w:val="1326"/>
        </w:trPr>
        <w:tc>
          <w:tcPr>
            <w:cnfStyle w:val="001000000000" w:firstRow="0" w:lastRow="0" w:firstColumn="1" w:lastColumn="0" w:oddVBand="0" w:evenVBand="0" w:oddHBand="0" w:evenHBand="0" w:firstRowFirstColumn="0" w:firstRowLastColumn="0" w:lastRowFirstColumn="0" w:lastRowLastColumn="0"/>
            <w:tcW w:w="568" w:type="dxa"/>
          </w:tcPr>
          <w:p w14:paraId="4DC3CDC2" w14:textId="7949DE6F" w:rsidR="009115A5" w:rsidRPr="00BE4D82" w:rsidRDefault="009115A5" w:rsidP="009115A5">
            <w:pPr>
              <w:jc w:val="center"/>
              <w:rPr>
                <w:rFonts w:cstheme="minorHAnsi"/>
                <w:sz w:val="18"/>
                <w:szCs w:val="18"/>
              </w:rPr>
            </w:pPr>
            <w:r w:rsidRPr="00BE4D82">
              <w:rPr>
                <w:rFonts w:cstheme="minorHAnsi"/>
                <w:sz w:val="18"/>
                <w:szCs w:val="18"/>
                <w:lang w:val="en-AU"/>
              </w:rPr>
              <w:t>1</w:t>
            </w:r>
            <w:r w:rsidR="009157C4">
              <w:rPr>
                <w:rFonts w:cstheme="minorHAnsi"/>
                <w:sz w:val="18"/>
                <w:szCs w:val="18"/>
                <w:lang w:val="en-AU"/>
              </w:rPr>
              <w:t>2</w:t>
            </w:r>
          </w:p>
        </w:tc>
        <w:tc>
          <w:tcPr>
            <w:tcW w:w="3538" w:type="dxa"/>
          </w:tcPr>
          <w:p w14:paraId="15390F71" w14:textId="5AB5158D"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AU"/>
              </w:rPr>
            </w:pPr>
            <w:r>
              <w:rPr>
                <w:rFonts w:cstheme="minorHAnsi"/>
                <w:b/>
                <w:bCs/>
                <w:sz w:val="18"/>
                <w:szCs w:val="18"/>
                <w:lang w:val="en-AU"/>
              </w:rPr>
              <w:t>Change of Company Control</w:t>
            </w:r>
          </w:p>
          <w:p w14:paraId="49122C3B" w14:textId="3A2F9276"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sz w:val="18"/>
                <w:szCs w:val="18"/>
                <w:lang w:val="en-AU"/>
              </w:rPr>
            </w:pPr>
            <w:r w:rsidRPr="00F46CF5">
              <w:rPr>
                <w:rFonts w:cstheme="minorHAnsi"/>
                <w:sz w:val="18"/>
                <w:szCs w:val="18"/>
                <w:lang w:val="en-AU"/>
              </w:rPr>
              <w:t>(Chapter 5)</w:t>
            </w:r>
          </w:p>
          <w:p w14:paraId="6BB96490" w14:textId="5937A687"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1613F">
              <w:rPr>
                <w:rFonts w:cstheme="minorHAnsi"/>
                <w:sz w:val="18"/>
                <w:szCs w:val="18"/>
              </w:rPr>
              <w:t xml:space="preserve">For petroleum </w:t>
            </w:r>
          </w:p>
        </w:tc>
        <w:tc>
          <w:tcPr>
            <w:tcW w:w="5245" w:type="dxa"/>
          </w:tcPr>
          <w:p w14:paraId="37FB92A9" w14:textId="77777777"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AU"/>
              </w:rPr>
            </w:pPr>
            <w:r w:rsidRPr="00BE4D82">
              <w:rPr>
                <w:rFonts w:cstheme="minorHAnsi"/>
                <w:b/>
                <w:bCs/>
                <w:i/>
                <w:iCs/>
                <w:sz w:val="18"/>
                <w:szCs w:val="18"/>
                <w:lang w:val="en-AU"/>
              </w:rPr>
              <w:t xml:space="preserve">Change of company </w:t>
            </w:r>
            <w:r>
              <w:rPr>
                <w:rFonts w:cstheme="minorHAnsi"/>
                <w:b/>
                <w:bCs/>
                <w:i/>
                <w:iCs/>
                <w:sz w:val="18"/>
                <w:szCs w:val="18"/>
                <w:lang w:val="en-AU"/>
              </w:rPr>
              <w:t>control</w:t>
            </w:r>
            <w:r w:rsidRPr="00BE4D82">
              <w:rPr>
                <w:rFonts w:cstheme="minorHAnsi"/>
                <w:b/>
                <w:bCs/>
                <w:i/>
                <w:iCs/>
                <w:sz w:val="18"/>
                <w:szCs w:val="18"/>
                <w:lang w:val="en-AU"/>
              </w:rPr>
              <w:t xml:space="preserve"> </w:t>
            </w:r>
          </w:p>
          <w:p w14:paraId="49363164" w14:textId="77777777" w:rsidR="009115A5" w:rsidRPr="009C2722" w:rsidRDefault="009115A5" w:rsidP="009115A5">
            <w:pPr>
              <w:pStyle w:val="ListParagraph"/>
              <w:numPr>
                <w:ilvl w:val="0"/>
                <w:numId w:val="8"/>
              </w:numPr>
              <w:spacing w:after="0" w:line="276" w:lineRule="auto"/>
              <w:ind w:left="337" w:hanging="337"/>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9C2722">
              <w:rPr>
                <w:rFonts w:asciiTheme="minorHAnsi" w:hAnsiTheme="minorHAnsi" w:cstheme="minorHAnsi"/>
                <w:sz w:val="18"/>
                <w:szCs w:val="18"/>
              </w:rPr>
              <w:t>Receipt of application (including any procedural fairness requirements, assessment against 695YB, financial resources and technical advice available to the applicant, and consultation with NOPSEMA, Joint Authorities and Responsible Commonwealth Minister, where applicable)</w:t>
            </w:r>
          </w:p>
          <w:p w14:paraId="3F11948E" w14:textId="77777777" w:rsidR="009115A5" w:rsidRPr="009C2722" w:rsidRDefault="009115A5" w:rsidP="009115A5">
            <w:pPr>
              <w:pStyle w:val="ListParagraph"/>
              <w:numPr>
                <w:ilvl w:val="0"/>
                <w:numId w:val="8"/>
              </w:numPr>
              <w:spacing w:after="0"/>
              <w:ind w:left="337" w:hanging="337"/>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9C2722">
              <w:rPr>
                <w:rFonts w:asciiTheme="minorHAnsi" w:hAnsiTheme="minorHAnsi" w:cstheme="minorHAnsi"/>
                <w:sz w:val="18"/>
                <w:szCs w:val="18"/>
              </w:rPr>
              <w:t xml:space="preserve">Assessment of application </w:t>
            </w:r>
          </w:p>
          <w:p w14:paraId="207CF384" w14:textId="77777777" w:rsidR="009115A5" w:rsidRPr="009C2722" w:rsidRDefault="009115A5" w:rsidP="009115A5">
            <w:pPr>
              <w:pStyle w:val="ListParagraph"/>
              <w:numPr>
                <w:ilvl w:val="0"/>
                <w:numId w:val="8"/>
              </w:numPr>
              <w:spacing w:after="0"/>
              <w:ind w:left="337" w:hanging="337"/>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9C2722">
              <w:rPr>
                <w:rFonts w:asciiTheme="minorHAnsi" w:hAnsiTheme="minorHAnsi" w:cstheme="minorHAnsi"/>
                <w:sz w:val="18"/>
                <w:szCs w:val="18"/>
              </w:rPr>
              <w:t xml:space="preserve">Receipt of application </w:t>
            </w:r>
          </w:p>
          <w:p w14:paraId="7496BFF4" w14:textId="77777777" w:rsidR="009115A5" w:rsidRPr="009C2722" w:rsidRDefault="009115A5" w:rsidP="009115A5">
            <w:pPr>
              <w:pStyle w:val="ListParagraph"/>
              <w:numPr>
                <w:ilvl w:val="0"/>
                <w:numId w:val="8"/>
              </w:numPr>
              <w:spacing w:after="0"/>
              <w:ind w:left="337" w:hanging="337"/>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9C2722">
              <w:rPr>
                <w:rFonts w:asciiTheme="minorHAnsi" w:hAnsiTheme="minorHAnsi" w:cstheme="minorHAnsi"/>
                <w:sz w:val="18"/>
                <w:szCs w:val="18"/>
              </w:rPr>
              <w:t>assessment of application (including any procedural fairness requirements)</w:t>
            </w:r>
          </w:p>
          <w:p w14:paraId="564EEBE6" w14:textId="77777777" w:rsidR="009115A5" w:rsidRPr="009C2722" w:rsidRDefault="009115A5" w:rsidP="009115A5">
            <w:pPr>
              <w:pStyle w:val="ListParagraph"/>
              <w:numPr>
                <w:ilvl w:val="0"/>
                <w:numId w:val="8"/>
              </w:numPr>
              <w:spacing w:after="0"/>
              <w:ind w:left="337" w:hanging="337"/>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9C2722">
              <w:rPr>
                <w:rFonts w:asciiTheme="minorHAnsi" w:hAnsiTheme="minorHAnsi" w:cstheme="minorHAnsi"/>
                <w:sz w:val="18"/>
                <w:szCs w:val="18"/>
              </w:rPr>
              <w:t xml:space="preserve">dissemination of information </w:t>
            </w:r>
          </w:p>
          <w:p w14:paraId="2CBCC4ED" w14:textId="77777777" w:rsidR="009115A5" w:rsidRPr="009C2722" w:rsidRDefault="009115A5" w:rsidP="009115A5">
            <w:pPr>
              <w:pStyle w:val="ListParagraph"/>
              <w:numPr>
                <w:ilvl w:val="0"/>
                <w:numId w:val="8"/>
              </w:numPr>
              <w:spacing w:after="0"/>
              <w:ind w:left="337" w:hanging="337"/>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9C2722">
              <w:rPr>
                <w:rFonts w:asciiTheme="minorHAnsi" w:hAnsiTheme="minorHAnsi" w:cstheme="minorHAnsi"/>
                <w:sz w:val="18"/>
                <w:szCs w:val="18"/>
              </w:rPr>
              <w:t xml:space="preserve">maintain the title register </w:t>
            </w:r>
          </w:p>
          <w:p w14:paraId="60DB80ED" w14:textId="77777777" w:rsidR="009115A5" w:rsidRPr="009C2722" w:rsidRDefault="009115A5" w:rsidP="009115A5">
            <w:pPr>
              <w:pStyle w:val="ListParagraph"/>
              <w:numPr>
                <w:ilvl w:val="0"/>
                <w:numId w:val="8"/>
              </w:numPr>
              <w:spacing w:after="0"/>
              <w:ind w:left="337" w:hanging="337"/>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9C2722">
              <w:rPr>
                <w:rFonts w:asciiTheme="minorHAnsi" w:hAnsiTheme="minorHAnsi" w:cstheme="minorHAnsi"/>
                <w:sz w:val="18"/>
                <w:szCs w:val="18"/>
              </w:rPr>
              <w:t>gazettal of event (where applicable)</w:t>
            </w:r>
          </w:p>
          <w:p w14:paraId="5FEDF337" w14:textId="77777777" w:rsidR="009115A5" w:rsidRPr="009C2722" w:rsidRDefault="009115A5" w:rsidP="009115A5">
            <w:pPr>
              <w:pStyle w:val="ListParagraph"/>
              <w:numPr>
                <w:ilvl w:val="0"/>
                <w:numId w:val="8"/>
              </w:numPr>
              <w:spacing w:after="0"/>
              <w:ind w:left="337" w:hanging="337"/>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9C2722">
              <w:rPr>
                <w:rFonts w:asciiTheme="minorHAnsi" w:hAnsiTheme="minorHAnsi" w:cstheme="minorHAnsi"/>
                <w:sz w:val="18"/>
                <w:szCs w:val="18"/>
              </w:rPr>
              <w:t>develop/maintain guidance material for applicants</w:t>
            </w:r>
          </w:p>
          <w:p w14:paraId="4253E764" w14:textId="77777777"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b/>
                <w:bCs/>
                <w:i/>
                <w:iCs/>
                <w:sz w:val="18"/>
                <w:szCs w:val="18"/>
              </w:rPr>
            </w:pPr>
          </w:p>
        </w:tc>
      </w:tr>
      <w:tr w:rsidR="009115A5" w:rsidRPr="001B57AC" w14:paraId="6FFCBEF2" w14:textId="77777777">
        <w:trPr>
          <w:trHeight w:val="305"/>
        </w:trPr>
        <w:tc>
          <w:tcPr>
            <w:cnfStyle w:val="001000000000" w:firstRow="0" w:lastRow="0" w:firstColumn="1" w:lastColumn="0" w:oddVBand="0" w:evenVBand="0" w:oddHBand="0" w:evenHBand="0" w:firstRowFirstColumn="0" w:firstRowLastColumn="0" w:lastRowFirstColumn="0" w:lastRowLastColumn="0"/>
            <w:tcW w:w="9351" w:type="dxa"/>
            <w:gridSpan w:val="3"/>
            <w:tcBorders>
              <w:right w:val="single" w:sz="4" w:space="0" w:color="5B9BD5" w:themeColor="accent1"/>
            </w:tcBorders>
            <w:shd w:val="clear" w:color="auto" w:fill="E7E6E6" w:themeFill="background2"/>
          </w:tcPr>
          <w:p w14:paraId="259C15CA" w14:textId="77777777" w:rsidR="009115A5" w:rsidRPr="00BE4D82" w:rsidRDefault="009115A5" w:rsidP="009115A5">
            <w:pPr>
              <w:rPr>
                <w:rFonts w:cstheme="minorHAnsi"/>
                <w:b w:val="0"/>
                <w:bCs w:val="0"/>
                <w:i/>
                <w:iCs/>
                <w:sz w:val="18"/>
                <w:szCs w:val="18"/>
                <w:lang w:val="en-AU"/>
              </w:rPr>
            </w:pPr>
            <w:r w:rsidRPr="00BE4D82">
              <w:rPr>
                <w:rFonts w:cstheme="minorHAnsi"/>
                <w:sz w:val="18"/>
                <w:szCs w:val="18"/>
                <w:lang w:val="en-AU"/>
              </w:rPr>
              <w:t>GHG</w:t>
            </w:r>
          </w:p>
        </w:tc>
      </w:tr>
      <w:tr w:rsidR="009115A5" w:rsidRPr="001B57AC" w14:paraId="12D95060" w14:textId="77777777">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568" w:type="dxa"/>
          </w:tcPr>
          <w:p w14:paraId="4E363E94" w14:textId="5CDD2066" w:rsidR="009115A5" w:rsidRPr="00BE4D82" w:rsidRDefault="009115A5" w:rsidP="009115A5">
            <w:pPr>
              <w:jc w:val="center"/>
              <w:rPr>
                <w:rFonts w:cstheme="minorHAnsi"/>
                <w:b w:val="0"/>
                <w:sz w:val="18"/>
                <w:szCs w:val="18"/>
                <w:lang w:val="en-AU"/>
              </w:rPr>
            </w:pPr>
            <w:r w:rsidRPr="00BE4D82">
              <w:rPr>
                <w:rFonts w:cstheme="minorHAnsi"/>
                <w:sz w:val="18"/>
                <w:szCs w:val="18"/>
                <w:lang w:val="en-AU"/>
              </w:rPr>
              <w:t>1</w:t>
            </w:r>
            <w:r w:rsidR="00A97C8A">
              <w:rPr>
                <w:rFonts w:cstheme="minorHAnsi"/>
                <w:sz w:val="18"/>
                <w:szCs w:val="18"/>
                <w:lang w:val="en-AU"/>
              </w:rPr>
              <w:t>3</w:t>
            </w:r>
          </w:p>
        </w:tc>
        <w:tc>
          <w:tcPr>
            <w:tcW w:w="3538" w:type="dxa"/>
          </w:tcPr>
          <w:p w14:paraId="120B8691" w14:textId="77777777"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AU"/>
              </w:rPr>
            </w:pPr>
            <w:r w:rsidRPr="00BE4D82">
              <w:rPr>
                <w:rFonts w:cstheme="minorHAnsi"/>
                <w:b/>
                <w:bCs/>
                <w:sz w:val="18"/>
                <w:szCs w:val="18"/>
                <w:lang w:val="en-AU"/>
              </w:rPr>
              <w:t xml:space="preserve">Acreage Release (GHG Assessment Permit) </w:t>
            </w:r>
          </w:p>
          <w:p w14:paraId="5F361123" w14:textId="77777777"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b/>
                <w:sz w:val="18"/>
                <w:szCs w:val="18"/>
                <w:lang w:val="en-AU"/>
              </w:rPr>
            </w:pPr>
            <w:r w:rsidRPr="00BE4D82">
              <w:rPr>
                <w:rFonts w:cstheme="minorHAnsi"/>
                <w:sz w:val="18"/>
                <w:szCs w:val="18"/>
                <w:lang w:val="en-AU"/>
              </w:rPr>
              <w:t>(Chapter 3)</w:t>
            </w:r>
          </w:p>
        </w:tc>
        <w:tc>
          <w:tcPr>
            <w:tcW w:w="5245" w:type="dxa"/>
          </w:tcPr>
          <w:p w14:paraId="383C48DA" w14:textId="77777777"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b/>
                <w:bCs/>
                <w:i/>
                <w:iCs/>
                <w:sz w:val="18"/>
                <w:szCs w:val="18"/>
                <w:lang w:val="en-AU"/>
              </w:rPr>
            </w:pPr>
            <w:r w:rsidRPr="00BE4D82">
              <w:rPr>
                <w:rFonts w:cstheme="minorHAnsi"/>
                <w:b/>
                <w:bCs/>
                <w:i/>
                <w:iCs/>
                <w:sz w:val="18"/>
                <w:szCs w:val="18"/>
                <w:lang w:val="en-AU"/>
              </w:rPr>
              <w:t>Release</w:t>
            </w:r>
          </w:p>
          <w:p w14:paraId="7BC3A490" w14:textId="77777777" w:rsidR="009115A5" w:rsidRPr="009C2722" w:rsidRDefault="009115A5" w:rsidP="009115A5">
            <w:pPr>
              <w:pStyle w:val="ListParagraph"/>
              <w:numPr>
                <w:ilvl w:val="0"/>
                <w:numId w:val="8"/>
              </w:numPr>
              <w:spacing w:after="0" w:line="276" w:lineRule="auto"/>
              <w:ind w:left="337" w:hanging="337"/>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9C2722">
              <w:rPr>
                <w:rFonts w:asciiTheme="minorHAnsi" w:hAnsiTheme="minorHAnsi" w:cstheme="minorHAnsi"/>
                <w:sz w:val="18"/>
                <w:szCs w:val="18"/>
              </w:rPr>
              <w:t xml:space="preserve">Gazettal of acreage release areas </w:t>
            </w:r>
          </w:p>
          <w:p w14:paraId="1B8D328F" w14:textId="77777777" w:rsidR="009115A5" w:rsidRPr="009C2722" w:rsidRDefault="009115A5" w:rsidP="009115A5">
            <w:pPr>
              <w:pStyle w:val="ListParagraph"/>
              <w:numPr>
                <w:ilvl w:val="0"/>
                <w:numId w:val="8"/>
              </w:numPr>
              <w:spacing w:after="0" w:line="276" w:lineRule="auto"/>
              <w:ind w:left="337" w:hanging="337"/>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9C2722">
              <w:rPr>
                <w:rFonts w:asciiTheme="minorHAnsi" w:hAnsiTheme="minorHAnsi" w:cstheme="minorHAnsi"/>
                <w:sz w:val="18"/>
                <w:szCs w:val="18"/>
              </w:rPr>
              <w:t>Maintain guidance material</w:t>
            </w:r>
            <w:r w:rsidRPr="00BE4D82">
              <w:rPr>
                <w:rStyle w:val="FootnoteReference"/>
                <w:rFonts w:cstheme="minorHAnsi"/>
                <w:sz w:val="18"/>
                <w:szCs w:val="18"/>
                <w:lang w:val="en-AU"/>
              </w:rPr>
              <w:footnoteReference w:id="15"/>
            </w:r>
            <w:r w:rsidRPr="009C2722">
              <w:rPr>
                <w:rFonts w:asciiTheme="minorHAnsi" w:hAnsiTheme="minorHAnsi" w:cstheme="minorHAnsi"/>
                <w:sz w:val="18"/>
                <w:szCs w:val="18"/>
              </w:rPr>
              <w:t xml:space="preserve"> for applicants</w:t>
            </w:r>
          </w:p>
        </w:tc>
      </w:tr>
      <w:tr w:rsidR="009115A5" w:rsidRPr="001B57AC" w14:paraId="574E8016" w14:textId="77777777">
        <w:trPr>
          <w:trHeight w:val="645"/>
        </w:trPr>
        <w:tc>
          <w:tcPr>
            <w:cnfStyle w:val="001000000000" w:firstRow="0" w:lastRow="0" w:firstColumn="1" w:lastColumn="0" w:oddVBand="0" w:evenVBand="0" w:oddHBand="0" w:evenHBand="0" w:firstRowFirstColumn="0" w:firstRowLastColumn="0" w:lastRowFirstColumn="0" w:lastRowLastColumn="0"/>
            <w:tcW w:w="568" w:type="dxa"/>
          </w:tcPr>
          <w:p w14:paraId="35ED1DBC" w14:textId="2EEA97C0" w:rsidR="009115A5" w:rsidRPr="00BE4D82" w:rsidRDefault="009115A5" w:rsidP="009115A5">
            <w:pPr>
              <w:jc w:val="center"/>
              <w:rPr>
                <w:rFonts w:cstheme="minorHAnsi"/>
                <w:b w:val="0"/>
                <w:sz w:val="18"/>
                <w:szCs w:val="18"/>
                <w:lang w:val="en-AU"/>
              </w:rPr>
            </w:pPr>
            <w:r w:rsidRPr="00BE4D82">
              <w:rPr>
                <w:rFonts w:cstheme="minorHAnsi"/>
                <w:sz w:val="18"/>
                <w:szCs w:val="18"/>
                <w:lang w:val="en-AU"/>
              </w:rPr>
              <w:t>1</w:t>
            </w:r>
            <w:r w:rsidR="00A97C8A">
              <w:rPr>
                <w:rFonts w:cstheme="minorHAnsi"/>
                <w:sz w:val="18"/>
                <w:szCs w:val="18"/>
                <w:lang w:val="en-AU"/>
              </w:rPr>
              <w:t>4</w:t>
            </w:r>
          </w:p>
        </w:tc>
        <w:tc>
          <w:tcPr>
            <w:tcW w:w="3538" w:type="dxa"/>
          </w:tcPr>
          <w:p w14:paraId="649A8B3D" w14:textId="77777777" w:rsidR="009115A5" w:rsidRPr="00BE4D82" w:rsidRDefault="009115A5" w:rsidP="009115A5">
            <w:pPr>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AU"/>
              </w:rPr>
            </w:pPr>
            <w:r w:rsidRPr="00BE4D82">
              <w:rPr>
                <w:rFonts w:cstheme="minorHAnsi"/>
                <w:b/>
                <w:bCs/>
                <w:sz w:val="18"/>
                <w:szCs w:val="18"/>
                <w:lang w:val="en-AU"/>
              </w:rPr>
              <w:t xml:space="preserve">GHG Assessment Permit (including Cross-boundary permits) </w:t>
            </w:r>
          </w:p>
          <w:p w14:paraId="17DC8A1D" w14:textId="77777777" w:rsidR="009115A5" w:rsidRPr="00BE4D82" w:rsidRDefault="009115A5" w:rsidP="009115A5">
            <w:pPr>
              <w:cnfStyle w:val="000000000000" w:firstRow="0" w:lastRow="0" w:firstColumn="0" w:lastColumn="0" w:oddVBand="0" w:evenVBand="0" w:oddHBand="0" w:evenHBand="0" w:firstRowFirstColumn="0" w:firstRowLastColumn="0" w:lastRowFirstColumn="0" w:lastRowLastColumn="0"/>
              <w:rPr>
                <w:rFonts w:cstheme="minorHAnsi"/>
                <w:b/>
                <w:sz w:val="18"/>
                <w:szCs w:val="18"/>
                <w:lang w:val="en-AU"/>
              </w:rPr>
            </w:pPr>
            <w:r w:rsidRPr="00BE4D82">
              <w:rPr>
                <w:rFonts w:cstheme="minorHAnsi"/>
                <w:sz w:val="18"/>
                <w:szCs w:val="18"/>
                <w:lang w:val="en-AU"/>
              </w:rPr>
              <w:t>(Chapter 3)</w:t>
            </w:r>
          </w:p>
        </w:tc>
        <w:tc>
          <w:tcPr>
            <w:tcW w:w="5245" w:type="dxa"/>
          </w:tcPr>
          <w:p w14:paraId="02AB440B" w14:textId="77777777" w:rsidR="009115A5" w:rsidRPr="00BE4D82" w:rsidRDefault="009115A5" w:rsidP="009115A5">
            <w:pPr>
              <w:cnfStyle w:val="000000000000" w:firstRow="0" w:lastRow="0" w:firstColumn="0" w:lastColumn="0" w:oddVBand="0" w:evenVBand="0" w:oddHBand="0" w:evenHBand="0" w:firstRowFirstColumn="0" w:firstRowLastColumn="0" w:lastRowFirstColumn="0" w:lastRowLastColumn="0"/>
              <w:rPr>
                <w:rFonts w:cstheme="minorHAnsi"/>
                <w:b/>
                <w:bCs/>
                <w:i/>
                <w:iCs/>
                <w:sz w:val="18"/>
                <w:szCs w:val="18"/>
                <w:lang w:val="en-AU"/>
              </w:rPr>
            </w:pPr>
            <w:r w:rsidRPr="00BE4D82">
              <w:rPr>
                <w:rFonts w:cstheme="minorHAnsi"/>
                <w:b/>
                <w:bCs/>
                <w:i/>
                <w:iCs/>
                <w:sz w:val="18"/>
                <w:szCs w:val="18"/>
                <w:lang w:val="en-AU"/>
              </w:rPr>
              <w:t>Grant, Renewal, Surrender, Expiry, Cancellation</w:t>
            </w:r>
          </w:p>
          <w:p w14:paraId="7F5E14BD" w14:textId="77777777" w:rsidR="009115A5" w:rsidRPr="00BE4D82" w:rsidRDefault="009115A5" w:rsidP="009115A5">
            <w:pPr>
              <w:cnfStyle w:val="000000000000" w:firstRow="0" w:lastRow="0" w:firstColumn="0" w:lastColumn="0" w:oddVBand="0" w:evenVBand="0" w:oddHBand="0" w:evenHBand="0" w:firstRowFirstColumn="0" w:firstRowLastColumn="0" w:lastRowFirstColumn="0" w:lastRowLastColumn="0"/>
              <w:rPr>
                <w:rFonts w:cstheme="minorHAnsi"/>
                <w:b/>
                <w:bCs/>
                <w:i/>
                <w:iCs/>
                <w:sz w:val="18"/>
                <w:szCs w:val="18"/>
                <w:lang w:val="en-AU"/>
              </w:rPr>
            </w:pPr>
            <w:r w:rsidRPr="00BE4D82">
              <w:rPr>
                <w:rFonts w:cstheme="minorHAnsi"/>
                <w:sz w:val="18"/>
                <w:szCs w:val="18"/>
                <w:lang w:val="en-AU"/>
              </w:rPr>
              <w:t>See item 2 for general overview of process.</w:t>
            </w:r>
            <w:r w:rsidRPr="00BE4D82">
              <w:rPr>
                <w:rFonts w:cstheme="minorHAnsi"/>
                <w:b/>
                <w:bCs/>
                <w:i/>
                <w:iCs/>
                <w:sz w:val="18"/>
                <w:szCs w:val="18"/>
                <w:lang w:val="en-AU"/>
              </w:rPr>
              <w:t xml:space="preserve">  </w:t>
            </w:r>
          </w:p>
        </w:tc>
      </w:tr>
      <w:tr w:rsidR="009115A5" w:rsidRPr="001B57AC" w14:paraId="33E820E4" w14:textId="77777777">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568" w:type="dxa"/>
          </w:tcPr>
          <w:p w14:paraId="7994AC46" w14:textId="52B0DC44" w:rsidR="009115A5" w:rsidRPr="00BE4D82" w:rsidRDefault="009115A5" w:rsidP="009115A5">
            <w:pPr>
              <w:jc w:val="center"/>
              <w:rPr>
                <w:rFonts w:cstheme="minorHAnsi"/>
                <w:b w:val="0"/>
                <w:sz w:val="18"/>
                <w:szCs w:val="18"/>
                <w:lang w:val="en-AU"/>
              </w:rPr>
            </w:pPr>
            <w:r w:rsidRPr="00BE4D82">
              <w:rPr>
                <w:rFonts w:cstheme="minorHAnsi"/>
                <w:sz w:val="18"/>
                <w:szCs w:val="18"/>
                <w:lang w:val="en-AU"/>
              </w:rPr>
              <w:t>1</w:t>
            </w:r>
            <w:r w:rsidR="00A97C8A">
              <w:rPr>
                <w:rFonts w:cstheme="minorHAnsi"/>
                <w:sz w:val="18"/>
                <w:szCs w:val="18"/>
                <w:lang w:val="en-AU"/>
              </w:rPr>
              <w:t>5</w:t>
            </w:r>
          </w:p>
        </w:tc>
        <w:tc>
          <w:tcPr>
            <w:tcW w:w="3538" w:type="dxa"/>
          </w:tcPr>
          <w:p w14:paraId="57A1E2ED" w14:textId="21C1290B"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AU"/>
              </w:rPr>
            </w:pPr>
            <w:r w:rsidRPr="00BE4D82">
              <w:rPr>
                <w:rFonts w:cstheme="minorHAnsi"/>
                <w:b/>
                <w:bCs/>
                <w:sz w:val="18"/>
                <w:szCs w:val="18"/>
                <w:lang w:val="en-AU"/>
              </w:rPr>
              <w:t>Suspension and extension; variation; exemption of exploration permits</w:t>
            </w:r>
          </w:p>
          <w:p w14:paraId="788B94B5" w14:textId="6E3D9DEB"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AU"/>
              </w:rPr>
            </w:pPr>
            <w:r>
              <w:rPr>
                <w:rFonts w:cstheme="minorHAnsi"/>
                <w:sz w:val="18"/>
                <w:szCs w:val="18"/>
                <w:lang w:val="en-AU"/>
              </w:rPr>
              <w:t xml:space="preserve">Suspension and extension; variation; exemption (including Cross-boundary permits </w:t>
            </w:r>
            <w:r w:rsidRPr="00BE4D82">
              <w:rPr>
                <w:rFonts w:cstheme="minorHAnsi"/>
                <w:sz w:val="18"/>
                <w:szCs w:val="18"/>
                <w:lang w:val="en-AU"/>
              </w:rPr>
              <w:t>(Chapter 3)</w:t>
            </w:r>
          </w:p>
        </w:tc>
        <w:tc>
          <w:tcPr>
            <w:tcW w:w="5245" w:type="dxa"/>
          </w:tcPr>
          <w:p w14:paraId="1DD4D233" w14:textId="77777777"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b/>
                <w:bCs/>
                <w:i/>
                <w:iCs/>
                <w:sz w:val="18"/>
                <w:szCs w:val="18"/>
                <w:lang w:val="en-AU"/>
              </w:rPr>
            </w:pPr>
            <w:r w:rsidRPr="00BE4D82">
              <w:rPr>
                <w:rFonts w:cstheme="minorHAnsi"/>
                <w:b/>
                <w:bCs/>
                <w:i/>
                <w:iCs/>
                <w:sz w:val="18"/>
                <w:szCs w:val="18"/>
                <w:lang w:val="en-AU"/>
              </w:rPr>
              <w:t xml:space="preserve">Assessment Permit, Holding Lease, Injection Licence </w:t>
            </w:r>
          </w:p>
          <w:p w14:paraId="0890BE7B" w14:textId="77777777"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b/>
                <w:bCs/>
                <w:i/>
                <w:iCs/>
                <w:sz w:val="18"/>
                <w:szCs w:val="18"/>
                <w:lang w:val="en-AU"/>
              </w:rPr>
            </w:pPr>
            <w:r w:rsidRPr="00BE4D82">
              <w:rPr>
                <w:rFonts w:cstheme="minorHAnsi"/>
                <w:sz w:val="18"/>
                <w:szCs w:val="18"/>
                <w:lang w:val="en-AU"/>
              </w:rPr>
              <w:t>See item 2 for general overview of process.</w:t>
            </w:r>
          </w:p>
        </w:tc>
      </w:tr>
      <w:tr w:rsidR="009115A5" w:rsidRPr="001B57AC" w14:paraId="32D9BF08" w14:textId="77777777">
        <w:trPr>
          <w:trHeight w:val="645"/>
        </w:trPr>
        <w:tc>
          <w:tcPr>
            <w:cnfStyle w:val="001000000000" w:firstRow="0" w:lastRow="0" w:firstColumn="1" w:lastColumn="0" w:oddVBand="0" w:evenVBand="0" w:oddHBand="0" w:evenHBand="0" w:firstRowFirstColumn="0" w:firstRowLastColumn="0" w:lastRowFirstColumn="0" w:lastRowLastColumn="0"/>
            <w:tcW w:w="568" w:type="dxa"/>
          </w:tcPr>
          <w:p w14:paraId="6B42AB1C" w14:textId="02EE7108" w:rsidR="009115A5" w:rsidRPr="00BE4D82" w:rsidRDefault="009115A5" w:rsidP="009115A5">
            <w:pPr>
              <w:jc w:val="center"/>
              <w:rPr>
                <w:rFonts w:cstheme="minorHAnsi"/>
                <w:b w:val="0"/>
                <w:sz w:val="18"/>
                <w:szCs w:val="18"/>
                <w:lang w:val="en-AU"/>
              </w:rPr>
            </w:pPr>
            <w:r w:rsidRPr="00BE4D82">
              <w:rPr>
                <w:rFonts w:cstheme="minorHAnsi"/>
                <w:sz w:val="18"/>
                <w:szCs w:val="18"/>
                <w:lang w:val="en-AU"/>
              </w:rPr>
              <w:t>1</w:t>
            </w:r>
            <w:r w:rsidR="00A97C8A">
              <w:rPr>
                <w:rFonts w:cstheme="minorHAnsi"/>
                <w:sz w:val="18"/>
                <w:szCs w:val="18"/>
                <w:lang w:val="en-AU"/>
              </w:rPr>
              <w:t>6</w:t>
            </w:r>
          </w:p>
        </w:tc>
        <w:tc>
          <w:tcPr>
            <w:tcW w:w="3538" w:type="dxa"/>
          </w:tcPr>
          <w:p w14:paraId="77AB3AAB" w14:textId="77777777" w:rsidR="009115A5" w:rsidRPr="00BE4D82" w:rsidRDefault="009115A5" w:rsidP="009115A5">
            <w:pPr>
              <w:cnfStyle w:val="000000000000" w:firstRow="0" w:lastRow="0" w:firstColumn="0" w:lastColumn="0" w:oddVBand="0" w:evenVBand="0" w:oddHBand="0" w:evenHBand="0" w:firstRowFirstColumn="0" w:firstRowLastColumn="0" w:lastRowFirstColumn="0" w:lastRowLastColumn="0"/>
              <w:rPr>
                <w:rFonts w:cstheme="minorHAnsi"/>
                <w:sz w:val="18"/>
                <w:szCs w:val="18"/>
                <w:lang w:val="en-AU"/>
              </w:rPr>
            </w:pPr>
            <w:r w:rsidRPr="00BE4D82">
              <w:rPr>
                <w:rFonts w:cstheme="minorHAnsi"/>
                <w:b/>
                <w:bCs/>
                <w:sz w:val="18"/>
                <w:szCs w:val="18"/>
                <w:lang w:val="en-AU"/>
              </w:rPr>
              <w:t>Approval for a Key Greenhouse Gas Operation (including for Cross-boundary permits)</w:t>
            </w:r>
            <w:r w:rsidRPr="00BE4D82">
              <w:rPr>
                <w:rFonts w:cstheme="minorHAnsi"/>
                <w:sz w:val="18"/>
                <w:szCs w:val="18"/>
                <w:lang w:val="en-AU"/>
              </w:rPr>
              <w:t xml:space="preserve">  </w:t>
            </w:r>
          </w:p>
          <w:p w14:paraId="7EF6A8BB" w14:textId="77777777" w:rsidR="009115A5" w:rsidRPr="00BE4D82" w:rsidRDefault="009115A5" w:rsidP="009115A5">
            <w:pPr>
              <w:cnfStyle w:val="000000000000" w:firstRow="0" w:lastRow="0" w:firstColumn="0" w:lastColumn="0" w:oddVBand="0" w:evenVBand="0" w:oddHBand="0" w:evenHBand="0" w:firstRowFirstColumn="0" w:firstRowLastColumn="0" w:lastRowFirstColumn="0" w:lastRowLastColumn="0"/>
              <w:rPr>
                <w:rFonts w:cstheme="minorHAnsi"/>
                <w:b/>
                <w:sz w:val="18"/>
                <w:szCs w:val="18"/>
                <w:lang w:val="en-AU"/>
              </w:rPr>
            </w:pPr>
            <w:r w:rsidRPr="00BE4D82">
              <w:rPr>
                <w:rFonts w:cstheme="minorHAnsi"/>
                <w:sz w:val="18"/>
                <w:szCs w:val="18"/>
                <w:lang w:val="en-AU"/>
              </w:rPr>
              <w:t xml:space="preserve">(Chapter 3)  </w:t>
            </w:r>
          </w:p>
        </w:tc>
        <w:tc>
          <w:tcPr>
            <w:tcW w:w="5245" w:type="dxa"/>
          </w:tcPr>
          <w:p w14:paraId="57B3FC74" w14:textId="77777777" w:rsidR="009115A5" w:rsidRPr="00BE4D82" w:rsidRDefault="009115A5" w:rsidP="009115A5">
            <w:pPr>
              <w:cnfStyle w:val="000000000000" w:firstRow="0" w:lastRow="0" w:firstColumn="0" w:lastColumn="0" w:oddVBand="0" w:evenVBand="0" w:oddHBand="0" w:evenHBand="0" w:firstRowFirstColumn="0" w:firstRowLastColumn="0" w:lastRowFirstColumn="0" w:lastRowLastColumn="0"/>
              <w:rPr>
                <w:rFonts w:cstheme="minorHAnsi"/>
                <w:b/>
                <w:bCs/>
                <w:i/>
                <w:iCs/>
                <w:sz w:val="18"/>
                <w:szCs w:val="18"/>
                <w:lang w:val="en-AU"/>
              </w:rPr>
            </w:pPr>
            <w:r w:rsidRPr="00BE4D82">
              <w:rPr>
                <w:rFonts w:cstheme="minorHAnsi"/>
                <w:b/>
                <w:bCs/>
                <w:i/>
                <w:iCs/>
                <w:sz w:val="18"/>
                <w:szCs w:val="18"/>
                <w:lang w:val="en-AU"/>
              </w:rPr>
              <w:t>Approval</w:t>
            </w:r>
          </w:p>
          <w:p w14:paraId="2EE8C4FC" w14:textId="77777777" w:rsidR="009115A5" w:rsidRPr="00BE4D82" w:rsidRDefault="009115A5" w:rsidP="009115A5">
            <w:pPr>
              <w:cnfStyle w:val="000000000000" w:firstRow="0" w:lastRow="0" w:firstColumn="0" w:lastColumn="0" w:oddVBand="0" w:evenVBand="0" w:oddHBand="0" w:evenHBand="0" w:firstRowFirstColumn="0" w:firstRowLastColumn="0" w:lastRowFirstColumn="0" w:lastRowLastColumn="0"/>
              <w:rPr>
                <w:rFonts w:cstheme="minorHAnsi"/>
                <w:b/>
                <w:bCs/>
                <w:i/>
                <w:iCs/>
                <w:sz w:val="18"/>
                <w:szCs w:val="18"/>
                <w:lang w:val="en-AU"/>
              </w:rPr>
            </w:pPr>
            <w:r w:rsidRPr="00BE4D82">
              <w:rPr>
                <w:rFonts w:cstheme="minorHAnsi"/>
                <w:sz w:val="18"/>
                <w:szCs w:val="18"/>
                <w:lang w:val="en-AU"/>
              </w:rPr>
              <w:t>See item 2 for general overview of process.</w:t>
            </w:r>
          </w:p>
        </w:tc>
      </w:tr>
      <w:tr w:rsidR="009115A5" w:rsidRPr="001B57AC" w14:paraId="7ECC0511" w14:textId="77777777">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568" w:type="dxa"/>
          </w:tcPr>
          <w:p w14:paraId="66825452" w14:textId="25740254" w:rsidR="009115A5" w:rsidRPr="00BE4D82" w:rsidRDefault="009115A5" w:rsidP="009115A5">
            <w:pPr>
              <w:jc w:val="center"/>
              <w:rPr>
                <w:rFonts w:cstheme="minorHAnsi"/>
                <w:b w:val="0"/>
                <w:sz w:val="18"/>
                <w:szCs w:val="18"/>
                <w:lang w:val="en-AU"/>
              </w:rPr>
            </w:pPr>
            <w:r w:rsidRPr="00BE4D82">
              <w:rPr>
                <w:rFonts w:cstheme="minorHAnsi"/>
                <w:sz w:val="18"/>
                <w:szCs w:val="18"/>
                <w:lang w:val="en-AU"/>
              </w:rPr>
              <w:t>1</w:t>
            </w:r>
            <w:r w:rsidR="00A97C8A">
              <w:rPr>
                <w:rFonts w:cstheme="minorHAnsi"/>
                <w:sz w:val="18"/>
                <w:szCs w:val="18"/>
                <w:lang w:val="en-AU"/>
              </w:rPr>
              <w:t>7</w:t>
            </w:r>
          </w:p>
        </w:tc>
        <w:tc>
          <w:tcPr>
            <w:tcW w:w="3538" w:type="dxa"/>
          </w:tcPr>
          <w:p w14:paraId="30E9B365" w14:textId="77777777"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sz w:val="18"/>
                <w:szCs w:val="18"/>
                <w:lang w:val="en-AU"/>
              </w:rPr>
            </w:pPr>
            <w:r w:rsidRPr="00BE4D82">
              <w:rPr>
                <w:rFonts w:cstheme="minorHAnsi"/>
                <w:b/>
                <w:bCs/>
                <w:sz w:val="18"/>
                <w:szCs w:val="18"/>
                <w:lang w:val="en-AU"/>
              </w:rPr>
              <w:t>Declaration of Identified Storage Formation (including within Cross-boundary permits)</w:t>
            </w:r>
            <w:r w:rsidRPr="00BE4D82">
              <w:rPr>
                <w:rFonts w:cstheme="minorHAnsi"/>
                <w:sz w:val="18"/>
                <w:szCs w:val="18"/>
                <w:lang w:val="en-AU"/>
              </w:rPr>
              <w:t xml:space="preserve">  </w:t>
            </w:r>
          </w:p>
          <w:p w14:paraId="1093E8DC" w14:textId="77777777"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b/>
                <w:sz w:val="18"/>
                <w:szCs w:val="18"/>
                <w:lang w:val="en-AU"/>
              </w:rPr>
            </w:pPr>
            <w:r w:rsidRPr="00BE4D82">
              <w:rPr>
                <w:rFonts w:cstheme="minorHAnsi"/>
                <w:sz w:val="18"/>
                <w:szCs w:val="18"/>
                <w:lang w:val="en-AU"/>
              </w:rPr>
              <w:t>(Chapter 3)</w:t>
            </w:r>
          </w:p>
        </w:tc>
        <w:tc>
          <w:tcPr>
            <w:tcW w:w="5245" w:type="dxa"/>
          </w:tcPr>
          <w:p w14:paraId="1558F81F" w14:textId="77777777"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b/>
                <w:bCs/>
                <w:i/>
                <w:iCs/>
                <w:sz w:val="18"/>
                <w:szCs w:val="18"/>
                <w:lang w:val="en-AU"/>
              </w:rPr>
            </w:pPr>
            <w:r w:rsidRPr="00BE4D82">
              <w:rPr>
                <w:rFonts w:cstheme="minorHAnsi"/>
                <w:b/>
                <w:bCs/>
                <w:i/>
                <w:iCs/>
                <w:sz w:val="18"/>
                <w:szCs w:val="18"/>
                <w:lang w:val="en-AU"/>
              </w:rPr>
              <w:t xml:space="preserve">Declaration, variation. </w:t>
            </w:r>
          </w:p>
          <w:p w14:paraId="11337995" w14:textId="77777777"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b/>
                <w:bCs/>
                <w:i/>
                <w:iCs/>
                <w:sz w:val="18"/>
                <w:szCs w:val="18"/>
                <w:lang w:val="en-AU"/>
              </w:rPr>
            </w:pPr>
            <w:r w:rsidRPr="00BE4D82">
              <w:rPr>
                <w:rFonts w:cstheme="minorHAnsi"/>
                <w:sz w:val="18"/>
                <w:szCs w:val="18"/>
                <w:lang w:val="en-AU"/>
              </w:rPr>
              <w:t>See item 2 for general overview of process.</w:t>
            </w:r>
          </w:p>
        </w:tc>
      </w:tr>
      <w:tr w:rsidR="009115A5" w:rsidRPr="001B57AC" w14:paraId="69999C7B" w14:textId="77777777">
        <w:trPr>
          <w:trHeight w:val="645"/>
        </w:trPr>
        <w:tc>
          <w:tcPr>
            <w:cnfStyle w:val="001000000000" w:firstRow="0" w:lastRow="0" w:firstColumn="1" w:lastColumn="0" w:oddVBand="0" w:evenVBand="0" w:oddHBand="0" w:evenHBand="0" w:firstRowFirstColumn="0" w:firstRowLastColumn="0" w:lastRowFirstColumn="0" w:lastRowLastColumn="0"/>
            <w:tcW w:w="568" w:type="dxa"/>
          </w:tcPr>
          <w:p w14:paraId="73EB695D" w14:textId="437F6E23" w:rsidR="009115A5" w:rsidRPr="00BE4D82" w:rsidRDefault="009115A5" w:rsidP="009115A5">
            <w:pPr>
              <w:jc w:val="center"/>
              <w:rPr>
                <w:rFonts w:cstheme="minorHAnsi"/>
                <w:b w:val="0"/>
                <w:sz w:val="18"/>
                <w:szCs w:val="18"/>
                <w:lang w:val="en-AU"/>
              </w:rPr>
            </w:pPr>
            <w:r w:rsidRPr="00BE4D82">
              <w:rPr>
                <w:rFonts w:cstheme="minorHAnsi"/>
                <w:sz w:val="18"/>
                <w:szCs w:val="18"/>
                <w:lang w:val="en-AU"/>
              </w:rPr>
              <w:t>1</w:t>
            </w:r>
            <w:r w:rsidR="00A97C8A">
              <w:rPr>
                <w:rFonts w:cstheme="minorHAnsi"/>
                <w:sz w:val="18"/>
                <w:szCs w:val="18"/>
                <w:lang w:val="en-AU"/>
              </w:rPr>
              <w:t>8</w:t>
            </w:r>
          </w:p>
        </w:tc>
        <w:tc>
          <w:tcPr>
            <w:tcW w:w="3538" w:type="dxa"/>
          </w:tcPr>
          <w:p w14:paraId="29360F4B" w14:textId="77777777" w:rsidR="009115A5" w:rsidRPr="00BE4D82" w:rsidRDefault="009115A5" w:rsidP="009115A5">
            <w:pPr>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AU"/>
              </w:rPr>
            </w:pPr>
            <w:r w:rsidRPr="00BE4D82">
              <w:rPr>
                <w:rFonts w:cstheme="minorHAnsi"/>
                <w:b/>
                <w:bCs/>
                <w:sz w:val="18"/>
                <w:szCs w:val="18"/>
                <w:lang w:val="en-AU"/>
              </w:rPr>
              <w:t>GHG Holding Lease (including Cross-boundary permits)</w:t>
            </w:r>
          </w:p>
          <w:p w14:paraId="19F5897D" w14:textId="77777777" w:rsidR="009115A5" w:rsidRPr="00BE4D82" w:rsidRDefault="009115A5" w:rsidP="009115A5">
            <w:pPr>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AU"/>
              </w:rPr>
            </w:pPr>
            <w:r w:rsidRPr="00BE4D82">
              <w:rPr>
                <w:rFonts w:cstheme="minorHAnsi"/>
                <w:sz w:val="18"/>
                <w:szCs w:val="18"/>
                <w:lang w:val="en-AU"/>
              </w:rPr>
              <w:t>(Chapter 3)</w:t>
            </w:r>
          </w:p>
        </w:tc>
        <w:tc>
          <w:tcPr>
            <w:tcW w:w="5245" w:type="dxa"/>
          </w:tcPr>
          <w:p w14:paraId="7BA840B2" w14:textId="77777777" w:rsidR="009115A5" w:rsidRPr="00AE3085" w:rsidRDefault="009115A5" w:rsidP="009115A5">
            <w:pPr>
              <w:cnfStyle w:val="000000000000" w:firstRow="0" w:lastRow="0" w:firstColumn="0" w:lastColumn="0" w:oddVBand="0" w:evenVBand="0" w:oddHBand="0" w:evenHBand="0" w:firstRowFirstColumn="0" w:firstRowLastColumn="0" w:lastRowFirstColumn="0" w:lastRowLastColumn="0"/>
              <w:rPr>
                <w:rFonts w:cstheme="minorHAnsi"/>
                <w:b/>
                <w:i/>
                <w:sz w:val="18"/>
                <w:szCs w:val="18"/>
                <w:lang w:val="en-AU"/>
              </w:rPr>
            </w:pPr>
            <w:r w:rsidRPr="00AE3085">
              <w:rPr>
                <w:rFonts w:cstheme="minorHAnsi"/>
                <w:b/>
                <w:i/>
                <w:sz w:val="18"/>
                <w:szCs w:val="18"/>
              </w:rPr>
              <w:t xml:space="preserve">Grant, Renewal, Revocation, Surrender, Expiry, Cancellation  </w:t>
            </w:r>
          </w:p>
          <w:p w14:paraId="00C6E707" w14:textId="067B150F" w:rsidR="009115A5" w:rsidRPr="006C0CFE" w:rsidRDefault="009115A5" w:rsidP="009115A5">
            <w:pPr>
              <w:cnfStyle w:val="000000000000" w:firstRow="0" w:lastRow="0" w:firstColumn="0" w:lastColumn="0" w:oddVBand="0" w:evenVBand="0" w:oddHBand="0" w:evenHBand="0" w:firstRowFirstColumn="0" w:firstRowLastColumn="0" w:lastRowFirstColumn="0" w:lastRowLastColumn="0"/>
              <w:rPr>
                <w:rFonts w:cstheme="minorHAnsi"/>
                <w:b/>
                <w:i/>
                <w:sz w:val="18"/>
                <w:szCs w:val="18"/>
                <w:lang w:val="en-AU"/>
              </w:rPr>
            </w:pPr>
            <w:r w:rsidRPr="00AE3085">
              <w:rPr>
                <w:rFonts w:cstheme="minorHAnsi"/>
                <w:sz w:val="18"/>
                <w:szCs w:val="18"/>
              </w:rPr>
              <w:t>See item 2 for general overview of process.</w:t>
            </w:r>
          </w:p>
        </w:tc>
      </w:tr>
      <w:tr w:rsidR="009115A5" w:rsidRPr="001B57AC" w14:paraId="5CC8E539" w14:textId="77777777">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568" w:type="dxa"/>
          </w:tcPr>
          <w:p w14:paraId="45150994" w14:textId="4806528C" w:rsidR="009115A5" w:rsidRPr="00BE4D82" w:rsidRDefault="009115A5" w:rsidP="009115A5">
            <w:pPr>
              <w:jc w:val="center"/>
              <w:rPr>
                <w:rFonts w:cstheme="minorHAnsi"/>
                <w:b w:val="0"/>
                <w:sz w:val="18"/>
                <w:szCs w:val="18"/>
                <w:lang w:val="en-AU"/>
              </w:rPr>
            </w:pPr>
            <w:r w:rsidRPr="00BE4D82">
              <w:rPr>
                <w:rFonts w:cstheme="minorHAnsi"/>
                <w:sz w:val="18"/>
                <w:szCs w:val="18"/>
                <w:lang w:val="en-AU"/>
              </w:rPr>
              <w:t>1</w:t>
            </w:r>
            <w:r w:rsidR="00A97C8A">
              <w:rPr>
                <w:rFonts w:cstheme="minorHAnsi"/>
                <w:sz w:val="18"/>
                <w:szCs w:val="18"/>
                <w:lang w:val="en-AU"/>
              </w:rPr>
              <w:t>9</w:t>
            </w:r>
          </w:p>
        </w:tc>
        <w:tc>
          <w:tcPr>
            <w:tcW w:w="3538" w:type="dxa"/>
          </w:tcPr>
          <w:p w14:paraId="531D5179" w14:textId="77777777"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AU"/>
              </w:rPr>
            </w:pPr>
            <w:r w:rsidRPr="00BE4D82">
              <w:rPr>
                <w:rFonts w:cstheme="minorHAnsi"/>
                <w:b/>
                <w:bCs/>
                <w:sz w:val="18"/>
                <w:szCs w:val="18"/>
                <w:lang w:val="en-AU"/>
              </w:rPr>
              <w:t>GHG Injection Licence (including Cross-boundary permits)</w:t>
            </w:r>
          </w:p>
          <w:p w14:paraId="26CB7F93" w14:textId="77777777"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AU"/>
              </w:rPr>
            </w:pPr>
            <w:r w:rsidRPr="00BE4D82">
              <w:rPr>
                <w:rFonts w:cstheme="minorHAnsi"/>
                <w:sz w:val="18"/>
                <w:szCs w:val="18"/>
                <w:lang w:val="en-AU"/>
              </w:rPr>
              <w:t>(Chapter 3)</w:t>
            </w:r>
          </w:p>
        </w:tc>
        <w:tc>
          <w:tcPr>
            <w:tcW w:w="5245" w:type="dxa"/>
          </w:tcPr>
          <w:p w14:paraId="67EA0477" w14:textId="77777777" w:rsidR="009115A5" w:rsidRPr="006C0CFE"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b/>
                <w:i/>
                <w:sz w:val="18"/>
                <w:szCs w:val="18"/>
                <w:lang w:val="en-AU"/>
              </w:rPr>
            </w:pPr>
            <w:r w:rsidRPr="006C0CFE">
              <w:rPr>
                <w:rFonts w:cstheme="minorHAnsi"/>
                <w:b/>
                <w:i/>
                <w:sz w:val="18"/>
                <w:szCs w:val="18"/>
              </w:rPr>
              <w:t>Grant, Renewal, Surrender, Termination, Cancellation, Site Plan, Site Closing Certificates</w:t>
            </w:r>
          </w:p>
          <w:p w14:paraId="17BA2FCF" w14:textId="3AE388C3" w:rsidR="009115A5" w:rsidRPr="006C0CFE"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b/>
                <w:i/>
                <w:sz w:val="18"/>
                <w:szCs w:val="18"/>
                <w:lang w:val="en-AU"/>
              </w:rPr>
            </w:pPr>
            <w:r w:rsidRPr="006C0CFE">
              <w:rPr>
                <w:rFonts w:cstheme="minorHAnsi"/>
                <w:sz w:val="18"/>
                <w:szCs w:val="18"/>
              </w:rPr>
              <w:t>See item 2 for general overview of process.</w:t>
            </w:r>
          </w:p>
        </w:tc>
      </w:tr>
      <w:tr w:rsidR="009115A5" w:rsidRPr="001B57AC" w14:paraId="007070D1" w14:textId="77777777">
        <w:trPr>
          <w:trHeight w:val="645"/>
        </w:trPr>
        <w:tc>
          <w:tcPr>
            <w:cnfStyle w:val="001000000000" w:firstRow="0" w:lastRow="0" w:firstColumn="1" w:lastColumn="0" w:oddVBand="0" w:evenVBand="0" w:oddHBand="0" w:evenHBand="0" w:firstRowFirstColumn="0" w:firstRowLastColumn="0" w:lastRowFirstColumn="0" w:lastRowLastColumn="0"/>
            <w:tcW w:w="568" w:type="dxa"/>
          </w:tcPr>
          <w:p w14:paraId="220EB16C" w14:textId="7582904B" w:rsidR="009115A5" w:rsidRPr="00BE4D82" w:rsidRDefault="00E6256D" w:rsidP="009115A5">
            <w:pPr>
              <w:jc w:val="center"/>
              <w:rPr>
                <w:rFonts w:cstheme="minorHAnsi"/>
                <w:b w:val="0"/>
                <w:sz w:val="18"/>
                <w:szCs w:val="18"/>
                <w:lang w:val="en-AU"/>
              </w:rPr>
            </w:pPr>
            <w:r>
              <w:rPr>
                <w:rFonts w:cstheme="minorHAnsi"/>
                <w:sz w:val="18"/>
                <w:szCs w:val="18"/>
                <w:lang w:val="en-AU"/>
              </w:rPr>
              <w:t>20</w:t>
            </w:r>
          </w:p>
        </w:tc>
        <w:tc>
          <w:tcPr>
            <w:tcW w:w="3538" w:type="dxa"/>
          </w:tcPr>
          <w:p w14:paraId="28B93D6C" w14:textId="77777777" w:rsidR="009115A5" w:rsidRPr="00BE4D82" w:rsidRDefault="009115A5" w:rsidP="009115A5">
            <w:pPr>
              <w:cnfStyle w:val="000000000000" w:firstRow="0" w:lastRow="0" w:firstColumn="0" w:lastColumn="0" w:oddVBand="0" w:evenVBand="0" w:oddHBand="0" w:evenHBand="0" w:firstRowFirstColumn="0" w:firstRowLastColumn="0" w:lastRowFirstColumn="0" w:lastRowLastColumn="0"/>
              <w:rPr>
                <w:rFonts w:cstheme="minorHAnsi"/>
                <w:sz w:val="18"/>
                <w:szCs w:val="18"/>
                <w:lang w:val="en-AU"/>
              </w:rPr>
            </w:pPr>
            <w:r w:rsidRPr="00BE4D82">
              <w:rPr>
                <w:rFonts w:cstheme="minorHAnsi"/>
                <w:b/>
                <w:bCs/>
                <w:sz w:val="18"/>
                <w:szCs w:val="18"/>
                <w:lang w:val="en-AU"/>
              </w:rPr>
              <w:t>GHG Search Authority (SCH), Special Authority (SA), Research Consent (RC)</w:t>
            </w:r>
            <w:r w:rsidRPr="00BE4D82">
              <w:rPr>
                <w:rFonts w:cstheme="minorHAnsi"/>
                <w:sz w:val="18"/>
                <w:szCs w:val="18"/>
                <w:lang w:val="en-AU"/>
              </w:rPr>
              <w:t xml:space="preserve"> </w:t>
            </w:r>
          </w:p>
          <w:p w14:paraId="6576331F" w14:textId="3ED4BB12" w:rsidR="009115A5" w:rsidRPr="00BE4D82" w:rsidRDefault="009115A5" w:rsidP="009115A5">
            <w:pPr>
              <w:cnfStyle w:val="000000000000" w:firstRow="0" w:lastRow="0" w:firstColumn="0" w:lastColumn="0" w:oddVBand="0" w:evenVBand="0" w:oddHBand="0" w:evenHBand="0" w:firstRowFirstColumn="0" w:firstRowLastColumn="0" w:lastRowFirstColumn="0" w:lastRowLastColumn="0"/>
              <w:rPr>
                <w:rFonts w:cstheme="minorHAnsi"/>
                <w:b/>
                <w:sz w:val="18"/>
                <w:szCs w:val="18"/>
                <w:lang w:val="en-AU"/>
              </w:rPr>
            </w:pPr>
            <w:r w:rsidRPr="00BE4D82">
              <w:rPr>
                <w:rFonts w:cstheme="minorHAnsi"/>
                <w:sz w:val="18"/>
                <w:szCs w:val="18"/>
                <w:lang w:val="en-AU"/>
              </w:rPr>
              <w:t>(Chapter 3)</w:t>
            </w:r>
          </w:p>
        </w:tc>
        <w:tc>
          <w:tcPr>
            <w:tcW w:w="5245" w:type="dxa"/>
          </w:tcPr>
          <w:p w14:paraId="029412C5" w14:textId="77777777" w:rsidR="009115A5" w:rsidRPr="006C0CFE" w:rsidRDefault="009115A5" w:rsidP="009115A5">
            <w:pPr>
              <w:cnfStyle w:val="000000000000" w:firstRow="0" w:lastRow="0" w:firstColumn="0" w:lastColumn="0" w:oddVBand="0" w:evenVBand="0" w:oddHBand="0" w:evenHBand="0" w:firstRowFirstColumn="0" w:firstRowLastColumn="0" w:lastRowFirstColumn="0" w:lastRowLastColumn="0"/>
              <w:rPr>
                <w:rFonts w:cstheme="minorHAnsi"/>
                <w:b/>
                <w:i/>
                <w:sz w:val="18"/>
                <w:szCs w:val="18"/>
                <w:lang w:val="en-AU"/>
              </w:rPr>
            </w:pPr>
            <w:r w:rsidRPr="006C0CFE">
              <w:rPr>
                <w:rFonts w:cstheme="minorHAnsi"/>
                <w:b/>
                <w:i/>
                <w:sz w:val="18"/>
                <w:szCs w:val="18"/>
              </w:rPr>
              <w:t xml:space="preserve">Grant, Variation (AA), Extension duration (AA), Revocation (AA), Expiry, Surrender (SPA and AA), Cancellation (SPA)  </w:t>
            </w:r>
          </w:p>
          <w:p w14:paraId="05A0AF44" w14:textId="6D4D5580" w:rsidR="009115A5" w:rsidRPr="006C0CFE" w:rsidRDefault="009115A5" w:rsidP="009115A5">
            <w:pPr>
              <w:cnfStyle w:val="000000000000" w:firstRow="0" w:lastRow="0" w:firstColumn="0" w:lastColumn="0" w:oddVBand="0" w:evenVBand="0" w:oddHBand="0" w:evenHBand="0" w:firstRowFirstColumn="0" w:firstRowLastColumn="0" w:lastRowFirstColumn="0" w:lastRowLastColumn="0"/>
              <w:rPr>
                <w:rFonts w:cstheme="minorHAnsi"/>
                <w:b/>
                <w:i/>
                <w:sz w:val="18"/>
                <w:szCs w:val="18"/>
                <w:lang w:val="en-AU"/>
              </w:rPr>
            </w:pPr>
            <w:r w:rsidRPr="006C0CFE">
              <w:rPr>
                <w:rFonts w:cstheme="minorHAnsi"/>
                <w:sz w:val="18"/>
                <w:szCs w:val="18"/>
              </w:rPr>
              <w:t>See item 2 for general overview of process.</w:t>
            </w:r>
          </w:p>
        </w:tc>
      </w:tr>
      <w:tr w:rsidR="009115A5" w:rsidRPr="001B57AC" w14:paraId="6E9111DC" w14:textId="77777777" w:rsidTr="00B04F0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68" w:type="dxa"/>
          </w:tcPr>
          <w:p w14:paraId="74A4B35E" w14:textId="38B80161" w:rsidR="009115A5" w:rsidRPr="00BE4D82" w:rsidRDefault="009115A5" w:rsidP="009115A5">
            <w:pPr>
              <w:jc w:val="center"/>
              <w:rPr>
                <w:rFonts w:cstheme="minorHAnsi"/>
                <w:b w:val="0"/>
                <w:sz w:val="18"/>
                <w:szCs w:val="18"/>
                <w:lang w:val="en-AU"/>
              </w:rPr>
            </w:pPr>
            <w:r>
              <w:rPr>
                <w:rFonts w:cstheme="minorHAnsi"/>
                <w:sz w:val="18"/>
                <w:szCs w:val="18"/>
                <w:lang w:val="en-AU"/>
              </w:rPr>
              <w:t>2</w:t>
            </w:r>
            <w:r w:rsidR="003E52AE">
              <w:rPr>
                <w:rFonts w:cstheme="minorHAnsi"/>
                <w:sz w:val="18"/>
                <w:szCs w:val="18"/>
                <w:lang w:val="en-AU"/>
              </w:rPr>
              <w:t>1</w:t>
            </w:r>
          </w:p>
        </w:tc>
        <w:tc>
          <w:tcPr>
            <w:tcW w:w="3538" w:type="dxa"/>
          </w:tcPr>
          <w:p w14:paraId="6D820999" w14:textId="2499D785"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AU"/>
              </w:rPr>
            </w:pPr>
            <w:r w:rsidRPr="00BE4D82">
              <w:rPr>
                <w:rFonts w:cstheme="minorHAnsi"/>
                <w:b/>
                <w:bCs/>
                <w:sz w:val="18"/>
                <w:szCs w:val="18"/>
                <w:lang w:val="en-AU"/>
              </w:rPr>
              <w:t>GHG Dealings (including Cross-boundary permits)</w:t>
            </w:r>
          </w:p>
          <w:p w14:paraId="30B71903" w14:textId="77777777"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b/>
                <w:sz w:val="18"/>
                <w:szCs w:val="18"/>
                <w:lang w:val="en-AU"/>
              </w:rPr>
            </w:pPr>
            <w:r w:rsidRPr="00BE4D82">
              <w:rPr>
                <w:rFonts w:cstheme="minorHAnsi"/>
                <w:sz w:val="18"/>
                <w:szCs w:val="18"/>
                <w:lang w:val="en-AU"/>
              </w:rPr>
              <w:t>(Chapter 4 and Chapter 5)</w:t>
            </w:r>
          </w:p>
        </w:tc>
        <w:tc>
          <w:tcPr>
            <w:tcW w:w="5245" w:type="dxa"/>
          </w:tcPr>
          <w:p w14:paraId="7885672B" w14:textId="77777777"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b/>
                <w:bCs/>
                <w:i/>
                <w:iCs/>
                <w:sz w:val="18"/>
                <w:szCs w:val="18"/>
                <w:lang w:val="en-AU"/>
              </w:rPr>
            </w:pPr>
            <w:r w:rsidRPr="00BE4D82">
              <w:rPr>
                <w:rFonts w:cstheme="minorHAnsi"/>
                <w:b/>
                <w:bCs/>
                <w:i/>
                <w:iCs/>
                <w:sz w:val="18"/>
                <w:szCs w:val="18"/>
                <w:lang w:val="en-AU"/>
              </w:rPr>
              <w:t>Dealings affecting an existing title, future title</w:t>
            </w:r>
          </w:p>
          <w:p w14:paraId="30D3E5D1" w14:textId="080531C0"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b/>
                <w:bCs/>
                <w:i/>
                <w:iCs/>
                <w:sz w:val="18"/>
                <w:szCs w:val="18"/>
                <w:lang w:val="en-AU"/>
              </w:rPr>
            </w:pPr>
            <w:r w:rsidRPr="00BE4D82">
              <w:rPr>
                <w:rFonts w:cstheme="minorHAnsi"/>
                <w:sz w:val="18"/>
                <w:szCs w:val="18"/>
                <w:lang w:val="en-AU"/>
              </w:rPr>
              <w:t xml:space="preserve">See item </w:t>
            </w:r>
            <w:r>
              <w:rPr>
                <w:rFonts w:cstheme="minorHAnsi"/>
                <w:sz w:val="18"/>
                <w:szCs w:val="18"/>
                <w:lang w:val="en-AU"/>
              </w:rPr>
              <w:t>10</w:t>
            </w:r>
            <w:r w:rsidRPr="00BE4D82">
              <w:rPr>
                <w:rFonts w:cstheme="minorHAnsi"/>
                <w:sz w:val="18"/>
                <w:szCs w:val="18"/>
                <w:lang w:val="en-AU"/>
              </w:rPr>
              <w:t xml:space="preserve"> for general overview of process.</w:t>
            </w:r>
            <w:r w:rsidRPr="00BE4D82">
              <w:rPr>
                <w:rFonts w:cstheme="minorHAnsi"/>
                <w:b/>
                <w:bCs/>
                <w:i/>
                <w:iCs/>
                <w:sz w:val="18"/>
                <w:szCs w:val="18"/>
                <w:lang w:val="en-AU"/>
              </w:rPr>
              <w:t xml:space="preserve"> </w:t>
            </w:r>
          </w:p>
          <w:p w14:paraId="4C244CE1" w14:textId="3ECE1EFC" w:rsidR="009115A5" w:rsidRPr="0034155C" w:rsidRDefault="009115A5" w:rsidP="009115A5">
            <w:pPr>
              <w:cnfStyle w:val="000000100000" w:firstRow="0" w:lastRow="0" w:firstColumn="0" w:lastColumn="0" w:oddVBand="0" w:evenVBand="0" w:oddHBand="1" w:evenHBand="0" w:firstRowFirstColumn="0" w:firstRowLastColumn="0" w:lastRowFirstColumn="0" w:lastRowLastColumn="0"/>
              <w:rPr>
                <w:b/>
                <w:sz w:val="18"/>
                <w:szCs w:val="18"/>
                <w:lang w:val="en-AU"/>
              </w:rPr>
            </w:pPr>
            <w:r w:rsidRPr="01119175">
              <w:rPr>
                <w:b/>
                <w:i/>
                <w:sz w:val="18"/>
                <w:szCs w:val="18"/>
                <w:lang w:val="en-AU"/>
              </w:rPr>
              <w:t xml:space="preserve">Change of company name </w:t>
            </w:r>
          </w:p>
          <w:p w14:paraId="335897BB" w14:textId="564F9383" w:rsidR="009115A5" w:rsidRPr="007855D0" w:rsidRDefault="009115A5" w:rsidP="009115A5">
            <w:pPr>
              <w:ind w:left="360" w:hanging="360"/>
              <w:contextualSpacing/>
              <w:cnfStyle w:val="000000100000" w:firstRow="0" w:lastRow="0" w:firstColumn="0" w:lastColumn="0" w:oddVBand="0" w:evenVBand="0" w:oddHBand="1" w:evenHBand="0" w:firstRowFirstColumn="0" w:firstRowLastColumn="0" w:lastRowFirstColumn="0" w:lastRowLastColumn="0"/>
              <w:rPr>
                <w:sz w:val="18"/>
                <w:szCs w:val="18"/>
              </w:rPr>
            </w:pPr>
            <w:r w:rsidRPr="01119175">
              <w:rPr>
                <w:sz w:val="18"/>
                <w:szCs w:val="18"/>
              </w:rPr>
              <w:t>See item 10 for general overview of process</w:t>
            </w:r>
            <w:r>
              <w:rPr>
                <w:sz w:val="18"/>
                <w:szCs w:val="18"/>
              </w:rPr>
              <w:t>.</w:t>
            </w:r>
          </w:p>
          <w:p w14:paraId="1B6436A5" w14:textId="5FC2A7F6" w:rsidR="009115A5" w:rsidRPr="0034155C"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lang w:val="en-AU"/>
              </w:rPr>
            </w:pPr>
          </w:p>
        </w:tc>
      </w:tr>
      <w:tr w:rsidR="003E52AE" w:rsidRPr="001B57AC" w14:paraId="2365CAD3" w14:textId="77777777" w:rsidTr="00B04F0F">
        <w:trPr>
          <w:trHeight w:val="70"/>
        </w:trPr>
        <w:tc>
          <w:tcPr>
            <w:cnfStyle w:val="001000000000" w:firstRow="0" w:lastRow="0" w:firstColumn="1" w:lastColumn="0" w:oddVBand="0" w:evenVBand="0" w:oddHBand="0" w:evenHBand="0" w:firstRowFirstColumn="0" w:firstRowLastColumn="0" w:lastRowFirstColumn="0" w:lastRowLastColumn="0"/>
            <w:tcW w:w="568" w:type="dxa"/>
          </w:tcPr>
          <w:p w14:paraId="39719AFF" w14:textId="26044444" w:rsidR="003E52AE" w:rsidRDefault="003E52AE" w:rsidP="009115A5">
            <w:pPr>
              <w:jc w:val="center"/>
              <w:rPr>
                <w:rFonts w:cstheme="minorHAnsi"/>
                <w:sz w:val="18"/>
                <w:szCs w:val="18"/>
              </w:rPr>
            </w:pPr>
            <w:r>
              <w:rPr>
                <w:rFonts w:cstheme="minorHAnsi"/>
                <w:sz w:val="18"/>
                <w:szCs w:val="18"/>
              </w:rPr>
              <w:t>22</w:t>
            </w:r>
          </w:p>
        </w:tc>
        <w:tc>
          <w:tcPr>
            <w:tcW w:w="3538" w:type="dxa"/>
          </w:tcPr>
          <w:p w14:paraId="4EC1A0D6" w14:textId="77777777" w:rsidR="00DF0F32" w:rsidRPr="00BE4D82" w:rsidRDefault="003E52AE" w:rsidP="00DF0F32">
            <w:pPr>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AU"/>
              </w:rPr>
            </w:pPr>
            <w:r w:rsidRPr="00BE4D82">
              <w:rPr>
                <w:rFonts w:cstheme="minorHAnsi"/>
                <w:b/>
                <w:bCs/>
                <w:sz w:val="18"/>
                <w:szCs w:val="18"/>
                <w:lang w:val="en-AU"/>
              </w:rPr>
              <w:t>GHG Transfers</w:t>
            </w:r>
            <w:r w:rsidR="00DF0F32">
              <w:rPr>
                <w:rFonts w:cstheme="minorHAnsi"/>
                <w:b/>
                <w:bCs/>
                <w:sz w:val="18"/>
                <w:szCs w:val="18"/>
                <w:lang w:val="en-AU"/>
              </w:rPr>
              <w:t xml:space="preserve"> </w:t>
            </w:r>
            <w:r w:rsidR="00DF0F32" w:rsidRPr="00BE4D82">
              <w:rPr>
                <w:rFonts w:cstheme="minorHAnsi"/>
                <w:b/>
                <w:bCs/>
                <w:sz w:val="18"/>
                <w:szCs w:val="18"/>
                <w:lang w:val="en-AU"/>
              </w:rPr>
              <w:t>(including Cross-boundary permits)</w:t>
            </w:r>
          </w:p>
          <w:p w14:paraId="56540938" w14:textId="75441B2A" w:rsidR="003E52AE" w:rsidRPr="00BE4D82" w:rsidRDefault="00DF0F32" w:rsidP="00DF0F32">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BE4D82">
              <w:rPr>
                <w:rFonts w:cstheme="minorHAnsi"/>
                <w:sz w:val="18"/>
                <w:szCs w:val="18"/>
                <w:lang w:val="en-AU"/>
              </w:rPr>
              <w:t>(Chapter 4 and Chapter 5)</w:t>
            </w:r>
          </w:p>
        </w:tc>
        <w:tc>
          <w:tcPr>
            <w:tcW w:w="5245" w:type="dxa"/>
          </w:tcPr>
          <w:p w14:paraId="412D7369" w14:textId="77777777" w:rsidR="003E52AE" w:rsidRDefault="003E52AE" w:rsidP="003E52AE">
            <w:pPr>
              <w:cnfStyle w:val="000000000000" w:firstRow="0" w:lastRow="0" w:firstColumn="0" w:lastColumn="0" w:oddVBand="0" w:evenVBand="0" w:oddHBand="0" w:evenHBand="0" w:firstRowFirstColumn="0" w:firstRowLastColumn="0" w:lastRowFirstColumn="0" w:lastRowLastColumn="0"/>
              <w:rPr>
                <w:rFonts w:cstheme="minorHAnsi"/>
                <w:b/>
                <w:bCs/>
                <w:i/>
                <w:iCs/>
                <w:sz w:val="18"/>
                <w:szCs w:val="18"/>
                <w:lang w:val="en-AU"/>
              </w:rPr>
            </w:pPr>
            <w:r w:rsidRPr="00BE4D82">
              <w:rPr>
                <w:rFonts w:cstheme="minorHAnsi"/>
                <w:b/>
                <w:bCs/>
                <w:i/>
                <w:iCs/>
                <w:sz w:val="18"/>
                <w:szCs w:val="18"/>
                <w:lang w:val="en-AU"/>
              </w:rPr>
              <w:t>Transfer of title</w:t>
            </w:r>
          </w:p>
          <w:p w14:paraId="07B14D07" w14:textId="2F0A6F3B" w:rsidR="003E52AE" w:rsidRPr="007855D0" w:rsidRDefault="003E52AE" w:rsidP="003E52AE">
            <w:pPr>
              <w:spacing w:line="276" w:lineRule="auto"/>
              <w:ind w:left="360" w:hanging="360"/>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en-AU"/>
              </w:rPr>
            </w:pPr>
            <w:r w:rsidRPr="007855D0">
              <w:rPr>
                <w:rFonts w:cstheme="minorHAnsi"/>
                <w:sz w:val="18"/>
                <w:szCs w:val="18"/>
              </w:rPr>
              <w:t>See item 1</w:t>
            </w:r>
            <w:r>
              <w:rPr>
                <w:rFonts w:cstheme="minorHAnsi"/>
                <w:sz w:val="18"/>
                <w:szCs w:val="18"/>
              </w:rPr>
              <w:t>1</w:t>
            </w:r>
            <w:r w:rsidRPr="007855D0">
              <w:rPr>
                <w:rFonts w:cstheme="minorHAnsi"/>
                <w:sz w:val="18"/>
                <w:szCs w:val="18"/>
              </w:rPr>
              <w:t xml:space="preserve"> for general overview of process</w:t>
            </w:r>
            <w:r>
              <w:rPr>
                <w:rFonts w:cstheme="minorHAnsi"/>
                <w:sz w:val="18"/>
                <w:szCs w:val="18"/>
              </w:rPr>
              <w:t>.</w:t>
            </w:r>
          </w:p>
          <w:p w14:paraId="70F2885A" w14:textId="77777777" w:rsidR="003E52AE" w:rsidRPr="00BE4D82" w:rsidRDefault="003E52AE" w:rsidP="009115A5">
            <w:pPr>
              <w:cnfStyle w:val="000000000000" w:firstRow="0" w:lastRow="0" w:firstColumn="0" w:lastColumn="0" w:oddVBand="0" w:evenVBand="0" w:oddHBand="0" w:evenHBand="0" w:firstRowFirstColumn="0" w:firstRowLastColumn="0" w:lastRowFirstColumn="0" w:lastRowLastColumn="0"/>
              <w:rPr>
                <w:rFonts w:cstheme="minorHAnsi"/>
                <w:b/>
                <w:bCs/>
                <w:i/>
                <w:iCs/>
                <w:sz w:val="18"/>
                <w:szCs w:val="18"/>
              </w:rPr>
            </w:pPr>
          </w:p>
        </w:tc>
      </w:tr>
      <w:tr w:rsidR="009115A5" w:rsidRPr="001B57AC" w14:paraId="52B2E0F2" w14:textId="77777777" w:rsidTr="00B04F0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68" w:type="dxa"/>
          </w:tcPr>
          <w:p w14:paraId="792F50E6" w14:textId="1D269154" w:rsidR="009115A5" w:rsidRDefault="009115A5" w:rsidP="009115A5">
            <w:pPr>
              <w:jc w:val="center"/>
              <w:rPr>
                <w:rFonts w:cstheme="minorHAnsi"/>
                <w:sz w:val="18"/>
                <w:szCs w:val="18"/>
              </w:rPr>
            </w:pPr>
            <w:r>
              <w:rPr>
                <w:rFonts w:cstheme="minorHAnsi"/>
                <w:sz w:val="18"/>
                <w:szCs w:val="18"/>
                <w:lang w:val="en-AU"/>
              </w:rPr>
              <w:t>2</w:t>
            </w:r>
            <w:r w:rsidR="003E52AE">
              <w:rPr>
                <w:rFonts w:cstheme="minorHAnsi"/>
                <w:sz w:val="18"/>
                <w:szCs w:val="18"/>
                <w:lang w:val="en-AU"/>
              </w:rPr>
              <w:t>3</w:t>
            </w:r>
          </w:p>
        </w:tc>
        <w:tc>
          <w:tcPr>
            <w:tcW w:w="3538" w:type="dxa"/>
          </w:tcPr>
          <w:p w14:paraId="67973C20" w14:textId="77777777"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AU"/>
              </w:rPr>
            </w:pPr>
            <w:r>
              <w:rPr>
                <w:rFonts w:cstheme="minorHAnsi"/>
                <w:b/>
                <w:bCs/>
                <w:sz w:val="18"/>
                <w:szCs w:val="18"/>
                <w:lang w:val="en-AU"/>
              </w:rPr>
              <w:t>Change of Company Control</w:t>
            </w:r>
          </w:p>
          <w:p w14:paraId="2FEA8938" w14:textId="53E9D448"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sz w:val="18"/>
                <w:szCs w:val="18"/>
                <w:lang w:val="en-AU"/>
              </w:rPr>
            </w:pPr>
            <w:r w:rsidRPr="00F46CF5">
              <w:rPr>
                <w:rFonts w:cstheme="minorHAnsi"/>
                <w:sz w:val="18"/>
                <w:szCs w:val="18"/>
                <w:lang w:val="en-AU"/>
              </w:rPr>
              <w:t>(Chapter 5)</w:t>
            </w:r>
          </w:p>
          <w:p w14:paraId="273F90C0" w14:textId="20A8FFDA"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C1613F">
              <w:rPr>
                <w:rFonts w:cstheme="minorHAnsi"/>
                <w:sz w:val="18"/>
                <w:szCs w:val="18"/>
              </w:rPr>
              <w:t xml:space="preserve">For </w:t>
            </w:r>
            <w:r>
              <w:rPr>
                <w:rFonts w:cstheme="minorHAnsi"/>
                <w:sz w:val="18"/>
                <w:szCs w:val="18"/>
              </w:rPr>
              <w:t>GHG</w:t>
            </w:r>
          </w:p>
        </w:tc>
        <w:tc>
          <w:tcPr>
            <w:tcW w:w="5245" w:type="dxa"/>
          </w:tcPr>
          <w:p w14:paraId="124FDD80" w14:textId="77777777" w:rsidR="009115A5" w:rsidRPr="0034155C" w:rsidRDefault="009115A5" w:rsidP="009115A5">
            <w:pPr>
              <w:cnfStyle w:val="000000100000" w:firstRow="0" w:lastRow="0" w:firstColumn="0" w:lastColumn="0" w:oddVBand="0" w:evenVBand="0" w:oddHBand="1" w:evenHBand="0" w:firstRowFirstColumn="0" w:firstRowLastColumn="0" w:lastRowFirstColumn="0" w:lastRowLastColumn="0"/>
              <w:rPr>
                <w:b/>
                <w:sz w:val="18"/>
                <w:szCs w:val="18"/>
                <w:lang w:val="en-AU"/>
              </w:rPr>
            </w:pPr>
            <w:r w:rsidRPr="01119175">
              <w:rPr>
                <w:b/>
                <w:i/>
                <w:sz w:val="18"/>
                <w:szCs w:val="18"/>
                <w:lang w:val="en-AU"/>
              </w:rPr>
              <w:t xml:space="preserve">Change of company control </w:t>
            </w:r>
          </w:p>
          <w:p w14:paraId="4CA0DFB4" w14:textId="442D8AAA" w:rsidR="009115A5" w:rsidRPr="00BE4D82" w:rsidRDefault="009115A5" w:rsidP="009115A5">
            <w:pPr>
              <w:cnfStyle w:val="000000100000" w:firstRow="0" w:lastRow="0" w:firstColumn="0" w:lastColumn="0" w:oddVBand="0" w:evenVBand="0" w:oddHBand="1" w:evenHBand="0" w:firstRowFirstColumn="0" w:firstRowLastColumn="0" w:lastRowFirstColumn="0" w:lastRowLastColumn="0"/>
              <w:rPr>
                <w:rFonts w:cstheme="minorHAnsi"/>
                <w:b/>
                <w:bCs/>
                <w:i/>
                <w:iCs/>
                <w:sz w:val="18"/>
                <w:szCs w:val="18"/>
              </w:rPr>
            </w:pPr>
            <w:r>
              <w:rPr>
                <w:rFonts w:cstheme="minorHAnsi"/>
                <w:bCs/>
                <w:iCs/>
                <w:sz w:val="18"/>
                <w:szCs w:val="18"/>
                <w:lang w:val="en-AU"/>
              </w:rPr>
              <w:t>See item 1</w:t>
            </w:r>
            <w:r w:rsidR="003E52AE">
              <w:rPr>
                <w:rFonts w:cstheme="minorHAnsi"/>
                <w:bCs/>
                <w:iCs/>
                <w:sz w:val="18"/>
                <w:szCs w:val="18"/>
                <w:lang w:val="en-AU"/>
              </w:rPr>
              <w:t>2</w:t>
            </w:r>
            <w:r>
              <w:rPr>
                <w:rFonts w:cstheme="minorHAnsi"/>
                <w:bCs/>
                <w:iCs/>
                <w:sz w:val="18"/>
                <w:szCs w:val="18"/>
                <w:lang w:val="en-AU"/>
              </w:rPr>
              <w:t xml:space="preserve"> for general overview of </w:t>
            </w:r>
            <w:r w:rsidRPr="0034155C">
              <w:rPr>
                <w:rFonts w:cstheme="minorHAnsi"/>
                <w:sz w:val="18"/>
                <w:szCs w:val="18"/>
                <w:lang w:val="en-AU"/>
              </w:rPr>
              <w:t>process</w:t>
            </w:r>
            <w:r>
              <w:rPr>
                <w:rFonts w:cstheme="minorHAnsi"/>
                <w:sz w:val="18"/>
                <w:szCs w:val="18"/>
                <w:lang w:val="en-AU"/>
              </w:rPr>
              <w:t>.</w:t>
            </w:r>
          </w:p>
        </w:tc>
      </w:tr>
    </w:tbl>
    <w:p w14:paraId="03821BA2" w14:textId="77777777" w:rsidR="001E341C" w:rsidRPr="001E341C" w:rsidRDefault="001E341C" w:rsidP="00D34C88">
      <w:pPr>
        <w:rPr>
          <w:rFonts w:eastAsia="SimSun"/>
          <w:iCs/>
        </w:rPr>
      </w:pPr>
    </w:p>
    <w:p w14:paraId="6178792F" w14:textId="414A2A77" w:rsidR="006036C2" w:rsidRPr="007C2DD2" w:rsidRDefault="00AD0880" w:rsidP="00AF30D7">
      <w:pPr>
        <w:pStyle w:val="Heading2"/>
        <w:numPr>
          <w:ilvl w:val="1"/>
          <w:numId w:val="2"/>
        </w:numPr>
        <w:ind w:left="426"/>
        <w:rPr>
          <w:color w:val="auto"/>
        </w:rPr>
      </w:pPr>
      <w:r w:rsidRPr="007C2DD2">
        <w:rPr>
          <w:rFonts w:cs="Times New Roman"/>
          <w:color w:val="auto"/>
        </w:rPr>
        <w:t xml:space="preserve"> </w:t>
      </w:r>
      <w:bookmarkStart w:id="18" w:name="_Toc81919366"/>
      <w:bookmarkStart w:id="19" w:name="_Toc82703178"/>
      <w:bookmarkStart w:id="20" w:name="_Toc215752348"/>
      <w:bookmarkEnd w:id="18"/>
      <w:bookmarkEnd w:id="19"/>
      <w:r w:rsidR="006036C2" w:rsidRPr="007C2DD2">
        <w:rPr>
          <w:color w:val="auto"/>
        </w:rPr>
        <w:t>Cost</w:t>
      </w:r>
      <w:r w:rsidR="00F46EFF" w:rsidRPr="007C2DD2">
        <w:rPr>
          <w:color w:val="auto"/>
        </w:rPr>
        <w:t>s</w:t>
      </w:r>
      <w:r w:rsidR="006036C2" w:rsidRPr="007C2DD2">
        <w:rPr>
          <w:color w:val="auto"/>
        </w:rPr>
        <w:t xml:space="preserve"> of the </w:t>
      </w:r>
      <w:r w:rsidR="00D1329C" w:rsidRPr="007C2DD2">
        <w:rPr>
          <w:color w:val="auto"/>
        </w:rPr>
        <w:t xml:space="preserve">regulatory </w:t>
      </w:r>
      <w:r w:rsidR="006036C2" w:rsidRPr="007C2DD2">
        <w:rPr>
          <w:color w:val="auto"/>
        </w:rPr>
        <w:t>activity</w:t>
      </w:r>
      <w:bookmarkEnd w:id="20"/>
    </w:p>
    <w:p w14:paraId="34F261B5" w14:textId="77777777" w:rsidR="004E2194" w:rsidRPr="00BE4D82" w:rsidRDefault="004E2194" w:rsidP="004E2194">
      <w:r w:rsidRPr="00BE4D82">
        <w:t>NOPTA allocates direct and indirect costs to each output based on management estimates of effort required.</w:t>
      </w:r>
    </w:p>
    <w:p w14:paraId="519B24C2" w14:textId="65FE110C" w:rsidR="004E2194" w:rsidRPr="00BE4D82" w:rsidRDefault="004E2194" w:rsidP="004E2194">
      <w:r w:rsidRPr="00BE4D82">
        <w:t xml:space="preserve">Direct costs are estimated </w:t>
      </w:r>
      <w:r w:rsidRPr="0099704A">
        <w:t>at $</w:t>
      </w:r>
      <w:r w:rsidR="002F11AE" w:rsidRPr="0099704A">
        <w:t>17.</w:t>
      </w:r>
      <w:r w:rsidR="00DF63A0" w:rsidRPr="002A5270">
        <w:t>4</w:t>
      </w:r>
      <w:r w:rsidR="000668E1">
        <w:t>3</w:t>
      </w:r>
      <w:r w:rsidRPr="00BE4D82">
        <w:t xml:space="preserve"> million and are made up of:</w:t>
      </w:r>
    </w:p>
    <w:p w14:paraId="47DE15AC" w14:textId="4D60BF5A" w:rsidR="004E2194" w:rsidRPr="004E2194" w:rsidRDefault="004E2194" w:rsidP="00AF30D7">
      <w:pPr>
        <w:pStyle w:val="ListParagraph"/>
        <w:numPr>
          <w:ilvl w:val="1"/>
          <w:numId w:val="10"/>
        </w:numPr>
        <w:spacing w:before="160" w:after="160" w:line="276" w:lineRule="auto"/>
        <w:contextualSpacing/>
        <w:rPr>
          <w:rFonts w:asciiTheme="minorHAnsi" w:hAnsiTheme="minorHAnsi" w:cstheme="minorHAnsi"/>
          <w:sz w:val="20"/>
          <w:szCs w:val="20"/>
        </w:rPr>
      </w:pPr>
      <w:r w:rsidRPr="004E2194">
        <w:rPr>
          <w:rFonts w:asciiTheme="minorHAnsi" w:hAnsiTheme="minorHAnsi" w:cstheme="minorHAnsi"/>
          <w:sz w:val="20"/>
          <w:szCs w:val="20"/>
        </w:rPr>
        <w:t xml:space="preserve">employee and associated expenses of the </w:t>
      </w:r>
      <w:r w:rsidR="007B5F32">
        <w:rPr>
          <w:rFonts w:asciiTheme="minorHAnsi" w:hAnsiTheme="minorHAnsi" w:cstheme="minorHAnsi"/>
          <w:sz w:val="20"/>
          <w:szCs w:val="20"/>
        </w:rPr>
        <w:t>twelve</w:t>
      </w:r>
      <w:r w:rsidRPr="004E2194">
        <w:rPr>
          <w:rFonts w:asciiTheme="minorHAnsi" w:hAnsiTheme="minorHAnsi" w:cstheme="minorHAnsi"/>
          <w:sz w:val="20"/>
          <w:szCs w:val="20"/>
        </w:rPr>
        <w:t xml:space="preserve"> specialised teams (e.g. salary, superannuation, leave entitlement, learning &amp; development, professional membership)</w:t>
      </w:r>
    </w:p>
    <w:p w14:paraId="2DF2303E" w14:textId="137BE689" w:rsidR="004E2194" w:rsidRPr="004E2194" w:rsidRDefault="004E2194" w:rsidP="00AF30D7">
      <w:pPr>
        <w:pStyle w:val="ListParagraph"/>
        <w:numPr>
          <w:ilvl w:val="1"/>
          <w:numId w:val="10"/>
        </w:numPr>
        <w:spacing w:before="160" w:after="160" w:line="276" w:lineRule="auto"/>
        <w:contextualSpacing/>
        <w:rPr>
          <w:rFonts w:asciiTheme="minorHAnsi" w:hAnsiTheme="minorHAnsi" w:cstheme="minorHAnsi"/>
          <w:sz w:val="20"/>
          <w:szCs w:val="20"/>
        </w:rPr>
      </w:pPr>
      <w:r w:rsidRPr="004E2194">
        <w:rPr>
          <w:rFonts w:asciiTheme="minorHAnsi" w:hAnsiTheme="minorHAnsi" w:cstheme="minorHAnsi"/>
          <w:sz w:val="20"/>
          <w:szCs w:val="20"/>
        </w:rPr>
        <w:t xml:space="preserve">employee and associated expenses of the Senior Leadership Group, and the </w:t>
      </w:r>
      <w:r w:rsidR="002E67B5">
        <w:rPr>
          <w:rFonts w:asciiTheme="minorHAnsi" w:eastAsiaTheme="minorEastAsia" w:hAnsiTheme="minorHAnsi"/>
          <w:sz w:val="20"/>
          <w:szCs w:val="20"/>
        </w:rPr>
        <w:t>Security, Information Management and Business Applications</w:t>
      </w:r>
      <w:r w:rsidR="002E67B5" w:rsidRPr="51FF8415">
        <w:rPr>
          <w:rFonts w:asciiTheme="minorHAnsi" w:eastAsiaTheme="minorEastAsia" w:hAnsiTheme="minorHAnsi"/>
          <w:sz w:val="20"/>
          <w:szCs w:val="20"/>
        </w:rPr>
        <w:t xml:space="preserve"> </w:t>
      </w:r>
      <w:r w:rsidRPr="004E2194">
        <w:rPr>
          <w:rFonts w:asciiTheme="minorHAnsi" w:hAnsiTheme="minorHAnsi" w:cstheme="minorHAnsi"/>
          <w:sz w:val="20"/>
          <w:szCs w:val="20"/>
        </w:rPr>
        <w:t>team. Maintenance and support of the National Electronic Approval Tracking System (NEATS)</w:t>
      </w:r>
      <w:r w:rsidR="00246B27">
        <w:rPr>
          <w:rFonts w:asciiTheme="minorHAnsi" w:hAnsiTheme="minorHAnsi" w:cstheme="minorHAnsi"/>
          <w:sz w:val="20"/>
          <w:szCs w:val="20"/>
        </w:rPr>
        <w:t>.</w:t>
      </w:r>
    </w:p>
    <w:p w14:paraId="3F317C50" w14:textId="77777777" w:rsidR="004E2194" w:rsidRPr="004E2194" w:rsidRDefault="004E2194" w:rsidP="00AF30D7">
      <w:pPr>
        <w:pStyle w:val="ListParagraph"/>
        <w:numPr>
          <w:ilvl w:val="1"/>
          <w:numId w:val="10"/>
        </w:numPr>
        <w:spacing w:before="160" w:after="160" w:line="276" w:lineRule="auto"/>
        <w:contextualSpacing/>
        <w:rPr>
          <w:rFonts w:asciiTheme="minorHAnsi" w:hAnsiTheme="minorHAnsi" w:cstheme="minorHAnsi"/>
          <w:sz w:val="20"/>
          <w:szCs w:val="20"/>
        </w:rPr>
      </w:pPr>
      <w:r w:rsidRPr="004E2194">
        <w:rPr>
          <w:rFonts w:asciiTheme="minorHAnsi" w:hAnsiTheme="minorHAnsi" w:cstheme="minorHAnsi"/>
          <w:sz w:val="20"/>
          <w:szCs w:val="20"/>
        </w:rPr>
        <w:t>National Offshore Petroleum Data and Core Repository (NOPDCR) expenses required for the management of petroleum mining sample data (cores, cuttings and gas/fluid samples).</w:t>
      </w:r>
    </w:p>
    <w:p w14:paraId="687ACEF8" w14:textId="76DBA61A" w:rsidR="004E2194" w:rsidRPr="00BE4D82" w:rsidRDefault="004E2194" w:rsidP="004E2194">
      <w:r w:rsidRPr="00BE4D82">
        <w:t xml:space="preserve">Indirect costs </w:t>
      </w:r>
      <w:r>
        <w:t xml:space="preserve">are </w:t>
      </w:r>
      <w:r w:rsidRPr="0099704A">
        <w:t>estimated at $</w:t>
      </w:r>
      <w:r w:rsidR="00DF63A0" w:rsidRPr="002A5270">
        <w:t>8</w:t>
      </w:r>
      <w:r w:rsidR="00D95792" w:rsidRPr="0099704A">
        <w:t>.</w:t>
      </w:r>
      <w:r w:rsidR="00B70964" w:rsidRPr="0099704A">
        <w:t>0</w:t>
      </w:r>
      <w:r w:rsidR="0044533E">
        <w:t>9</w:t>
      </w:r>
      <w:r w:rsidRPr="0099704A">
        <w:t xml:space="preserve"> million</w:t>
      </w:r>
      <w:r w:rsidRPr="00BE4D82">
        <w:t xml:space="preserve"> annually and are made up of:</w:t>
      </w:r>
    </w:p>
    <w:p w14:paraId="4A62EBFD" w14:textId="77777777" w:rsidR="004E2194" w:rsidRPr="004E2194" w:rsidRDefault="004E2194" w:rsidP="00AF30D7">
      <w:pPr>
        <w:pStyle w:val="ListParagraph"/>
        <w:numPr>
          <w:ilvl w:val="1"/>
          <w:numId w:val="10"/>
        </w:numPr>
        <w:spacing w:before="160" w:after="160" w:line="276" w:lineRule="auto"/>
        <w:contextualSpacing/>
        <w:rPr>
          <w:rFonts w:asciiTheme="minorHAnsi" w:hAnsiTheme="minorHAnsi" w:cstheme="minorHAnsi"/>
          <w:sz w:val="20"/>
          <w:szCs w:val="20"/>
        </w:rPr>
      </w:pPr>
      <w:r w:rsidRPr="004E2194">
        <w:rPr>
          <w:rFonts w:asciiTheme="minorHAnsi" w:hAnsiTheme="minorHAnsi" w:cstheme="minorHAnsi"/>
          <w:sz w:val="20"/>
          <w:szCs w:val="20"/>
        </w:rPr>
        <w:t>employee and associated expenses of the Business Support Unit</w:t>
      </w:r>
    </w:p>
    <w:p w14:paraId="50043854" w14:textId="77777777" w:rsidR="004E2194" w:rsidRPr="004E2194" w:rsidRDefault="004E2194" w:rsidP="00AF30D7">
      <w:pPr>
        <w:pStyle w:val="ListParagraph"/>
        <w:numPr>
          <w:ilvl w:val="1"/>
          <w:numId w:val="10"/>
        </w:numPr>
        <w:spacing w:before="160" w:after="160" w:line="276" w:lineRule="auto"/>
        <w:contextualSpacing/>
        <w:rPr>
          <w:rFonts w:asciiTheme="minorHAnsi" w:hAnsiTheme="minorHAnsi" w:cstheme="minorHAnsi"/>
          <w:sz w:val="20"/>
          <w:szCs w:val="20"/>
        </w:rPr>
      </w:pPr>
      <w:r w:rsidRPr="004E2194">
        <w:rPr>
          <w:rFonts w:asciiTheme="minorHAnsi" w:hAnsiTheme="minorHAnsi" w:cstheme="minorHAnsi"/>
          <w:sz w:val="20"/>
          <w:szCs w:val="20"/>
        </w:rPr>
        <w:t xml:space="preserve">overheads – Departmental </w:t>
      </w:r>
    </w:p>
    <w:p w14:paraId="4CF1CC2D" w14:textId="77777777" w:rsidR="004E2194" w:rsidRPr="004E2194" w:rsidRDefault="004E2194" w:rsidP="00AF30D7">
      <w:pPr>
        <w:pStyle w:val="ListParagraph"/>
        <w:numPr>
          <w:ilvl w:val="1"/>
          <w:numId w:val="10"/>
        </w:numPr>
        <w:spacing w:before="160" w:after="160" w:line="276" w:lineRule="auto"/>
        <w:contextualSpacing/>
        <w:rPr>
          <w:rFonts w:asciiTheme="minorHAnsi" w:hAnsiTheme="minorHAnsi" w:cstheme="minorHAnsi"/>
          <w:sz w:val="20"/>
          <w:szCs w:val="20"/>
        </w:rPr>
      </w:pPr>
      <w:r w:rsidRPr="004E2194">
        <w:rPr>
          <w:rFonts w:asciiTheme="minorHAnsi" w:hAnsiTheme="minorHAnsi" w:cstheme="minorHAnsi"/>
          <w:sz w:val="20"/>
          <w:szCs w:val="20"/>
        </w:rPr>
        <w:t>ICT desktop services</w:t>
      </w:r>
    </w:p>
    <w:p w14:paraId="7332B622" w14:textId="77777777" w:rsidR="004E2194" w:rsidRPr="004E2194" w:rsidRDefault="004E2194" w:rsidP="00AF30D7">
      <w:pPr>
        <w:pStyle w:val="ListParagraph"/>
        <w:numPr>
          <w:ilvl w:val="1"/>
          <w:numId w:val="10"/>
        </w:numPr>
        <w:spacing w:before="160" w:after="160" w:line="276" w:lineRule="auto"/>
        <w:contextualSpacing/>
        <w:rPr>
          <w:rFonts w:asciiTheme="minorHAnsi" w:hAnsiTheme="minorHAnsi" w:cstheme="minorHAnsi"/>
          <w:sz w:val="20"/>
          <w:szCs w:val="20"/>
        </w:rPr>
      </w:pPr>
      <w:r w:rsidRPr="004E2194">
        <w:rPr>
          <w:rFonts w:asciiTheme="minorHAnsi" w:hAnsiTheme="minorHAnsi" w:cstheme="minorHAnsi"/>
          <w:sz w:val="20"/>
          <w:szCs w:val="20"/>
        </w:rPr>
        <w:t>office accommodation and utilities</w:t>
      </w:r>
    </w:p>
    <w:p w14:paraId="7B8223BE" w14:textId="77777777" w:rsidR="004E2194" w:rsidRPr="004E2194" w:rsidRDefault="004E2194" w:rsidP="00AF30D7">
      <w:pPr>
        <w:pStyle w:val="ListParagraph"/>
        <w:numPr>
          <w:ilvl w:val="1"/>
          <w:numId w:val="10"/>
        </w:numPr>
        <w:spacing w:before="160" w:after="160" w:line="276" w:lineRule="auto"/>
        <w:contextualSpacing/>
        <w:rPr>
          <w:rFonts w:asciiTheme="minorHAnsi" w:hAnsiTheme="minorHAnsi" w:cstheme="minorHAnsi"/>
          <w:sz w:val="20"/>
          <w:szCs w:val="20"/>
        </w:rPr>
      </w:pPr>
      <w:r w:rsidRPr="004E2194">
        <w:rPr>
          <w:rFonts w:asciiTheme="minorHAnsi" w:hAnsiTheme="minorHAnsi" w:cstheme="minorHAnsi"/>
          <w:sz w:val="20"/>
          <w:szCs w:val="20"/>
        </w:rPr>
        <w:t>travel</w:t>
      </w:r>
    </w:p>
    <w:p w14:paraId="4AA237B8" w14:textId="6D4265CA" w:rsidR="004E2194" w:rsidRPr="004E2194" w:rsidRDefault="004E2194" w:rsidP="00AF30D7">
      <w:pPr>
        <w:pStyle w:val="ListParagraph"/>
        <w:numPr>
          <w:ilvl w:val="1"/>
          <w:numId w:val="10"/>
        </w:numPr>
        <w:spacing w:before="160" w:after="160" w:line="276" w:lineRule="auto"/>
        <w:contextualSpacing/>
        <w:rPr>
          <w:rFonts w:asciiTheme="minorHAnsi" w:hAnsiTheme="minorHAnsi" w:cstheme="minorHAnsi"/>
          <w:sz w:val="20"/>
          <w:szCs w:val="20"/>
        </w:rPr>
      </w:pPr>
      <w:r w:rsidRPr="004E2194">
        <w:rPr>
          <w:rFonts w:asciiTheme="minorHAnsi" w:hAnsiTheme="minorHAnsi" w:cstheme="minorHAnsi"/>
          <w:sz w:val="20"/>
          <w:szCs w:val="20"/>
        </w:rPr>
        <w:t>legal</w:t>
      </w:r>
    </w:p>
    <w:p w14:paraId="51CA98D5" w14:textId="2807476B" w:rsidR="003E292F" w:rsidRDefault="004E2194" w:rsidP="00A11661">
      <w:r w:rsidRPr="00BE4D82">
        <w:t>Indirect costs are allocated to</w:t>
      </w:r>
      <w:r w:rsidR="007C2B56">
        <w:t xml:space="preserve"> </w:t>
      </w:r>
      <w:r w:rsidRPr="00BE4D82">
        <w:t xml:space="preserve">teams using </w:t>
      </w:r>
      <w:r w:rsidR="00B66316">
        <w:t>FTE</w:t>
      </w:r>
      <w:r w:rsidRPr="00BE4D82">
        <w:t>.</w:t>
      </w:r>
    </w:p>
    <w:p w14:paraId="42ECEC14" w14:textId="316151D3" w:rsidR="00150D75" w:rsidRDefault="00150D75" w:rsidP="00A11661">
      <w:pPr>
        <w:rPr>
          <w:rFonts w:cstheme="minorHAnsi"/>
        </w:rPr>
      </w:pPr>
      <w:r w:rsidRPr="00CD005B">
        <w:rPr>
          <w:rFonts w:cstheme="minorHAnsi"/>
        </w:rPr>
        <w:t>Capital costs for 2025-26 are budgeted at $</w:t>
      </w:r>
      <w:r>
        <w:rPr>
          <w:rFonts w:cstheme="minorHAnsi"/>
        </w:rPr>
        <w:t>1.5</w:t>
      </w:r>
      <w:r w:rsidR="006A17FC">
        <w:rPr>
          <w:rFonts w:cstheme="minorHAnsi"/>
        </w:rPr>
        <w:t>5 million</w:t>
      </w:r>
      <w:r w:rsidRPr="00CD005B">
        <w:rPr>
          <w:rFonts w:cstheme="minorHAnsi"/>
        </w:rPr>
        <w:t xml:space="preserve">. This will continue to build on NOPTA previous commitment to modernise and </w:t>
      </w:r>
      <w:r w:rsidR="00163B80">
        <w:rPr>
          <w:rFonts w:cstheme="minorHAnsi"/>
        </w:rPr>
        <w:t>improve</w:t>
      </w:r>
      <w:r w:rsidRPr="00CD005B">
        <w:rPr>
          <w:rFonts w:cstheme="minorHAnsi"/>
        </w:rPr>
        <w:t xml:space="preserve"> the digital capability of </w:t>
      </w:r>
      <w:r>
        <w:rPr>
          <w:rFonts w:cstheme="minorHAnsi"/>
        </w:rPr>
        <w:t xml:space="preserve">the </w:t>
      </w:r>
      <w:r w:rsidRPr="004E2194">
        <w:rPr>
          <w:rFonts w:cstheme="minorHAnsi"/>
        </w:rPr>
        <w:t>National Electronic Approval Tracking System</w:t>
      </w:r>
      <w:r w:rsidRPr="00CD005B">
        <w:rPr>
          <w:rFonts w:cstheme="minorHAnsi"/>
        </w:rPr>
        <w:t xml:space="preserve"> </w:t>
      </w:r>
      <w:r>
        <w:rPr>
          <w:rFonts w:cstheme="minorHAnsi"/>
        </w:rPr>
        <w:t>(</w:t>
      </w:r>
      <w:r w:rsidRPr="00CD005B">
        <w:rPr>
          <w:rFonts w:cstheme="minorHAnsi"/>
        </w:rPr>
        <w:t>NEATS</w:t>
      </w:r>
      <w:r>
        <w:rPr>
          <w:rFonts w:cstheme="minorHAnsi"/>
        </w:rPr>
        <w:t>)</w:t>
      </w:r>
      <w:r w:rsidRPr="00CD005B">
        <w:rPr>
          <w:rFonts w:cstheme="minorHAnsi"/>
        </w:rPr>
        <w:t xml:space="preserve">. The outcomes will be the enhanced ability for online submissions, storage and management of data and regulatory information between NEATS and </w:t>
      </w:r>
      <w:r>
        <w:rPr>
          <w:rFonts w:cstheme="minorHAnsi"/>
        </w:rPr>
        <w:t>National Offshore Petroleu</w:t>
      </w:r>
      <w:r w:rsidR="006A17FC">
        <w:rPr>
          <w:rFonts w:cstheme="minorHAnsi"/>
        </w:rPr>
        <w:t>m</w:t>
      </w:r>
      <w:r>
        <w:rPr>
          <w:rFonts w:cstheme="minorHAnsi"/>
        </w:rPr>
        <w:t xml:space="preserve"> Information Management System (</w:t>
      </w:r>
      <w:r w:rsidRPr="00CD005B">
        <w:rPr>
          <w:rFonts w:cstheme="minorHAnsi"/>
        </w:rPr>
        <w:t>NOPIMS</w:t>
      </w:r>
      <w:r>
        <w:rPr>
          <w:rFonts w:cstheme="minorHAnsi"/>
        </w:rPr>
        <w:t>)</w:t>
      </w:r>
      <w:r w:rsidRPr="00CD005B">
        <w:rPr>
          <w:rFonts w:cstheme="minorHAnsi"/>
        </w:rPr>
        <w:t>.   </w:t>
      </w:r>
    </w:p>
    <w:p w14:paraId="48619361" w14:textId="77777777" w:rsidR="00150D75" w:rsidRDefault="00150D75" w:rsidP="00A11661"/>
    <w:p w14:paraId="7236A4FF" w14:textId="10801CEF" w:rsidR="000A4457" w:rsidRPr="0021417B" w:rsidRDefault="000A4457" w:rsidP="0021417B">
      <w:pPr>
        <w:spacing w:after="0" w:line="259" w:lineRule="auto"/>
        <w:rPr>
          <w:b/>
          <w:bCs/>
        </w:rPr>
      </w:pPr>
      <w:r w:rsidRPr="008F0F51">
        <w:rPr>
          <w:b/>
          <w:bCs/>
          <w:i/>
          <w:iCs/>
        </w:rPr>
        <w:t>Operational cost drivers</w:t>
      </w:r>
    </w:p>
    <w:p w14:paraId="65F4C5DC" w14:textId="4DCBA5C7" w:rsidR="00E64BD9" w:rsidRPr="00BE4D82" w:rsidRDefault="000A4457" w:rsidP="00E64BD9">
      <w:pPr>
        <w:rPr>
          <w:rFonts w:cstheme="minorHAnsi"/>
        </w:rPr>
      </w:pPr>
      <w:r w:rsidRPr="00BF4B3C">
        <w:rPr>
          <w:rFonts w:cstheme="minorHAnsi"/>
        </w:rPr>
        <w:t xml:space="preserve">NOPTA’s ability to effectively administer and discharge its functions under the </w:t>
      </w:r>
      <w:r>
        <w:rPr>
          <w:rFonts w:cstheme="minorHAnsi"/>
        </w:rPr>
        <w:t xml:space="preserve">OPGGS Act </w:t>
      </w:r>
      <w:r w:rsidRPr="00BF4B3C">
        <w:rPr>
          <w:rFonts w:cstheme="minorHAnsi"/>
        </w:rPr>
        <w:t xml:space="preserve">is underpinned by </w:t>
      </w:r>
      <w:r>
        <w:rPr>
          <w:rFonts w:cstheme="minorHAnsi"/>
        </w:rPr>
        <w:t xml:space="preserve">access to </w:t>
      </w:r>
      <w:r w:rsidRPr="00BF4B3C">
        <w:rPr>
          <w:rFonts w:cstheme="minorHAnsi"/>
        </w:rPr>
        <w:t xml:space="preserve">sufficient resources, capacity, and qualified </w:t>
      </w:r>
      <w:r w:rsidR="0021417B" w:rsidRPr="00BF4B3C">
        <w:rPr>
          <w:rFonts w:cstheme="minorHAnsi"/>
        </w:rPr>
        <w:t>personnel</w:t>
      </w:r>
      <w:r w:rsidR="003060EF">
        <w:rPr>
          <w:rFonts w:cstheme="minorHAnsi"/>
        </w:rPr>
        <w:t>. This</w:t>
      </w:r>
      <w:r w:rsidR="00E64BD9" w:rsidRPr="00BE4D82">
        <w:rPr>
          <w:rFonts w:cstheme="minorHAnsi"/>
        </w:rPr>
        <w:t xml:space="preserve"> has minimised the need to adjust charges since its inception in 2012, providing longer-term certainty to industry in this regard. Stability in the level of fees and levies is important for providing consistency for industry, supporting a more predictable investment environment.</w:t>
      </w:r>
    </w:p>
    <w:p w14:paraId="464BDA2B" w14:textId="23DC812B" w:rsidR="00A412F3" w:rsidRPr="00A412F3" w:rsidRDefault="00865F42" w:rsidP="00D24EB5">
      <w:r w:rsidRPr="60EB9CF6">
        <w:t>As a full cost recovery operating entity, the challenge for NOPTA’s cost recovery going forward is to maintain financial sustainability and effective regulation by ensuring that it is recovering the costs of its activities</w:t>
      </w:r>
      <w:r w:rsidRPr="00BE4D82">
        <w:t xml:space="preserve"> in an inflationary environment</w:t>
      </w:r>
      <w:r w:rsidRPr="00BE4D82">
        <w:rPr>
          <w:rStyle w:val="FootnoteReference"/>
        </w:rPr>
        <w:footnoteReference w:id="16"/>
      </w:r>
      <w:r w:rsidRPr="00BE4D82">
        <w:t xml:space="preserve"> that is also complex, rapidly evolving and uncertain</w:t>
      </w:r>
      <w:r w:rsidRPr="60EB9CF6">
        <w:t>. NOPTA’s special account can help manage year-to-year fluctuations but is not intended to manage permanent changes in volumes or cost profiles that materially impact cost recovery.</w:t>
      </w:r>
      <w:r w:rsidRPr="60EB9CF6">
        <w:rPr>
          <w:rStyle w:val="FootnoteReference"/>
        </w:rPr>
        <w:footnoteReference w:id="17"/>
      </w:r>
    </w:p>
    <w:p w14:paraId="78CFB956" w14:textId="5A638365" w:rsidR="00A412F3" w:rsidRPr="00DF1F1D" w:rsidRDefault="00A412F3" w:rsidP="00DF1F1D">
      <w:r w:rsidRPr="01119175">
        <w:t>Costs of NOPTA’s petroleum and GHG activities are forecast</w:t>
      </w:r>
      <w:r w:rsidR="00CC68E3">
        <w:rPr>
          <w:rStyle w:val="FootnoteReference"/>
        </w:rPr>
        <w:footnoteReference w:id="18"/>
      </w:r>
      <w:r w:rsidRPr="01119175">
        <w:t xml:space="preserve"> to increase </w:t>
      </w:r>
      <w:r w:rsidRPr="0099704A">
        <w:t>to $</w:t>
      </w:r>
      <w:r w:rsidR="0012705A" w:rsidRPr="0099704A">
        <w:t>2</w:t>
      </w:r>
      <w:r w:rsidR="0099704A" w:rsidRPr="002A5270">
        <w:t>5</w:t>
      </w:r>
      <w:r w:rsidRPr="0099704A">
        <w:t>.</w:t>
      </w:r>
      <w:r w:rsidR="002649CB" w:rsidRPr="0099704A">
        <w:t>5</w:t>
      </w:r>
      <w:r w:rsidRPr="0099704A">
        <w:t xml:space="preserve"> million</w:t>
      </w:r>
      <w:r w:rsidRPr="01119175">
        <w:t xml:space="preserve"> per year (CRIS period commencing 1 July </w:t>
      </w:r>
      <w:r w:rsidRPr="0099704A">
        <w:t>202</w:t>
      </w:r>
      <w:r w:rsidR="00290765" w:rsidRPr="0099704A">
        <w:t>5</w:t>
      </w:r>
      <w:r w:rsidRPr="0099704A">
        <w:t xml:space="preserve">), up </w:t>
      </w:r>
      <w:r w:rsidR="00E9743B" w:rsidRPr="0099704A">
        <w:t>1</w:t>
      </w:r>
      <w:r w:rsidR="0099704A" w:rsidRPr="002A5270">
        <w:t>1</w:t>
      </w:r>
      <w:r w:rsidR="00263F6E" w:rsidRPr="0099704A">
        <w:t>.</w:t>
      </w:r>
      <w:r w:rsidR="0099704A" w:rsidRPr="002A5270">
        <w:t>4</w:t>
      </w:r>
      <w:r w:rsidRPr="0099704A">
        <w:t>% from $</w:t>
      </w:r>
      <w:r w:rsidR="00C077A8" w:rsidRPr="0099704A">
        <w:t>22</w:t>
      </w:r>
      <w:r w:rsidRPr="0099704A">
        <w:t>.</w:t>
      </w:r>
      <w:r w:rsidR="001070F7" w:rsidRPr="0099704A">
        <w:t>9</w:t>
      </w:r>
      <w:r w:rsidR="007E7BEA">
        <w:t xml:space="preserve"> </w:t>
      </w:r>
      <w:r w:rsidRPr="01119175">
        <w:t xml:space="preserve">million per year as estimated for </w:t>
      </w:r>
      <w:r w:rsidRPr="002E4AB2">
        <w:t>the 202</w:t>
      </w:r>
      <w:r w:rsidR="007E1700" w:rsidRPr="002E4AB2">
        <w:t>5</w:t>
      </w:r>
      <w:r w:rsidRPr="002E4AB2">
        <w:t xml:space="preserve"> CRIS</w:t>
      </w:r>
      <w:r w:rsidRPr="01119175">
        <w:t xml:space="preserve">. </w:t>
      </w:r>
    </w:p>
    <w:p w14:paraId="56710579" w14:textId="39253E87" w:rsidR="000A4457" w:rsidRDefault="000A4457" w:rsidP="006F2A81">
      <w:pPr>
        <w:spacing w:after="0"/>
        <w:rPr>
          <w:rFonts w:cstheme="minorHAnsi"/>
        </w:rPr>
      </w:pPr>
      <w:r w:rsidRPr="00BF4B3C">
        <w:rPr>
          <w:rFonts w:cstheme="minorHAnsi"/>
        </w:rPr>
        <w:t xml:space="preserve">NOPTA’s operational costs have </w:t>
      </w:r>
      <w:r w:rsidR="00134843">
        <w:rPr>
          <w:rFonts w:cstheme="minorHAnsi"/>
        </w:rPr>
        <w:t>increased</w:t>
      </w:r>
      <w:r w:rsidR="000675A3">
        <w:rPr>
          <w:rFonts w:cstheme="minorHAnsi"/>
        </w:rPr>
        <w:t xml:space="preserve"> since the 202</w:t>
      </w:r>
      <w:r w:rsidR="00C565A5">
        <w:rPr>
          <w:rFonts w:cstheme="minorHAnsi"/>
        </w:rPr>
        <w:t>5</w:t>
      </w:r>
      <w:r w:rsidR="000675A3">
        <w:rPr>
          <w:rFonts w:cstheme="minorHAnsi"/>
        </w:rPr>
        <w:t xml:space="preserve"> CRIS</w:t>
      </w:r>
      <w:r w:rsidRPr="00BF4B3C">
        <w:rPr>
          <w:rFonts w:cstheme="minorHAnsi"/>
        </w:rPr>
        <w:t xml:space="preserve"> due </w:t>
      </w:r>
      <w:r>
        <w:rPr>
          <w:rFonts w:cstheme="minorHAnsi"/>
        </w:rPr>
        <w:t xml:space="preserve">to a range of </w:t>
      </w:r>
      <w:r w:rsidR="00E64BD9">
        <w:rPr>
          <w:rFonts w:cstheme="minorHAnsi"/>
        </w:rPr>
        <w:t>key cost drivers as indicated below.</w:t>
      </w:r>
    </w:p>
    <w:p w14:paraId="5287B8C7" w14:textId="77777777" w:rsidR="00D76DEE" w:rsidRDefault="00D76DEE" w:rsidP="00007F14">
      <w:pPr>
        <w:rPr>
          <w:i/>
          <w:iCs/>
        </w:rPr>
      </w:pPr>
    </w:p>
    <w:p w14:paraId="0857E2D6" w14:textId="1A6C8F7F" w:rsidR="00007F14" w:rsidRPr="00BE4D82" w:rsidRDefault="00C565A5" w:rsidP="00007F14">
      <w:r>
        <w:rPr>
          <w:i/>
          <w:iCs/>
        </w:rPr>
        <w:t xml:space="preserve">Continued </w:t>
      </w:r>
      <w:r w:rsidR="00FA3A3F">
        <w:rPr>
          <w:i/>
          <w:iCs/>
        </w:rPr>
        <w:t xml:space="preserve">focus </w:t>
      </w:r>
      <w:r w:rsidR="006B13CC">
        <w:rPr>
          <w:i/>
          <w:iCs/>
        </w:rPr>
        <w:t>on</w:t>
      </w:r>
      <w:r w:rsidR="00007F14" w:rsidRPr="00BE4D82">
        <w:rPr>
          <w:i/>
          <w:iCs/>
        </w:rPr>
        <w:t xml:space="preserve"> </w:t>
      </w:r>
      <w:r w:rsidR="006B13CC">
        <w:rPr>
          <w:i/>
          <w:iCs/>
        </w:rPr>
        <w:t xml:space="preserve">building </w:t>
      </w:r>
      <w:r w:rsidR="00007F14" w:rsidRPr="00BE4D82">
        <w:rPr>
          <w:i/>
          <w:iCs/>
        </w:rPr>
        <w:t xml:space="preserve">GHG </w:t>
      </w:r>
      <w:r w:rsidR="00ED7B28">
        <w:rPr>
          <w:i/>
          <w:iCs/>
        </w:rPr>
        <w:t xml:space="preserve">regulatory capacity </w:t>
      </w:r>
    </w:p>
    <w:p w14:paraId="523F31AB" w14:textId="7645437B" w:rsidR="00FC0BD3" w:rsidRDefault="28C1040A" w:rsidP="0463CCFD">
      <w:pPr>
        <w:spacing w:after="160" w:line="259" w:lineRule="auto"/>
        <w:contextualSpacing/>
      </w:pPr>
      <w:r>
        <w:t xml:space="preserve">The number </w:t>
      </w:r>
      <w:r w:rsidR="593451A0">
        <w:t>of GHG titles in Commonwealth waters has increased</w:t>
      </w:r>
      <w:r w:rsidR="2D3314D1">
        <w:t xml:space="preserve"> </w:t>
      </w:r>
      <w:r w:rsidR="47E7D7DB">
        <w:t>exponentially.</w:t>
      </w:r>
      <w:r w:rsidR="356E16F0">
        <w:t xml:space="preserve"> There are now 17 existing GHG titles compared </w:t>
      </w:r>
      <w:r w:rsidR="407D39CD">
        <w:t>to six in October 2023</w:t>
      </w:r>
      <w:r w:rsidR="63D95E19">
        <w:t xml:space="preserve">. </w:t>
      </w:r>
      <w:r w:rsidR="3D0A0CDC">
        <w:t xml:space="preserve">The declaration of a storage formation as an ‘identified GHG storage formation’ by the Responsible Commonwealth Minister, is a critical step in establishing the viability of a potential storage site for GHG injection and storage operations. The first </w:t>
      </w:r>
      <w:r w:rsidR="003740DA">
        <w:t>two</w:t>
      </w:r>
      <w:r w:rsidR="3D0A0CDC">
        <w:t xml:space="preserve"> Declarations of an Identified Storage Formations (</w:t>
      </w:r>
      <w:proofErr w:type="spellStart"/>
      <w:r w:rsidR="3D0A0CDC">
        <w:t>DoSFs</w:t>
      </w:r>
      <w:proofErr w:type="spellEnd"/>
      <w:r w:rsidR="3D0A0CDC">
        <w:t>) under the OPGGS Act were declared by the Responsible Commonwealth Minister on 10 June 2024.</w:t>
      </w:r>
      <w:r w:rsidR="7E5721B9">
        <w:t xml:space="preserve"> </w:t>
      </w:r>
      <w:r w:rsidR="7FAB5B3E">
        <w:t xml:space="preserve">Since that time, NOPTA has received </w:t>
      </w:r>
      <w:r w:rsidR="007B7B59">
        <w:t>two</w:t>
      </w:r>
      <w:r w:rsidR="7FAB5B3E">
        <w:t xml:space="preserve"> new </w:t>
      </w:r>
      <w:r w:rsidR="31D7D75D">
        <w:t xml:space="preserve">applications </w:t>
      </w:r>
      <w:r w:rsidR="0251D29F">
        <w:t>to declare</w:t>
      </w:r>
      <w:r w:rsidR="31D7D75D">
        <w:t xml:space="preserve"> identified GHG storage formation</w:t>
      </w:r>
      <w:r w:rsidR="62A894D3">
        <w:t>s</w:t>
      </w:r>
      <w:r w:rsidR="31D7D75D">
        <w:t xml:space="preserve">. </w:t>
      </w:r>
      <w:r w:rsidR="00560F8C" w:rsidRPr="001648BD">
        <w:t xml:space="preserve">NOPTA’s internal capacity and capability </w:t>
      </w:r>
      <w:r w:rsidR="00560F8C">
        <w:t xml:space="preserve">in this area has </w:t>
      </w:r>
      <w:r w:rsidR="001F2405">
        <w:t xml:space="preserve">continued to </w:t>
      </w:r>
      <w:r w:rsidR="00560F8C">
        <w:t xml:space="preserve">be bolstered as the industry moves </w:t>
      </w:r>
      <w:r w:rsidR="00560F8C" w:rsidRPr="00DC6866">
        <w:t>towards the issuing of our first offshore injection licences under the OPGGS Act</w:t>
      </w:r>
      <w:r w:rsidR="00560F8C">
        <w:t>.</w:t>
      </w:r>
    </w:p>
    <w:p w14:paraId="06AEC161" w14:textId="77777777" w:rsidR="00A30E55" w:rsidRDefault="00A30E55" w:rsidP="0463CCFD">
      <w:pPr>
        <w:spacing w:after="160" w:line="259" w:lineRule="auto"/>
        <w:contextualSpacing/>
      </w:pPr>
    </w:p>
    <w:p w14:paraId="1C421322" w14:textId="40705748" w:rsidR="0002762F" w:rsidRDefault="00A30E55" w:rsidP="00401C41">
      <w:pPr>
        <w:spacing w:after="160" w:line="259" w:lineRule="auto"/>
        <w:contextualSpacing/>
      </w:pPr>
      <w:r>
        <w:t xml:space="preserve">The increase in GHG costs has </w:t>
      </w:r>
      <w:r w:rsidR="008E109D">
        <w:t xml:space="preserve">also </w:t>
      </w:r>
      <w:r>
        <w:t>been in part driven by the requirement to engage NOPSEMA to undertake regulatory support, particularly in relation to the provision of information, assessments, analysis, reports and advice to the Responsible Commonwealth Minister, or Cross-boundary Authority on proposed or actual greenhouse gas storage applications made under the OPGGS Act and the performance of the Titles Administrator’s functions as outlined under section 695B of the OPGGS Act in relation to greenhouse gas storage.</w:t>
      </w:r>
      <w:r w:rsidR="00656AD6">
        <w:t xml:space="preserve"> T</w:t>
      </w:r>
      <w:r w:rsidR="00656AD6" w:rsidRPr="00656AD6">
        <w:t xml:space="preserve">his approach </w:t>
      </w:r>
      <w:r w:rsidR="00656AD6">
        <w:t xml:space="preserve">is </w:t>
      </w:r>
      <w:r w:rsidR="00656AD6" w:rsidRPr="00656AD6">
        <w:t>cost effective and avoids unnecessary duplication of specialist resources</w:t>
      </w:r>
      <w:r w:rsidR="00E2744C">
        <w:t xml:space="preserve">. It </w:t>
      </w:r>
      <w:r w:rsidR="00465532">
        <w:t xml:space="preserve">will </w:t>
      </w:r>
      <w:r w:rsidR="007B70C0">
        <w:t xml:space="preserve">also </w:t>
      </w:r>
      <w:r w:rsidR="00E2744C">
        <w:t>see</w:t>
      </w:r>
      <w:r w:rsidR="00465532">
        <w:t xml:space="preserve"> one application fee </w:t>
      </w:r>
      <w:r w:rsidR="007B70C0">
        <w:t xml:space="preserve">utilised </w:t>
      </w:r>
      <w:r w:rsidR="00465532">
        <w:t>to</w:t>
      </w:r>
      <w:r w:rsidR="008126A1">
        <w:t xml:space="preserve"> cost recover both NOPTA and NOPSEMA’s regulatory </w:t>
      </w:r>
      <w:r w:rsidR="00FA3D10">
        <w:t>services</w:t>
      </w:r>
      <w:r w:rsidR="008126A1">
        <w:t xml:space="preserve"> for GHG </w:t>
      </w:r>
      <w:r w:rsidR="00002709">
        <w:t xml:space="preserve">titles </w:t>
      </w:r>
      <w:r w:rsidR="0095211A">
        <w:t xml:space="preserve">related </w:t>
      </w:r>
      <w:r w:rsidR="008126A1">
        <w:t>application assessments</w:t>
      </w:r>
      <w:r w:rsidR="00656AD6" w:rsidRPr="00656AD6">
        <w:t>.</w:t>
      </w:r>
      <w:r w:rsidR="00940E9C">
        <w:t xml:space="preserve"> </w:t>
      </w:r>
    </w:p>
    <w:p w14:paraId="3CF77ACC" w14:textId="77777777" w:rsidR="0002762F" w:rsidRDefault="0002762F" w:rsidP="00401C41">
      <w:pPr>
        <w:spacing w:after="160" w:line="259" w:lineRule="auto"/>
        <w:contextualSpacing/>
      </w:pPr>
    </w:p>
    <w:p w14:paraId="2EA5E60A" w14:textId="63E2C910" w:rsidR="00007F14" w:rsidRDefault="00D134F6" w:rsidP="00401C41">
      <w:pPr>
        <w:spacing w:after="160" w:line="259" w:lineRule="auto"/>
        <w:contextualSpacing/>
      </w:pPr>
      <w:r>
        <w:t xml:space="preserve">Collectively, </w:t>
      </w:r>
      <w:r w:rsidR="00007F14" w:rsidRPr="00BE4D82">
        <w:t xml:space="preserve">NOPTA teams are currently </w:t>
      </w:r>
      <w:r w:rsidR="00007F14" w:rsidRPr="00022C25">
        <w:t xml:space="preserve">spending </w:t>
      </w:r>
      <w:r w:rsidR="00635ACF" w:rsidRPr="00022C25">
        <w:t>3</w:t>
      </w:r>
      <w:r w:rsidR="00BE4C26" w:rsidRPr="00022C25">
        <w:t>1</w:t>
      </w:r>
      <w:r w:rsidR="00007F14" w:rsidRPr="00022C25">
        <w:t>%</w:t>
      </w:r>
      <w:r w:rsidR="00007F14" w:rsidRPr="00BE4D82">
        <w:t xml:space="preserve"> of </w:t>
      </w:r>
      <w:r>
        <w:t xml:space="preserve">their </w:t>
      </w:r>
      <w:r w:rsidR="00007F14" w:rsidRPr="00BE4D82">
        <w:t xml:space="preserve">time on GHG activities. </w:t>
      </w:r>
      <w:r>
        <w:t>This disproportional allocation of time</w:t>
      </w:r>
      <w:r w:rsidR="00401C41">
        <w:t xml:space="preserve"> (compared to petroleum)</w:t>
      </w:r>
      <w:r>
        <w:t xml:space="preserve"> is due to the complexity of the applications being assessed and because previously untested regulatory frameworks </w:t>
      </w:r>
      <w:r w:rsidR="00462579">
        <w:t xml:space="preserve">are </w:t>
      </w:r>
      <w:r>
        <w:t xml:space="preserve">now being </w:t>
      </w:r>
      <w:r w:rsidR="00CB6855">
        <w:t>implemented</w:t>
      </w:r>
      <w:r>
        <w:t xml:space="preserve">. </w:t>
      </w:r>
      <w:r w:rsidR="00BE4766">
        <w:rPr>
          <w:rFonts w:cstheme="minorHAnsi"/>
        </w:rPr>
        <w:t>W</w:t>
      </w:r>
      <w:r w:rsidR="00007F14" w:rsidRPr="00593D42">
        <w:rPr>
          <w:rFonts w:cstheme="minorHAnsi"/>
        </w:rPr>
        <w:t>hile there are strong similarities to the petroleum</w:t>
      </w:r>
      <w:r w:rsidR="00007F14" w:rsidRPr="00BE4D82">
        <w:t xml:space="preserve"> processes, there are also significant differences that need to be managed</w:t>
      </w:r>
      <w:r>
        <w:t xml:space="preserve">. This includes </w:t>
      </w:r>
      <w:r w:rsidR="00DD3E74">
        <w:t xml:space="preserve">complex legislative and </w:t>
      </w:r>
      <w:r w:rsidR="00EB0E34">
        <w:t>regulatory requirements</w:t>
      </w:r>
      <w:r w:rsidR="00DD3E74">
        <w:t xml:space="preserve"> for </w:t>
      </w:r>
      <w:r w:rsidR="00401C41">
        <w:t>processes relating to the d</w:t>
      </w:r>
      <w:r w:rsidR="00007F14" w:rsidRPr="00BE4D82">
        <w:t xml:space="preserve">eclaration of </w:t>
      </w:r>
      <w:r w:rsidR="00401C41">
        <w:t>i</w:t>
      </w:r>
      <w:r w:rsidR="00007F14" w:rsidRPr="00BE4D82">
        <w:t xml:space="preserve">dentified </w:t>
      </w:r>
      <w:r w:rsidR="00401C41">
        <w:t>s</w:t>
      </w:r>
      <w:r w:rsidR="00007F14" w:rsidRPr="00BE4D82">
        <w:t xml:space="preserve">torage </w:t>
      </w:r>
      <w:r w:rsidR="00401C41">
        <w:t xml:space="preserve">formations </w:t>
      </w:r>
      <w:r w:rsidR="00007F14" w:rsidRPr="00BE4D82">
        <w:t xml:space="preserve">and </w:t>
      </w:r>
      <w:r w:rsidR="00401C41">
        <w:t>i</w:t>
      </w:r>
      <w:r w:rsidR="00007F14" w:rsidRPr="00BE4D82">
        <w:t xml:space="preserve">njection </w:t>
      </w:r>
      <w:r w:rsidR="00401C41">
        <w:t>l</w:t>
      </w:r>
      <w:r w:rsidR="00007F14" w:rsidRPr="00BE4D82">
        <w:t>icences</w:t>
      </w:r>
      <w:r w:rsidR="00DD3E74">
        <w:t xml:space="preserve">, </w:t>
      </w:r>
      <w:r w:rsidR="00201233">
        <w:t>and</w:t>
      </w:r>
      <w:r w:rsidR="00CD1118">
        <w:t xml:space="preserve"> </w:t>
      </w:r>
      <w:r w:rsidR="00201233">
        <w:t xml:space="preserve">differing </w:t>
      </w:r>
      <w:r w:rsidR="007910C9">
        <w:t>resource management functions</w:t>
      </w:r>
      <w:r w:rsidR="0057266C">
        <w:t xml:space="preserve">. </w:t>
      </w:r>
    </w:p>
    <w:p w14:paraId="418A8E30" w14:textId="77777777" w:rsidR="00401C41" w:rsidRDefault="00401C41" w:rsidP="0021417B">
      <w:pPr>
        <w:spacing w:after="160" w:line="259" w:lineRule="auto"/>
        <w:contextualSpacing/>
      </w:pPr>
    </w:p>
    <w:p w14:paraId="41ACCBE5" w14:textId="0CFBA766" w:rsidR="00007F14" w:rsidRPr="00BE4D82" w:rsidRDefault="00576491" w:rsidP="00007F14">
      <w:pPr>
        <w:rPr>
          <w:rFonts w:cstheme="minorHAnsi"/>
        </w:rPr>
      </w:pPr>
      <w:r>
        <w:rPr>
          <w:rFonts w:cstheme="minorHAnsi"/>
        </w:rPr>
        <w:t>G</w:t>
      </w:r>
      <w:r w:rsidR="00EB0E34">
        <w:rPr>
          <w:rFonts w:cstheme="minorHAnsi"/>
        </w:rPr>
        <w:t xml:space="preserve">iven </w:t>
      </w:r>
      <w:r w:rsidR="00343AD6">
        <w:rPr>
          <w:rFonts w:cstheme="minorHAnsi"/>
        </w:rPr>
        <w:t xml:space="preserve">offshore GHG in Australia </w:t>
      </w:r>
      <w:r w:rsidR="00EB0E34">
        <w:rPr>
          <w:rFonts w:cstheme="minorHAnsi"/>
        </w:rPr>
        <w:t>is an emerging industry</w:t>
      </w:r>
      <w:r w:rsidR="00F179C4">
        <w:rPr>
          <w:rFonts w:cstheme="minorHAnsi"/>
        </w:rPr>
        <w:t>,</w:t>
      </w:r>
      <w:r>
        <w:rPr>
          <w:rFonts w:cstheme="minorHAnsi"/>
        </w:rPr>
        <w:t xml:space="preserve"> a</w:t>
      </w:r>
      <w:r w:rsidRPr="00BE4D82">
        <w:rPr>
          <w:rFonts w:cstheme="minorHAnsi"/>
        </w:rPr>
        <w:t xml:space="preserve"> key uncertainty for NOPTA is</w:t>
      </w:r>
      <w:r w:rsidR="00AB73C0">
        <w:rPr>
          <w:rFonts w:cstheme="minorHAnsi"/>
        </w:rPr>
        <w:t xml:space="preserve"> that</w:t>
      </w:r>
      <w:r w:rsidR="00EB0E34">
        <w:rPr>
          <w:rFonts w:cstheme="minorHAnsi"/>
        </w:rPr>
        <w:t xml:space="preserve"> t</w:t>
      </w:r>
      <w:r w:rsidR="00007F14" w:rsidRPr="00BE4D82">
        <w:rPr>
          <w:rFonts w:cstheme="minorHAnsi"/>
        </w:rPr>
        <w:t>he capability and capacity requirements to undertake GHG assessments are not fully known</w:t>
      </w:r>
      <w:r w:rsidR="00EB0E34">
        <w:rPr>
          <w:rFonts w:cstheme="minorHAnsi"/>
        </w:rPr>
        <w:t xml:space="preserve">, </w:t>
      </w:r>
      <w:r w:rsidR="00007F14" w:rsidRPr="00BE4D82">
        <w:rPr>
          <w:rFonts w:cstheme="minorHAnsi"/>
        </w:rPr>
        <w:t xml:space="preserve">particularly </w:t>
      </w:r>
      <w:r w:rsidR="00EB0E34">
        <w:rPr>
          <w:rFonts w:cstheme="minorHAnsi"/>
        </w:rPr>
        <w:t>for</w:t>
      </w:r>
      <w:r w:rsidR="00007F14" w:rsidRPr="00BE4D82">
        <w:rPr>
          <w:rFonts w:cstheme="minorHAnsi"/>
        </w:rPr>
        <w:t xml:space="preserve"> later lifecycle </w:t>
      </w:r>
      <w:r w:rsidR="00EB0E34">
        <w:rPr>
          <w:rFonts w:cstheme="minorHAnsi"/>
        </w:rPr>
        <w:t xml:space="preserve">titles </w:t>
      </w:r>
      <w:r w:rsidR="00D768B4">
        <w:rPr>
          <w:rFonts w:cstheme="minorHAnsi"/>
        </w:rPr>
        <w:t>where there is</w:t>
      </w:r>
      <w:r w:rsidR="00007F14" w:rsidRPr="00BE4D82">
        <w:rPr>
          <w:rFonts w:cstheme="minorHAnsi"/>
        </w:rPr>
        <w:t xml:space="preserve"> limited or no histor</w:t>
      </w:r>
      <w:r w:rsidR="00462579">
        <w:rPr>
          <w:rFonts w:cstheme="minorHAnsi"/>
        </w:rPr>
        <w:t xml:space="preserve">ical </w:t>
      </w:r>
      <w:r w:rsidR="00007F14" w:rsidRPr="00BE4D82">
        <w:rPr>
          <w:rFonts w:cstheme="minorHAnsi"/>
        </w:rPr>
        <w:t>data.</w:t>
      </w:r>
      <w:r w:rsidR="00007F14" w:rsidRPr="00BE4D82">
        <w:rPr>
          <w:rStyle w:val="FootnoteReference"/>
          <w:rFonts w:cstheme="minorHAnsi"/>
        </w:rPr>
        <w:footnoteReference w:id="19"/>
      </w:r>
      <w:r w:rsidR="00007F14" w:rsidRPr="00BE4D82">
        <w:rPr>
          <w:rFonts w:cstheme="minorHAnsi"/>
        </w:rPr>
        <w:t xml:space="preserve"> </w:t>
      </w:r>
      <w:r w:rsidR="004816F3">
        <w:rPr>
          <w:rFonts w:cstheme="minorHAnsi"/>
        </w:rPr>
        <w:t>It should be noted that</w:t>
      </w:r>
      <w:r w:rsidR="00570F84">
        <w:rPr>
          <w:rFonts w:cstheme="minorHAnsi"/>
        </w:rPr>
        <w:t xml:space="preserve"> forecasted</w:t>
      </w:r>
      <w:r w:rsidR="00AD5A5C">
        <w:rPr>
          <w:rFonts w:cstheme="minorHAnsi"/>
        </w:rPr>
        <w:t xml:space="preserve"> activity levels for GHG</w:t>
      </w:r>
      <w:r w:rsidR="00CB5B36">
        <w:rPr>
          <w:rFonts w:cstheme="minorHAnsi"/>
        </w:rPr>
        <w:t xml:space="preserve"> are als</w:t>
      </w:r>
      <w:r w:rsidR="009B12C5">
        <w:rPr>
          <w:rFonts w:cstheme="minorHAnsi"/>
        </w:rPr>
        <w:t>o uncertain with estimates</w:t>
      </w:r>
      <w:r w:rsidR="00AD5A5C">
        <w:rPr>
          <w:rFonts w:cstheme="minorHAnsi"/>
        </w:rPr>
        <w:t xml:space="preserve"> in the 2025 CRIS</w:t>
      </w:r>
      <w:r w:rsidR="00980241">
        <w:rPr>
          <w:rFonts w:cstheme="minorHAnsi"/>
        </w:rPr>
        <w:t xml:space="preserve"> being</w:t>
      </w:r>
      <w:r w:rsidR="00B33816">
        <w:rPr>
          <w:rFonts w:cstheme="minorHAnsi"/>
        </w:rPr>
        <w:t xml:space="preserve"> higher than actual activity.</w:t>
      </w:r>
      <w:r w:rsidR="00AD5A5C">
        <w:rPr>
          <w:rFonts w:cstheme="minorHAnsi"/>
        </w:rPr>
        <w:t xml:space="preserve"> </w:t>
      </w:r>
      <w:r w:rsidR="00D34AEC">
        <w:rPr>
          <w:rFonts w:cstheme="minorHAnsi"/>
        </w:rPr>
        <w:t>W</w:t>
      </w:r>
      <w:r w:rsidR="00D768B4">
        <w:rPr>
          <w:rFonts w:cstheme="minorHAnsi"/>
        </w:rPr>
        <w:t>hile e</w:t>
      </w:r>
      <w:r w:rsidR="00007F14" w:rsidRPr="00BE4D82">
        <w:rPr>
          <w:rFonts w:cstheme="minorHAnsi"/>
        </w:rPr>
        <w:t>stimations of effort and cost for GHG activities are less certain than for petroleum assessments</w:t>
      </w:r>
      <w:r w:rsidR="00D768B4">
        <w:rPr>
          <w:rFonts w:cstheme="minorHAnsi"/>
        </w:rPr>
        <w:t xml:space="preserve">, it is </w:t>
      </w:r>
      <w:r w:rsidR="00056444">
        <w:rPr>
          <w:rFonts w:cstheme="minorHAnsi"/>
        </w:rPr>
        <w:t xml:space="preserve">likely </w:t>
      </w:r>
      <w:r w:rsidR="00D768B4">
        <w:rPr>
          <w:rFonts w:cstheme="minorHAnsi"/>
        </w:rPr>
        <w:t xml:space="preserve">that </w:t>
      </w:r>
      <w:r w:rsidR="00056444">
        <w:rPr>
          <w:rFonts w:cstheme="minorHAnsi"/>
        </w:rPr>
        <w:t xml:space="preserve">GHG </w:t>
      </w:r>
      <w:r w:rsidR="00D768B4">
        <w:rPr>
          <w:rFonts w:cstheme="minorHAnsi"/>
        </w:rPr>
        <w:t xml:space="preserve">applications </w:t>
      </w:r>
      <w:r w:rsidR="00056444">
        <w:rPr>
          <w:rFonts w:cstheme="minorHAnsi"/>
        </w:rPr>
        <w:t xml:space="preserve">will </w:t>
      </w:r>
      <w:r w:rsidR="00D768B4">
        <w:rPr>
          <w:rFonts w:cstheme="minorHAnsi"/>
        </w:rPr>
        <w:t>remain</w:t>
      </w:r>
      <w:r w:rsidR="00056444">
        <w:rPr>
          <w:rFonts w:cstheme="minorHAnsi"/>
        </w:rPr>
        <w:t xml:space="preserve"> and continue to become more</w:t>
      </w:r>
      <w:r w:rsidR="00D768B4">
        <w:rPr>
          <w:rFonts w:cstheme="minorHAnsi"/>
        </w:rPr>
        <w:t xml:space="preserve"> complex </w:t>
      </w:r>
      <w:r w:rsidR="00056444">
        <w:rPr>
          <w:rFonts w:cstheme="minorHAnsi"/>
        </w:rPr>
        <w:t>as the industry matures</w:t>
      </w:r>
      <w:r w:rsidR="003E6ACA">
        <w:rPr>
          <w:rFonts w:cstheme="minorHAnsi"/>
        </w:rPr>
        <w:t xml:space="preserve"> consistent with trends seen in petroleum</w:t>
      </w:r>
      <w:r w:rsidR="00007F14" w:rsidRPr="00BE4D82">
        <w:rPr>
          <w:rFonts w:cstheme="minorHAnsi"/>
        </w:rPr>
        <w:t>.</w:t>
      </w:r>
    </w:p>
    <w:p w14:paraId="3A1B3350" w14:textId="77777777" w:rsidR="00900F09" w:rsidRDefault="00900F09" w:rsidP="00007F14">
      <w:pPr>
        <w:rPr>
          <w:rFonts w:cstheme="minorHAnsi"/>
          <w:i/>
          <w:iCs/>
        </w:rPr>
      </w:pPr>
    </w:p>
    <w:p w14:paraId="1B6E3F9D" w14:textId="66E1D67A" w:rsidR="00481982" w:rsidRDefault="00957751" w:rsidP="00007F14">
      <w:pPr>
        <w:rPr>
          <w:rFonts w:cstheme="minorHAnsi"/>
        </w:rPr>
      </w:pPr>
      <w:r>
        <w:rPr>
          <w:rFonts w:cstheme="minorHAnsi"/>
          <w:i/>
          <w:iCs/>
        </w:rPr>
        <w:t>Developing and maintain</w:t>
      </w:r>
      <w:r w:rsidR="00B14FBC">
        <w:rPr>
          <w:rFonts w:cstheme="minorHAnsi"/>
          <w:i/>
          <w:iCs/>
        </w:rPr>
        <w:t>ing</w:t>
      </w:r>
      <w:r>
        <w:rPr>
          <w:rFonts w:cstheme="minorHAnsi"/>
          <w:i/>
          <w:iCs/>
        </w:rPr>
        <w:t xml:space="preserve"> a competent capacity to</w:t>
      </w:r>
      <w:r w:rsidR="008919EE">
        <w:rPr>
          <w:rFonts w:cstheme="minorHAnsi"/>
          <w:i/>
          <w:iCs/>
        </w:rPr>
        <w:t xml:space="preserve"> assess complex transactions and manage late life assets</w:t>
      </w:r>
      <w:r>
        <w:rPr>
          <w:rFonts w:cstheme="minorHAnsi"/>
          <w:i/>
          <w:iCs/>
        </w:rPr>
        <w:t xml:space="preserve"> </w:t>
      </w:r>
      <w:r w:rsidR="00007F14" w:rsidRPr="00BE4D82">
        <w:rPr>
          <w:rStyle w:val="FootnoteReference"/>
          <w:rFonts w:cstheme="minorHAnsi"/>
        </w:rPr>
        <w:footnoteReference w:id="20"/>
      </w:r>
      <w:r w:rsidR="00007F14" w:rsidRPr="00BE4D82">
        <w:rPr>
          <w:rFonts w:cstheme="minorHAnsi"/>
        </w:rPr>
        <w:t xml:space="preserve"> </w:t>
      </w:r>
    </w:p>
    <w:p w14:paraId="2CF87FD3" w14:textId="7B997046" w:rsidR="006478CE" w:rsidRDefault="006478CE" w:rsidP="32E816A6">
      <w:r w:rsidRPr="32E816A6">
        <w:t xml:space="preserve">As production matures </w:t>
      </w:r>
      <w:r w:rsidR="6BA5B3CD" w:rsidRPr="32E816A6">
        <w:t xml:space="preserve">and declines </w:t>
      </w:r>
      <w:r w:rsidRPr="32E816A6">
        <w:t>across projects, NOPTA has maintained engagement with titleholders responsible for late-life fields, focusing on understanding the current operational, commercial and economic conditions. A focus remains on ensuring that all opportunities to extend production of available resources are considered, while confirming that adequate decommissioning planning is occurring for existing infrastructure. During 2023-24, decommissioning planning and operational activity continued to take place, with various work scopes undertaken for projects in the Gippsland, Northern Carnarvon and Bonaparte basins</w:t>
      </w:r>
      <w:r w:rsidR="001F1A49" w:rsidRPr="32E816A6">
        <w:t>.</w:t>
      </w:r>
    </w:p>
    <w:p w14:paraId="69AA9F4B" w14:textId="557208EB" w:rsidR="00FE7B99" w:rsidRDefault="006130D0" w:rsidP="2D5727FD">
      <w:r w:rsidRPr="2D5727FD">
        <w:t>I</w:t>
      </w:r>
      <w:r w:rsidR="00DD6AC6" w:rsidRPr="2D5727FD">
        <w:t>ncreas</w:t>
      </w:r>
      <w:r w:rsidR="008241B2" w:rsidRPr="2D5727FD">
        <w:t>ingly comple</w:t>
      </w:r>
      <w:r w:rsidRPr="2D5727FD">
        <w:t>x</w:t>
      </w:r>
      <w:r w:rsidR="00DD6AC6" w:rsidRPr="2D5727FD">
        <w:t xml:space="preserve"> commercial transactions</w:t>
      </w:r>
      <w:r w:rsidR="006C5E2B" w:rsidRPr="2D5727FD">
        <w:t xml:space="preserve"> (transfers or change in</w:t>
      </w:r>
      <w:r w:rsidR="00C22656" w:rsidRPr="2D5727FD">
        <w:t xml:space="preserve"> company</w:t>
      </w:r>
      <w:r w:rsidR="006C5E2B" w:rsidRPr="2D5727FD">
        <w:t xml:space="preserve"> control)</w:t>
      </w:r>
      <w:r w:rsidR="00DD6AC6" w:rsidRPr="2D5727FD">
        <w:t xml:space="preserve"> between titleholders is </w:t>
      </w:r>
      <w:r w:rsidR="00007F14" w:rsidRPr="2D5727FD">
        <w:t>part of the</w:t>
      </w:r>
      <w:r w:rsidR="00950271" w:rsidRPr="2D5727FD">
        <w:t xml:space="preserve"> observed</w:t>
      </w:r>
      <w:r w:rsidR="00007F14" w:rsidRPr="2D5727FD">
        <w:t xml:space="preserve"> longer-term trend of</w:t>
      </w:r>
      <w:r w:rsidR="00950271" w:rsidRPr="2D5727FD">
        <w:t xml:space="preserve"> a</w:t>
      </w:r>
      <w:r w:rsidR="00007F14" w:rsidRPr="2D5727FD">
        <w:t xml:space="preserve"> maturing</w:t>
      </w:r>
      <w:r w:rsidR="00950271" w:rsidRPr="2D5727FD">
        <w:t xml:space="preserve"> offshore petroleum industry</w:t>
      </w:r>
      <w:r w:rsidR="00B97874" w:rsidRPr="2D5727FD">
        <w:t>. Moving forward</w:t>
      </w:r>
      <w:r w:rsidR="00007F14" w:rsidRPr="2D5727FD">
        <w:t>,</w:t>
      </w:r>
      <w:r w:rsidR="00B97874" w:rsidRPr="2D5727FD">
        <w:t xml:space="preserve"> NOPTA expects</w:t>
      </w:r>
      <w:r w:rsidR="00007F14" w:rsidRPr="2D5727FD">
        <w:t xml:space="preserve"> </w:t>
      </w:r>
      <w:r w:rsidR="00F41A65" w:rsidRPr="2D5727FD">
        <w:t xml:space="preserve">to see </w:t>
      </w:r>
      <w:r w:rsidR="004F7D93" w:rsidRPr="2D5727FD">
        <w:t>a continued</w:t>
      </w:r>
      <w:r w:rsidR="00007F14" w:rsidRPr="2D5727FD">
        <w:t xml:space="preserve"> increase </w:t>
      </w:r>
      <w:r w:rsidR="002960A4" w:rsidRPr="2D5727FD">
        <w:t>in the</w:t>
      </w:r>
      <w:r w:rsidR="009D34C8" w:rsidRPr="2D5727FD">
        <w:t xml:space="preserve"> frequency and complexity of</w:t>
      </w:r>
      <w:r w:rsidR="002960A4" w:rsidRPr="2D5727FD">
        <w:t xml:space="preserve"> </w:t>
      </w:r>
      <w:r w:rsidR="009D34C8" w:rsidRPr="2D5727FD">
        <w:t xml:space="preserve">these </w:t>
      </w:r>
      <w:r w:rsidR="002960A4" w:rsidRPr="2D5727FD">
        <w:t>transaction</w:t>
      </w:r>
      <w:r w:rsidR="009D34C8" w:rsidRPr="2D5727FD">
        <w:t xml:space="preserve"> types</w:t>
      </w:r>
      <w:r w:rsidR="00007F14" w:rsidRPr="2D5727FD">
        <w:t xml:space="preserve"> as</w:t>
      </w:r>
      <w:r w:rsidR="00950271" w:rsidRPr="2D5727FD">
        <w:t xml:space="preserve"> industry seeks to review and consolidate assets in line with their internal company goals and strategies. </w:t>
      </w:r>
      <w:r w:rsidR="00FE7B99" w:rsidRPr="2D5727FD">
        <w:t xml:space="preserve">For example, transfers and dealings continue to make up </w:t>
      </w:r>
      <w:r w:rsidR="00D61117" w:rsidRPr="2D5727FD">
        <w:t xml:space="preserve">over </w:t>
      </w:r>
      <w:r w:rsidR="00593A37" w:rsidRPr="2D5727FD">
        <w:t>57</w:t>
      </w:r>
      <w:r w:rsidR="00D61117" w:rsidRPr="2D5727FD">
        <w:t>% o</w:t>
      </w:r>
      <w:r w:rsidR="00FE7B99" w:rsidRPr="2D5727FD">
        <w:t>f applications</w:t>
      </w:r>
      <w:r w:rsidR="00D61117" w:rsidRPr="2D5727FD">
        <w:t xml:space="preserve"> since 2021-22</w:t>
      </w:r>
      <w:r w:rsidR="005B287B" w:rsidRPr="2D5727FD">
        <w:rPr>
          <w:rStyle w:val="FootnoteReference"/>
        </w:rPr>
        <w:footnoteReference w:id="21"/>
      </w:r>
      <w:r w:rsidR="00FE7B99" w:rsidRPr="2D5727FD">
        <w:t xml:space="preserve">. </w:t>
      </w:r>
    </w:p>
    <w:p w14:paraId="147CE9C4" w14:textId="495441C0" w:rsidR="00C314B4" w:rsidRPr="0078765C" w:rsidRDefault="0D8E4601" w:rsidP="0339C496">
      <w:r>
        <w:t xml:space="preserve">NOPTA must maintain a clear understanding of the current commercial and economic conditions of projects; confirm the technical capacity of applicants to decommission infrastructure; and provide advice to the responsible Commonwealth Minister on the financial capacity of titleholders to meet future decommissioning obligations (as requested). </w:t>
      </w:r>
      <w:r w:rsidR="637E83F9">
        <w:t>Along with an increased volume and complexity in change of company control there has been an increase</w:t>
      </w:r>
      <w:r w:rsidR="4C6637AF">
        <w:t>d</w:t>
      </w:r>
      <w:r w:rsidR="637E83F9">
        <w:t xml:space="preserve"> need to delve deeper into parent companies' structures and locations. </w:t>
      </w:r>
      <w:r>
        <w:t>Th</w:t>
      </w:r>
      <w:r w:rsidR="637E83F9">
        <w:t>ese</w:t>
      </w:r>
      <w:r>
        <w:t xml:space="preserve"> trend</w:t>
      </w:r>
      <w:r w:rsidR="637E83F9">
        <w:t>s</w:t>
      </w:r>
      <w:r>
        <w:t xml:space="preserve"> </w:t>
      </w:r>
      <w:r w:rsidR="637E83F9">
        <w:t>are</w:t>
      </w:r>
      <w:r>
        <w:t xml:space="preserve"> expected to continue as more titles reach late life, </w:t>
      </w:r>
      <w:r w:rsidR="63EE8798">
        <w:t>projects undertake</w:t>
      </w:r>
      <w:r w:rsidR="21DC75F0">
        <w:t xml:space="preserve"> </w:t>
      </w:r>
      <w:r w:rsidR="659D50DF">
        <w:t>decommissioning,</w:t>
      </w:r>
      <w:r w:rsidR="7F3CD6F2">
        <w:t xml:space="preserve"> and titles are</w:t>
      </w:r>
      <w:r>
        <w:t xml:space="preserve"> surrendered.</w:t>
      </w:r>
    </w:p>
    <w:p w14:paraId="24F0E923" w14:textId="0968D48B" w:rsidR="00652879" w:rsidRDefault="0078765C" w:rsidP="00007F14">
      <w:pPr>
        <w:rPr>
          <w:rFonts w:cstheme="minorHAnsi"/>
        </w:rPr>
      </w:pPr>
      <w:r w:rsidRPr="00A41B4A">
        <w:rPr>
          <w:rFonts w:cstheme="minorHAnsi"/>
        </w:rPr>
        <w:t xml:space="preserve">With increasingly complex titles transactions, </w:t>
      </w:r>
      <w:r w:rsidR="00D61117" w:rsidRPr="00A41B4A">
        <w:rPr>
          <w:rFonts w:cstheme="minorHAnsi"/>
        </w:rPr>
        <w:t xml:space="preserve">and </w:t>
      </w:r>
      <w:r w:rsidR="0093363B">
        <w:rPr>
          <w:rFonts w:cstheme="minorHAnsi"/>
        </w:rPr>
        <w:t>additional</w:t>
      </w:r>
      <w:r w:rsidR="00D61117" w:rsidRPr="00A41B4A">
        <w:rPr>
          <w:rFonts w:cstheme="minorHAnsi"/>
        </w:rPr>
        <w:t xml:space="preserve"> administrative requirements on NOPTA under section 695YB and 695YC of the OPGGS Act</w:t>
      </w:r>
      <w:r w:rsidR="00D61117" w:rsidRPr="00A41B4A">
        <w:rPr>
          <w:rStyle w:val="FootnoteReference"/>
          <w:rFonts w:cstheme="minorHAnsi"/>
        </w:rPr>
        <w:footnoteReference w:id="22"/>
      </w:r>
      <w:r w:rsidR="00D61117" w:rsidRPr="00A41B4A">
        <w:rPr>
          <w:rFonts w:cstheme="minorHAnsi"/>
        </w:rPr>
        <w:t xml:space="preserve">, </w:t>
      </w:r>
      <w:r w:rsidRPr="00A41B4A">
        <w:rPr>
          <w:rFonts w:cstheme="minorHAnsi"/>
        </w:rPr>
        <w:t xml:space="preserve">NOPTA </w:t>
      </w:r>
      <w:r w:rsidR="00D61117" w:rsidRPr="00A41B4A">
        <w:rPr>
          <w:rFonts w:cstheme="minorHAnsi"/>
        </w:rPr>
        <w:t>must</w:t>
      </w:r>
      <w:r w:rsidRPr="00A41B4A">
        <w:rPr>
          <w:rFonts w:cstheme="minorHAnsi"/>
        </w:rPr>
        <w:t xml:space="preserve"> ensure it has </w:t>
      </w:r>
      <w:r w:rsidR="00FE7B99" w:rsidRPr="00A41B4A">
        <w:rPr>
          <w:rFonts w:cstheme="minorHAnsi"/>
        </w:rPr>
        <w:t xml:space="preserve">sufficient resourcing and </w:t>
      </w:r>
      <w:r w:rsidRPr="00A41B4A">
        <w:rPr>
          <w:rFonts w:cstheme="minorHAnsi"/>
        </w:rPr>
        <w:t xml:space="preserve">access to the right depth of capabilities to undertake these </w:t>
      </w:r>
      <w:r w:rsidR="00D61117" w:rsidRPr="00A41B4A">
        <w:rPr>
          <w:rFonts w:cstheme="minorHAnsi"/>
        </w:rPr>
        <w:t>assessments</w:t>
      </w:r>
      <w:r w:rsidR="007F3B33" w:rsidRPr="00A41B4A">
        <w:rPr>
          <w:rFonts w:cstheme="minorHAnsi"/>
        </w:rPr>
        <w:t>.</w:t>
      </w:r>
      <w:r w:rsidR="00977B50">
        <w:rPr>
          <w:rFonts w:cstheme="minorHAnsi"/>
        </w:rPr>
        <w:t xml:space="preserve"> </w:t>
      </w:r>
      <w:r w:rsidR="004323E6">
        <w:rPr>
          <w:rFonts w:cstheme="minorHAnsi"/>
        </w:rPr>
        <w:t xml:space="preserve">To facilitate this, NOPTA’s Commercial team has been restructured into </w:t>
      </w:r>
      <w:r w:rsidR="00FB7385">
        <w:rPr>
          <w:rFonts w:cstheme="minorHAnsi"/>
        </w:rPr>
        <w:t>two</w:t>
      </w:r>
      <w:r w:rsidR="004323E6">
        <w:rPr>
          <w:rFonts w:cstheme="minorHAnsi"/>
        </w:rPr>
        <w:t xml:space="preserve"> teams (Economic Analysis and Suitability Assessment)</w:t>
      </w:r>
      <w:r w:rsidR="004323E6" w:rsidRPr="00A41B4A">
        <w:rPr>
          <w:rFonts w:cstheme="minorHAnsi"/>
        </w:rPr>
        <w:t xml:space="preserve"> </w:t>
      </w:r>
      <w:r w:rsidR="004323E6">
        <w:rPr>
          <w:rFonts w:cstheme="minorHAnsi"/>
        </w:rPr>
        <w:t>s</w:t>
      </w:r>
      <w:r w:rsidR="00073C96">
        <w:rPr>
          <w:rFonts w:cstheme="minorHAnsi"/>
        </w:rPr>
        <w:t>ince the 2025 CRIS</w:t>
      </w:r>
      <w:r w:rsidR="004323E6">
        <w:rPr>
          <w:rFonts w:cstheme="minorHAnsi"/>
        </w:rPr>
        <w:t>.</w:t>
      </w:r>
      <w:r w:rsidR="00073C96">
        <w:rPr>
          <w:rFonts w:cstheme="minorHAnsi"/>
        </w:rPr>
        <w:t xml:space="preserve"> </w:t>
      </w:r>
    </w:p>
    <w:p w14:paraId="4431163F" w14:textId="1D33DA05" w:rsidR="00007F14" w:rsidRPr="00BE4D82" w:rsidRDefault="00007F14" w:rsidP="00007F14">
      <w:pPr>
        <w:rPr>
          <w:rFonts w:cstheme="minorHAnsi"/>
          <w:i/>
          <w:iCs/>
        </w:rPr>
      </w:pPr>
      <w:r w:rsidRPr="00402183">
        <w:rPr>
          <w:rFonts w:cstheme="minorHAnsi"/>
          <w:i/>
          <w:iCs/>
        </w:rPr>
        <w:t xml:space="preserve">Increasing </w:t>
      </w:r>
      <w:r w:rsidR="00484862">
        <w:rPr>
          <w:rFonts w:cstheme="minorHAnsi"/>
          <w:i/>
          <w:iCs/>
        </w:rPr>
        <w:t>supplier, employee costs</w:t>
      </w:r>
      <w:r w:rsidR="00712E4F">
        <w:rPr>
          <w:rFonts w:cstheme="minorHAnsi"/>
          <w:i/>
          <w:iCs/>
        </w:rPr>
        <w:t xml:space="preserve"> and in</w:t>
      </w:r>
      <w:r w:rsidR="00426349">
        <w:rPr>
          <w:rFonts w:cstheme="minorHAnsi"/>
          <w:i/>
          <w:iCs/>
        </w:rPr>
        <w:t>creased legal complexities</w:t>
      </w:r>
    </w:p>
    <w:p w14:paraId="608FF0B7" w14:textId="77777777" w:rsidR="00C95245" w:rsidRDefault="00045B76" w:rsidP="003904D7">
      <w:pPr>
        <w:widowControl w:val="0"/>
        <w:spacing w:after="0"/>
        <w:rPr>
          <w:rFonts w:cstheme="minorHAnsi"/>
        </w:rPr>
      </w:pPr>
      <w:r w:rsidRPr="00105D75">
        <w:rPr>
          <w:rFonts w:cstheme="minorHAnsi"/>
        </w:rPr>
        <w:t>NOPTA has</w:t>
      </w:r>
      <w:r w:rsidR="00597C76" w:rsidRPr="00105D75">
        <w:rPr>
          <w:rFonts w:cstheme="minorHAnsi"/>
        </w:rPr>
        <w:t xml:space="preserve"> a strong commitment to improving our capability and ensuring a competent capacity. During the past 18 months, the branch has undergone important growth </w:t>
      </w:r>
      <w:proofErr w:type="gramStart"/>
      <w:r w:rsidR="00061777" w:rsidRPr="00105D75">
        <w:rPr>
          <w:rFonts w:cstheme="minorHAnsi"/>
        </w:rPr>
        <w:t>in order to</w:t>
      </w:r>
      <w:proofErr w:type="gramEnd"/>
      <w:r w:rsidR="00597C76" w:rsidRPr="00105D75">
        <w:rPr>
          <w:rFonts w:cstheme="minorHAnsi"/>
        </w:rPr>
        <w:t xml:space="preserve"> perform new functions</w:t>
      </w:r>
      <w:r w:rsidR="00960720" w:rsidRPr="00AC66FC">
        <w:rPr>
          <w:rStyle w:val="FootnoteReference"/>
        </w:rPr>
        <w:footnoteReference w:id="23"/>
      </w:r>
      <w:r w:rsidR="00597C76" w:rsidRPr="00472A3F">
        <w:rPr>
          <w:rStyle w:val="FootnoteReference"/>
        </w:rPr>
        <w:t xml:space="preserve"> </w:t>
      </w:r>
      <w:r w:rsidR="00597C76" w:rsidRPr="00105D75">
        <w:rPr>
          <w:rFonts w:cstheme="minorHAnsi"/>
        </w:rPr>
        <w:t xml:space="preserve">and ensure </w:t>
      </w:r>
      <w:r w:rsidR="00061777" w:rsidRPr="00105D75">
        <w:rPr>
          <w:rFonts w:cstheme="minorHAnsi"/>
        </w:rPr>
        <w:t>NOPTA’s</w:t>
      </w:r>
      <w:r w:rsidR="00597C76" w:rsidRPr="00105D75">
        <w:rPr>
          <w:rFonts w:cstheme="minorHAnsi"/>
        </w:rPr>
        <w:t xml:space="preserve"> quality assurance, business and legal support structures are fit for purpose. </w:t>
      </w:r>
      <w:r w:rsidR="00007F14" w:rsidRPr="00105D75">
        <w:rPr>
          <w:rFonts w:cstheme="minorHAnsi"/>
        </w:rPr>
        <w:t>Employee costs are NOPTA’s largest cost driver</w:t>
      </w:r>
      <w:r w:rsidR="001B4A1C" w:rsidRPr="00105D75">
        <w:rPr>
          <w:rFonts w:cstheme="minorHAnsi"/>
        </w:rPr>
        <w:t xml:space="preserve"> and have increased significantly over the last 12 months</w:t>
      </w:r>
      <w:r w:rsidR="00007F14" w:rsidRPr="00105D75">
        <w:rPr>
          <w:rFonts w:cstheme="minorHAnsi"/>
        </w:rPr>
        <w:t>.</w:t>
      </w:r>
      <w:r w:rsidR="00B97D9A" w:rsidRPr="00AC66FC">
        <w:rPr>
          <w:rStyle w:val="FootnoteReference"/>
        </w:rPr>
        <w:footnoteReference w:id="24"/>
      </w:r>
      <w:r w:rsidR="00747AE6" w:rsidRPr="00472A3F">
        <w:rPr>
          <w:rStyle w:val="FootnoteReference"/>
        </w:rPr>
        <w:t xml:space="preserve"> </w:t>
      </w:r>
      <w:r w:rsidR="00353BEF" w:rsidRPr="00AC66FC">
        <w:rPr>
          <w:rFonts w:cstheme="minorHAnsi"/>
        </w:rPr>
        <w:t>The</w:t>
      </w:r>
      <w:r w:rsidR="00353BEF" w:rsidRPr="00BF4B3C">
        <w:rPr>
          <w:rFonts w:cstheme="minorHAnsi"/>
        </w:rPr>
        <w:t xml:space="preserve"> increase </w:t>
      </w:r>
      <w:r w:rsidR="00744ADE">
        <w:rPr>
          <w:rFonts w:cstheme="minorHAnsi"/>
        </w:rPr>
        <w:t>is</w:t>
      </w:r>
      <w:r w:rsidR="00744ADE" w:rsidRPr="00BF4B3C">
        <w:rPr>
          <w:rFonts w:cstheme="minorHAnsi"/>
        </w:rPr>
        <w:t xml:space="preserve"> </w:t>
      </w:r>
      <w:r w:rsidR="00353BEF" w:rsidRPr="00BF4B3C">
        <w:rPr>
          <w:rFonts w:cstheme="minorHAnsi"/>
        </w:rPr>
        <w:t xml:space="preserve">driven by the recruitment of additional staff </w:t>
      </w:r>
      <w:r w:rsidR="00353BEF" w:rsidRPr="00423EAD">
        <w:rPr>
          <w:rFonts w:cstheme="minorHAnsi"/>
        </w:rPr>
        <w:t xml:space="preserve">to fill known </w:t>
      </w:r>
      <w:r w:rsidR="003904D7">
        <w:rPr>
          <w:rFonts w:cstheme="minorHAnsi"/>
        </w:rPr>
        <w:t xml:space="preserve">capacity and capability </w:t>
      </w:r>
      <w:r w:rsidR="00353BEF" w:rsidRPr="00423EAD">
        <w:rPr>
          <w:rFonts w:cstheme="minorHAnsi"/>
        </w:rPr>
        <w:t xml:space="preserve">gaps </w:t>
      </w:r>
      <w:r w:rsidR="00353BEF">
        <w:rPr>
          <w:rFonts w:cstheme="minorHAnsi"/>
        </w:rPr>
        <w:t>as</w:t>
      </w:r>
      <w:r w:rsidR="00353BEF" w:rsidRPr="00423EAD">
        <w:rPr>
          <w:rFonts w:cstheme="minorHAnsi"/>
        </w:rPr>
        <w:t xml:space="preserve"> </w:t>
      </w:r>
      <w:r w:rsidR="003904D7" w:rsidRPr="00423EAD">
        <w:rPr>
          <w:rFonts w:cstheme="minorHAnsi"/>
        </w:rPr>
        <w:t>acknowledged</w:t>
      </w:r>
      <w:r w:rsidR="00353BEF" w:rsidRPr="00423EAD">
        <w:rPr>
          <w:rFonts w:cstheme="minorHAnsi"/>
        </w:rPr>
        <w:t xml:space="preserve"> in the 20</w:t>
      </w:r>
      <w:r w:rsidR="00353BEF">
        <w:rPr>
          <w:rFonts w:cstheme="minorHAnsi"/>
        </w:rPr>
        <w:t xml:space="preserve">20 </w:t>
      </w:r>
      <w:r w:rsidR="00353BEF" w:rsidRPr="00423EAD">
        <w:rPr>
          <w:rFonts w:cstheme="minorHAnsi"/>
        </w:rPr>
        <w:t>Operational Review of NOPTA</w:t>
      </w:r>
      <w:r w:rsidR="00353BEF" w:rsidRPr="00AC66FC">
        <w:rPr>
          <w:rStyle w:val="FootnoteReference"/>
        </w:rPr>
        <w:footnoteReference w:id="25"/>
      </w:r>
      <w:r w:rsidR="00353BEF" w:rsidRPr="00AC66FC">
        <w:rPr>
          <w:rFonts w:cstheme="minorHAnsi"/>
        </w:rPr>
        <w:t>.</w:t>
      </w:r>
      <w:r w:rsidR="00353BEF" w:rsidRPr="00423EAD">
        <w:rPr>
          <w:rFonts w:cstheme="minorHAnsi"/>
        </w:rPr>
        <w:t xml:space="preserve"> </w:t>
      </w:r>
    </w:p>
    <w:p w14:paraId="7D884D1D" w14:textId="77777777" w:rsidR="00C95245" w:rsidRDefault="00C95245" w:rsidP="003904D7">
      <w:pPr>
        <w:widowControl w:val="0"/>
        <w:spacing w:after="0"/>
        <w:rPr>
          <w:rFonts w:cstheme="minorHAnsi"/>
        </w:rPr>
      </w:pPr>
    </w:p>
    <w:p w14:paraId="2873B650" w14:textId="0BEF3E2F" w:rsidR="00FD4A5B" w:rsidRPr="00747AE6" w:rsidRDefault="00B761B0" w:rsidP="003904D7">
      <w:pPr>
        <w:widowControl w:val="0"/>
        <w:spacing w:after="0"/>
        <w:rPr>
          <w:rFonts w:cstheme="minorHAnsi"/>
        </w:rPr>
      </w:pPr>
      <w:r>
        <w:rPr>
          <w:rFonts w:cstheme="minorHAnsi"/>
        </w:rPr>
        <w:t>In addition</w:t>
      </w:r>
      <w:r w:rsidR="00520C13">
        <w:rPr>
          <w:rFonts w:cstheme="minorHAnsi"/>
        </w:rPr>
        <w:t xml:space="preserve">, </w:t>
      </w:r>
      <w:r w:rsidR="00FE2411">
        <w:rPr>
          <w:rFonts w:cstheme="minorHAnsi"/>
        </w:rPr>
        <w:t xml:space="preserve">with </w:t>
      </w:r>
      <w:r w:rsidR="00520C13" w:rsidRPr="00105D75">
        <w:rPr>
          <w:rFonts w:cstheme="minorHAnsi"/>
        </w:rPr>
        <w:t>i</w:t>
      </w:r>
      <w:r w:rsidR="00F81D48" w:rsidRPr="00105D75">
        <w:rPr>
          <w:rFonts w:cstheme="minorHAnsi"/>
        </w:rPr>
        <w:t>ncreasing l</w:t>
      </w:r>
      <w:r w:rsidR="00517BCD" w:rsidRPr="00105D75">
        <w:rPr>
          <w:rFonts w:cstheme="minorHAnsi"/>
        </w:rPr>
        <w:t>egal complexities</w:t>
      </w:r>
      <w:r w:rsidR="006923B8">
        <w:rPr>
          <w:rFonts w:cstheme="minorHAnsi"/>
        </w:rPr>
        <w:t>,</w:t>
      </w:r>
      <w:r w:rsidR="00517BCD" w:rsidRPr="00105D75">
        <w:rPr>
          <w:rFonts w:cstheme="minorHAnsi"/>
        </w:rPr>
        <w:t xml:space="preserve"> </w:t>
      </w:r>
      <w:r w:rsidR="00FE2411">
        <w:rPr>
          <w:rFonts w:cstheme="minorHAnsi"/>
        </w:rPr>
        <w:t xml:space="preserve">the </w:t>
      </w:r>
      <w:r w:rsidR="00792BED">
        <w:rPr>
          <w:rFonts w:cstheme="minorHAnsi"/>
        </w:rPr>
        <w:t>implementation</w:t>
      </w:r>
      <w:r w:rsidR="00C17CCD">
        <w:rPr>
          <w:rFonts w:cstheme="minorHAnsi"/>
        </w:rPr>
        <w:t xml:space="preserve"> </w:t>
      </w:r>
      <w:r w:rsidR="00FE2411">
        <w:rPr>
          <w:rFonts w:cstheme="minorHAnsi"/>
        </w:rPr>
        <w:t xml:space="preserve">of </w:t>
      </w:r>
      <w:r w:rsidR="00C17CCD">
        <w:rPr>
          <w:rFonts w:cstheme="minorHAnsi"/>
        </w:rPr>
        <w:t>new</w:t>
      </w:r>
      <w:r w:rsidR="00517BCD" w:rsidRPr="00105D75">
        <w:rPr>
          <w:rFonts w:cstheme="minorHAnsi"/>
        </w:rPr>
        <w:t xml:space="preserve"> regulatory requirements</w:t>
      </w:r>
      <w:r w:rsidR="00A65E75">
        <w:rPr>
          <w:rFonts w:cstheme="minorHAnsi"/>
        </w:rPr>
        <w:t xml:space="preserve"> </w:t>
      </w:r>
      <w:r w:rsidR="00837203">
        <w:rPr>
          <w:rFonts w:cstheme="minorHAnsi"/>
        </w:rPr>
        <w:t>(</w:t>
      </w:r>
      <w:r w:rsidR="00A65E75">
        <w:rPr>
          <w:rFonts w:cstheme="minorHAnsi"/>
        </w:rPr>
        <w:t>particularly in relation to change in control applications</w:t>
      </w:r>
      <w:r w:rsidR="00837203">
        <w:rPr>
          <w:rFonts w:cstheme="minorHAnsi"/>
        </w:rPr>
        <w:t>)</w:t>
      </w:r>
      <w:r w:rsidR="00237D34">
        <w:rPr>
          <w:rFonts w:cstheme="minorHAnsi"/>
        </w:rPr>
        <w:t>,</w:t>
      </w:r>
      <w:r w:rsidR="00517BCD" w:rsidRPr="00105D75">
        <w:rPr>
          <w:rFonts w:cstheme="minorHAnsi"/>
        </w:rPr>
        <w:t xml:space="preserve"> </w:t>
      </w:r>
      <w:r w:rsidR="006923B8">
        <w:rPr>
          <w:rFonts w:cstheme="minorHAnsi"/>
        </w:rPr>
        <w:t xml:space="preserve">and </w:t>
      </w:r>
      <w:r w:rsidR="009E18CC">
        <w:rPr>
          <w:rFonts w:cstheme="minorHAnsi"/>
        </w:rPr>
        <w:t xml:space="preserve">the </w:t>
      </w:r>
      <w:r w:rsidR="00306816">
        <w:rPr>
          <w:rFonts w:cstheme="minorHAnsi"/>
        </w:rPr>
        <w:t>utilis</w:t>
      </w:r>
      <w:r w:rsidR="009E18CC">
        <w:rPr>
          <w:rFonts w:cstheme="minorHAnsi"/>
        </w:rPr>
        <w:t>ation of</w:t>
      </w:r>
      <w:r w:rsidR="0003309E">
        <w:rPr>
          <w:rFonts w:cstheme="minorHAnsi"/>
        </w:rPr>
        <w:t xml:space="preserve"> the GHG provisions </w:t>
      </w:r>
      <w:r w:rsidR="009E18CC">
        <w:rPr>
          <w:rFonts w:cstheme="minorHAnsi"/>
        </w:rPr>
        <w:t>within</w:t>
      </w:r>
      <w:r w:rsidR="0003309E">
        <w:rPr>
          <w:rFonts w:cstheme="minorHAnsi"/>
        </w:rPr>
        <w:t xml:space="preserve"> the OPPGS Act </w:t>
      </w:r>
      <w:r w:rsidR="00237D34">
        <w:rPr>
          <w:rFonts w:cstheme="minorHAnsi"/>
        </w:rPr>
        <w:t>for the first time</w:t>
      </w:r>
      <w:r w:rsidR="009E18CC">
        <w:rPr>
          <w:rFonts w:cstheme="minorHAnsi"/>
        </w:rPr>
        <w:t>,</w:t>
      </w:r>
      <w:r w:rsidR="00F81D48" w:rsidRPr="00105D75">
        <w:rPr>
          <w:rFonts w:cstheme="minorHAnsi"/>
        </w:rPr>
        <w:t xml:space="preserve"> </w:t>
      </w:r>
      <w:r w:rsidR="005E6F81" w:rsidRPr="00105D75">
        <w:rPr>
          <w:rFonts w:cstheme="minorHAnsi"/>
        </w:rPr>
        <w:t xml:space="preserve">NOPTA </w:t>
      </w:r>
      <w:r w:rsidR="001073F2">
        <w:rPr>
          <w:rFonts w:cstheme="minorHAnsi"/>
        </w:rPr>
        <w:t xml:space="preserve">has </w:t>
      </w:r>
      <w:r w:rsidR="005E6F81" w:rsidRPr="00105D75">
        <w:rPr>
          <w:rFonts w:cstheme="minorHAnsi"/>
        </w:rPr>
        <w:t>recruit</w:t>
      </w:r>
      <w:r w:rsidR="00F5441D">
        <w:rPr>
          <w:rFonts w:cstheme="minorHAnsi"/>
        </w:rPr>
        <w:t>ed</w:t>
      </w:r>
      <w:r w:rsidR="003F63A3" w:rsidRPr="00105D75">
        <w:rPr>
          <w:rFonts w:cstheme="minorHAnsi"/>
        </w:rPr>
        <w:t xml:space="preserve"> skilled staff</w:t>
      </w:r>
      <w:r w:rsidR="005E6F81" w:rsidRPr="00105D75">
        <w:rPr>
          <w:rFonts w:cstheme="minorHAnsi"/>
        </w:rPr>
        <w:t xml:space="preserve"> </w:t>
      </w:r>
      <w:r w:rsidR="0007109E">
        <w:rPr>
          <w:rFonts w:cstheme="minorHAnsi"/>
        </w:rPr>
        <w:t>and increase</w:t>
      </w:r>
      <w:r w:rsidR="00F5441D">
        <w:rPr>
          <w:rFonts w:cstheme="minorHAnsi"/>
        </w:rPr>
        <w:t>d</w:t>
      </w:r>
      <w:r w:rsidR="0007109E">
        <w:rPr>
          <w:rFonts w:cstheme="minorHAnsi"/>
        </w:rPr>
        <w:t xml:space="preserve"> funding for the</w:t>
      </w:r>
      <w:r w:rsidR="001557EC">
        <w:rPr>
          <w:rFonts w:cstheme="minorHAnsi"/>
        </w:rPr>
        <w:t xml:space="preserve"> </w:t>
      </w:r>
      <w:r w:rsidR="0007109E">
        <w:rPr>
          <w:rFonts w:cstheme="minorHAnsi"/>
        </w:rPr>
        <w:t>D</w:t>
      </w:r>
      <w:r w:rsidR="001557EC">
        <w:rPr>
          <w:rFonts w:cstheme="minorHAnsi"/>
        </w:rPr>
        <w:t>epartment’s legal are</w:t>
      </w:r>
      <w:r w:rsidR="009111AD">
        <w:rPr>
          <w:rFonts w:cstheme="minorHAnsi"/>
        </w:rPr>
        <w:t>a for specialist legal advice</w:t>
      </w:r>
      <w:r w:rsidR="001719E2" w:rsidRPr="00105D75">
        <w:rPr>
          <w:rFonts w:cstheme="minorHAnsi"/>
        </w:rPr>
        <w:t>.</w:t>
      </w:r>
    </w:p>
    <w:p w14:paraId="70472322" w14:textId="77777777" w:rsidR="006E29CB" w:rsidRPr="00BF4B3C" w:rsidRDefault="006E29CB" w:rsidP="003904D7">
      <w:pPr>
        <w:widowControl w:val="0"/>
        <w:spacing w:after="0"/>
        <w:rPr>
          <w:rFonts w:cstheme="minorHAnsi"/>
        </w:rPr>
      </w:pPr>
    </w:p>
    <w:p w14:paraId="735C625F" w14:textId="4ED9A1EF" w:rsidR="001A32EC" w:rsidRDefault="001A32EC" w:rsidP="0021417B">
      <w:pPr>
        <w:rPr>
          <w:rFonts w:cstheme="minorHAnsi"/>
        </w:rPr>
      </w:pPr>
      <w:r>
        <w:rPr>
          <w:rFonts w:cstheme="minorHAnsi"/>
        </w:rPr>
        <w:t xml:space="preserve">Increasing supplier costs also represent a significant financial risk for NOPTA. </w:t>
      </w:r>
      <w:r w:rsidRPr="00200086">
        <w:rPr>
          <w:rFonts w:cstheme="minorHAnsi"/>
        </w:rPr>
        <w:t xml:space="preserve">NOPTA’s </w:t>
      </w:r>
      <w:r w:rsidR="00397C3E">
        <w:rPr>
          <w:rFonts w:cstheme="minorHAnsi"/>
        </w:rPr>
        <w:t>I</w:t>
      </w:r>
      <w:r w:rsidR="00AE0BDD">
        <w:rPr>
          <w:rFonts w:cstheme="minorHAnsi"/>
        </w:rPr>
        <w:t>C</w:t>
      </w:r>
      <w:r w:rsidR="00397C3E">
        <w:rPr>
          <w:rFonts w:cstheme="minorHAnsi"/>
        </w:rPr>
        <w:t xml:space="preserve">T </w:t>
      </w:r>
      <w:r w:rsidRPr="00200086">
        <w:rPr>
          <w:rFonts w:cstheme="minorHAnsi"/>
        </w:rPr>
        <w:t>systems for supporting the delivery of titles administration activities are primarily delivered through outsourcing</w:t>
      </w:r>
      <w:r>
        <w:rPr>
          <w:rFonts w:cstheme="minorHAnsi"/>
        </w:rPr>
        <w:t xml:space="preserve"> </w:t>
      </w:r>
      <w:r w:rsidRPr="00200086">
        <w:rPr>
          <w:rFonts w:cstheme="minorHAnsi"/>
        </w:rPr>
        <w:t>arrangements with service providers, covering application managed services and infrastructure managed services.</w:t>
      </w:r>
      <w:r>
        <w:rPr>
          <w:rFonts w:cstheme="minorHAnsi"/>
        </w:rPr>
        <w:t xml:space="preserve"> Consistent with other areas of the economy, NOPTA’s s</w:t>
      </w:r>
      <w:r w:rsidRPr="00200086">
        <w:rPr>
          <w:rFonts w:cstheme="minorHAnsi"/>
        </w:rPr>
        <w:t xml:space="preserve">ervice and supplier costs </w:t>
      </w:r>
      <w:r>
        <w:rPr>
          <w:rFonts w:cstheme="minorHAnsi"/>
        </w:rPr>
        <w:t xml:space="preserve">have </w:t>
      </w:r>
      <w:r w:rsidRPr="00200086">
        <w:rPr>
          <w:rFonts w:cstheme="minorHAnsi"/>
        </w:rPr>
        <w:t xml:space="preserve">continued to increase in line with consumer price index (CPI). </w:t>
      </w:r>
    </w:p>
    <w:p w14:paraId="39246787" w14:textId="77777777" w:rsidR="00444D37" w:rsidRDefault="00444D37" w:rsidP="0021417B">
      <w:pPr>
        <w:rPr>
          <w:rFonts w:cstheme="minorHAnsi"/>
        </w:rPr>
      </w:pPr>
    </w:p>
    <w:p w14:paraId="4AEF6C00" w14:textId="77777777" w:rsidR="00A20372" w:rsidRDefault="00A20372" w:rsidP="00444D37">
      <w:pPr>
        <w:pStyle w:val="Caption"/>
      </w:pPr>
    </w:p>
    <w:p w14:paraId="690E8C61" w14:textId="77777777" w:rsidR="00A20372" w:rsidRDefault="00A20372" w:rsidP="00444D37">
      <w:pPr>
        <w:pStyle w:val="Caption"/>
      </w:pPr>
    </w:p>
    <w:p w14:paraId="181E5DAD" w14:textId="77777777" w:rsidR="00A20372" w:rsidRDefault="00A20372" w:rsidP="00444D37">
      <w:pPr>
        <w:pStyle w:val="Caption"/>
      </w:pPr>
    </w:p>
    <w:p w14:paraId="0AF02C22" w14:textId="77777777" w:rsidR="00251841" w:rsidRDefault="00251841" w:rsidP="00444D37">
      <w:pPr>
        <w:pStyle w:val="Caption"/>
      </w:pPr>
    </w:p>
    <w:p w14:paraId="497119FD" w14:textId="77777777" w:rsidR="001E3507" w:rsidRDefault="001E3507">
      <w:pPr>
        <w:rPr>
          <w:b/>
          <w:bCs/>
          <w:smallCaps/>
          <w:color w:val="595959" w:themeColor="text1" w:themeTint="A6"/>
          <w:spacing w:val="6"/>
        </w:rPr>
      </w:pPr>
      <w:r>
        <w:br w:type="page"/>
      </w:r>
    </w:p>
    <w:p w14:paraId="1AF1450A" w14:textId="7A442CA6" w:rsidR="004E2194" w:rsidRPr="00444D37" w:rsidRDefault="00647176" w:rsidP="00444D37">
      <w:pPr>
        <w:pStyle w:val="Caption"/>
      </w:pPr>
      <w:r w:rsidRPr="00985504">
        <w:t xml:space="preserve">Table </w:t>
      </w:r>
      <w:r w:rsidR="00AF228C">
        <w:t>4</w:t>
      </w:r>
      <w:r w:rsidRPr="00985504">
        <w:t xml:space="preserve"> </w:t>
      </w:r>
      <w:r w:rsidR="002120E0" w:rsidRPr="00985504">
        <w:t>Allocation of costs between direct and indirect for each activity (average costs across CRIS period 202</w:t>
      </w:r>
      <w:r w:rsidR="00CC3681" w:rsidRPr="00985504">
        <w:t>5</w:t>
      </w:r>
      <w:r w:rsidR="002120E0" w:rsidRPr="00985504">
        <w:t>/2</w:t>
      </w:r>
      <w:r w:rsidR="00806147" w:rsidRPr="00985504">
        <w:t xml:space="preserve">6 </w:t>
      </w:r>
      <w:r w:rsidR="002120E0" w:rsidRPr="00985504">
        <w:t>-</w:t>
      </w:r>
      <w:r w:rsidR="00806147" w:rsidRPr="00985504">
        <w:t xml:space="preserve"> </w:t>
      </w:r>
      <w:r w:rsidR="002120E0" w:rsidRPr="00985504">
        <w:t>2028/29)</w:t>
      </w:r>
    </w:p>
    <w:tbl>
      <w:tblPr>
        <w:tblW w:w="9763" w:type="dxa"/>
        <w:tblLook w:val="04A0" w:firstRow="1" w:lastRow="0" w:firstColumn="1" w:lastColumn="0" w:noHBand="0" w:noVBand="1"/>
      </w:tblPr>
      <w:tblGrid>
        <w:gridCol w:w="872"/>
        <w:gridCol w:w="5409"/>
        <w:gridCol w:w="1306"/>
        <w:gridCol w:w="1171"/>
        <w:gridCol w:w="1016"/>
      </w:tblGrid>
      <w:tr w:rsidR="00FB5C94" w:rsidRPr="00FB5C94" w14:paraId="21EEE0CC" w14:textId="77777777" w:rsidTr="00FB5C94">
        <w:trPr>
          <w:trHeight w:val="293"/>
        </w:trPr>
        <w:tc>
          <w:tcPr>
            <w:tcW w:w="861" w:type="dxa"/>
            <w:tcBorders>
              <w:top w:val="nil"/>
              <w:left w:val="nil"/>
              <w:bottom w:val="nil"/>
              <w:right w:val="nil"/>
            </w:tcBorders>
            <w:shd w:val="clear" w:color="000000" w:fill="2F75B5"/>
            <w:noWrap/>
            <w:vAlign w:val="bottom"/>
            <w:hideMark/>
          </w:tcPr>
          <w:p w14:paraId="66CC89F6" w14:textId="77777777" w:rsidR="00FB5C94" w:rsidRPr="00FB5C94" w:rsidRDefault="00FB5C94" w:rsidP="00FB5C94">
            <w:pPr>
              <w:spacing w:after="0" w:line="240" w:lineRule="auto"/>
              <w:rPr>
                <w:rFonts w:ascii="Calibri" w:eastAsia="Times New Roman" w:hAnsi="Calibri" w:cs="Calibri"/>
                <w:b/>
                <w:bCs/>
                <w:color w:val="FFFFFF"/>
                <w:sz w:val="22"/>
                <w:szCs w:val="22"/>
                <w:lang w:eastAsia="en-AU"/>
              </w:rPr>
            </w:pPr>
            <w:bookmarkStart w:id="21" w:name="_Toc81919368"/>
            <w:bookmarkStart w:id="22" w:name="_Toc81919369"/>
            <w:bookmarkStart w:id="23" w:name="_Toc81919370"/>
            <w:bookmarkEnd w:id="21"/>
            <w:bookmarkEnd w:id="22"/>
            <w:bookmarkEnd w:id="23"/>
            <w:r w:rsidRPr="00FB5C94">
              <w:rPr>
                <w:rFonts w:ascii="Calibri" w:eastAsia="Times New Roman" w:hAnsi="Calibri" w:cs="Calibri"/>
                <w:b/>
                <w:bCs/>
                <w:color w:val="FFFFFF"/>
                <w:sz w:val="22"/>
                <w:szCs w:val="22"/>
                <w:lang w:eastAsia="en-AU"/>
              </w:rPr>
              <w:t> </w:t>
            </w:r>
          </w:p>
        </w:tc>
        <w:tc>
          <w:tcPr>
            <w:tcW w:w="5409" w:type="dxa"/>
            <w:tcBorders>
              <w:top w:val="nil"/>
              <w:left w:val="nil"/>
              <w:bottom w:val="nil"/>
              <w:right w:val="nil"/>
            </w:tcBorders>
            <w:shd w:val="clear" w:color="000000" w:fill="2F75B5"/>
            <w:noWrap/>
            <w:vAlign w:val="bottom"/>
            <w:hideMark/>
          </w:tcPr>
          <w:p w14:paraId="4FD5929C" w14:textId="77777777" w:rsidR="00FB5C94" w:rsidRPr="00FB5C94" w:rsidRDefault="00FB5C94" w:rsidP="00FB5C94">
            <w:pPr>
              <w:spacing w:after="0" w:line="240" w:lineRule="auto"/>
              <w:rPr>
                <w:rFonts w:ascii="Calibri" w:eastAsia="Times New Roman" w:hAnsi="Calibri" w:cs="Calibri"/>
                <w:b/>
                <w:bCs/>
                <w:color w:val="FFFFFF"/>
                <w:sz w:val="22"/>
                <w:szCs w:val="22"/>
                <w:lang w:eastAsia="en-AU"/>
              </w:rPr>
            </w:pPr>
            <w:r w:rsidRPr="00FB5C94">
              <w:rPr>
                <w:rFonts w:ascii="Calibri" w:eastAsia="Times New Roman" w:hAnsi="Calibri" w:cs="Calibri"/>
                <w:b/>
                <w:bCs/>
                <w:color w:val="FFFFFF"/>
                <w:sz w:val="22"/>
                <w:szCs w:val="22"/>
                <w:lang w:eastAsia="en-AU"/>
              </w:rPr>
              <w:t> </w:t>
            </w:r>
          </w:p>
        </w:tc>
        <w:tc>
          <w:tcPr>
            <w:tcW w:w="3493" w:type="dxa"/>
            <w:gridSpan w:val="3"/>
            <w:tcBorders>
              <w:top w:val="nil"/>
              <w:left w:val="nil"/>
              <w:bottom w:val="nil"/>
              <w:right w:val="nil"/>
            </w:tcBorders>
            <w:shd w:val="clear" w:color="000000" w:fill="2F75B5"/>
            <w:noWrap/>
            <w:vAlign w:val="bottom"/>
            <w:hideMark/>
          </w:tcPr>
          <w:p w14:paraId="4F664842" w14:textId="77777777" w:rsidR="00FB5C94" w:rsidRPr="00FB5C94" w:rsidRDefault="00FB5C94" w:rsidP="00FB5C94">
            <w:pPr>
              <w:spacing w:after="0" w:line="240" w:lineRule="auto"/>
              <w:jc w:val="center"/>
              <w:rPr>
                <w:rFonts w:ascii="Calibri" w:eastAsia="Times New Roman" w:hAnsi="Calibri" w:cs="Calibri"/>
                <w:b/>
                <w:bCs/>
                <w:color w:val="FFFFFF"/>
                <w:sz w:val="22"/>
                <w:szCs w:val="22"/>
                <w:lang w:eastAsia="en-AU"/>
              </w:rPr>
            </w:pPr>
            <w:r w:rsidRPr="00FB5C94">
              <w:rPr>
                <w:rFonts w:ascii="Calibri" w:eastAsia="Times New Roman" w:hAnsi="Calibri" w:cs="Calibri"/>
                <w:b/>
                <w:bCs/>
                <w:color w:val="FFFFFF"/>
                <w:sz w:val="22"/>
                <w:szCs w:val="22"/>
                <w:lang w:eastAsia="en-AU"/>
              </w:rPr>
              <w:t> </w:t>
            </w:r>
          </w:p>
        </w:tc>
      </w:tr>
      <w:tr w:rsidR="00FB5C94" w:rsidRPr="00FB5C94" w14:paraId="5207FF62" w14:textId="77777777" w:rsidTr="00FB5C94">
        <w:trPr>
          <w:trHeight w:val="933"/>
        </w:trPr>
        <w:tc>
          <w:tcPr>
            <w:tcW w:w="861" w:type="dxa"/>
            <w:tcBorders>
              <w:top w:val="nil"/>
              <w:left w:val="nil"/>
              <w:bottom w:val="nil"/>
              <w:right w:val="nil"/>
            </w:tcBorders>
            <w:shd w:val="clear" w:color="000000" w:fill="2F75B5"/>
            <w:vAlign w:val="bottom"/>
            <w:hideMark/>
          </w:tcPr>
          <w:p w14:paraId="6432BD43" w14:textId="77777777" w:rsidR="00FB5C94" w:rsidRPr="00FB5C94" w:rsidRDefault="00FB5C94" w:rsidP="00FB5C94">
            <w:pPr>
              <w:spacing w:after="0" w:line="240" w:lineRule="auto"/>
              <w:jc w:val="center"/>
              <w:rPr>
                <w:rFonts w:ascii="Calibri" w:eastAsia="Times New Roman" w:hAnsi="Calibri" w:cs="Calibri"/>
                <w:b/>
                <w:bCs/>
                <w:color w:val="FFFFFF"/>
                <w:sz w:val="22"/>
                <w:szCs w:val="22"/>
                <w:lang w:eastAsia="en-AU"/>
              </w:rPr>
            </w:pPr>
            <w:r w:rsidRPr="00FB5C94">
              <w:rPr>
                <w:rFonts w:ascii="Calibri" w:eastAsia="Times New Roman" w:hAnsi="Calibri" w:cs="Calibri"/>
                <w:b/>
                <w:bCs/>
                <w:color w:val="FFFFFF"/>
                <w:sz w:val="22"/>
                <w:szCs w:val="22"/>
                <w:lang w:eastAsia="en-AU"/>
              </w:rPr>
              <w:t>Output No.</w:t>
            </w:r>
          </w:p>
        </w:tc>
        <w:tc>
          <w:tcPr>
            <w:tcW w:w="5409" w:type="dxa"/>
            <w:tcBorders>
              <w:top w:val="nil"/>
              <w:left w:val="nil"/>
              <w:bottom w:val="nil"/>
              <w:right w:val="nil"/>
            </w:tcBorders>
            <w:shd w:val="clear" w:color="000000" w:fill="2F75B5"/>
            <w:noWrap/>
            <w:vAlign w:val="bottom"/>
            <w:hideMark/>
          </w:tcPr>
          <w:p w14:paraId="0993944D" w14:textId="77777777" w:rsidR="00FB5C94" w:rsidRPr="00FB5C94" w:rsidRDefault="00FB5C94" w:rsidP="00FB5C94">
            <w:pPr>
              <w:spacing w:after="0" w:line="240" w:lineRule="auto"/>
              <w:jc w:val="center"/>
              <w:rPr>
                <w:rFonts w:ascii="Calibri" w:eastAsia="Times New Roman" w:hAnsi="Calibri" w:cs="Calibri"/>
                <w:b/>
                <w:bCs/>
                <w:color w:val="FFFFFF"/>
                <w:sz w:val="22"/>
                <w:szCs w:val="22"/>
                <w:lang w:eastAsia="en-AU"/>
              </w:rPr>
            </w:pPr>
            <w:r w:rsidRPr="00FB5C94">
              <w:rPr>
                <w:rFonts w:ascii="Calibri" w:eastAsia="Times New Roman" w:hAnsi="Calibri" w:cs="Calibri"/>
                <w:b/>
                <w:bCs/>
                <w:color w:val="FFFFFF"/>
                <w:sz w:val="22"/>
                <w:szCs w:val="22"/>
                <w:lang w:eastAsia="en-AU"/>
              </w:rPr>
              <w:t>Output</w:t>
            </w:r>
          </w:p>
        </w:tc>
        <w:tc>
          <w:tcPr>
            <w:tcW w:w="1306" w:type="dxa"/>
            <w:tcBorders>
              <w:top w:val="nil"/>
              <w:left w:val="nil"/>
              <w:bottom w:val="nil"/>
              <w:right w:val="nil"/>
            </w:tcBorders>
            <w:shd w:val="clear" w:color="000000" w:fill="2F75B5"/>
            <w:vAlign w:val="center"/>
            <w:hideMark/>
          </w:tcPr>
          <w:p w14:paraId="7DAD0318" w14:textId="77777777" w:rsidR="00FB5C94" w:rsidRPr="00FB5C94" w:rsidRDefault="00FB5C94" w:rsidP="00FB5C94">
            <w:pPr>
              <w:spacing w:after="0" w:line="240" w:lineRule="auto"/>
              <w:jc w:val="center"/>
              <w:rPr>
                <w:rFonts w:ascii="Calibri" w:eastAsia="Times New Roman" w:hAnsi="Calibri" w:cs="Calibri"/>
                <w:b/>
                <w:bCs/>
                <w:color w:val="FFFFFF"/>
                <w:sz w:val="22"/>
                <w:szCs w:val="22"/>
                <w:lang w:eastAsia="en-AU"/>
              </w:rPr>
            </w:pPr>
            <w:r w:rsidRPr="00FB5C94">
              <w:rPr>
                <w:rFonts w:ascii="Calibri" w:eastAsia="Times New Roman" w:hAnsi="Calibri" w:cs="Calibri"/>
                <w:b/>
                <w:bCs/>
                <w:color w:val="FFFFFF"/>
                <w:sz w:val="22"/>
                <w:szCs w:val="22"/>
                <w:lang w:eastAsia="en-AU"/>
              </w:rPr>
              <w:t xml:space="preserve">Direct cost </w:t>
            </w:r>
            <w:r w:rsidRPr="00FB5C94">
              <w:rPr>
                <w:rFonts w:ascii="Calibri" w:eastAsia="Times New Roman" w:hAnsi="Calibri" w:cs="Calibri"/>
                <w:b/>
                <w:bCs/>
                <w:color w:val="FFFFFF"/>
                <w:sz w:val="22"/>
                <w:szCs w:val="22"/>
                <w:lang w:eastAsia="en-AU"/>
              </w:rPr>
              <w:br/>
              <w:t>$ million</w:t>
            </w:r>
          </w:p>
        </w:tc>
        <w:tc>
          <w:tcPr>
            <w:tcW w:w="1171" w:type="dxa"/>
            <w:tcBorders>
              <w:top w:val="nil"/>
              <w:left w:val="nil"/>
              <w:bottom w:val="nil"/>
              <w:right w:val="nil"/>
            </w:tcBorders>
            <w:shd w:val="clear" w:color="000000" w:fill="2F75B5"/>
            <w:vAlign w:val="center"/>
            <w:hideMark/>
          </w:tcPr>
          <w:p w14:paraId="715CA79A" w14:textId="77777777" w:rsidR="00FB5C94" w:rsidRPr="00FB5C94" w:rsidRDefault="00FB5C94" w:rsidP="00FB5C94">
            <w:pPr>
              <w:spacing w:after="0" w:line="240" w:lineRule="auto"/>
              <w:jc w:val="center"/>
              <w:rPr>
                <w:rFonts w:ascii="Calibri" w:eastAsia="Times New Roman" w:hAnsi="Calibri" w:cs="Calibri"/>
                <w:b/>
                <w:bCs/>
                <w:color w:val="FFFFFF"/>
                <w:sz w:val="22"/>
                <w:szCs w:val="22"/>
                <w:lang w:eastAsia="en-AU"/>
              </w:rPr>
            </w:pPr>
            <w:r w:rsidRPr="00FB5C94">
              <w:rPr>
                <w:rFonts w:ascii="Calibri" w:eastAsia="Times New Roman" w:hAnsi="Calibri" w:cs="Calibri"/>
                <w:b/>
                <w:bCs/>
                <w:color w:val="FFFFFF"/>
                <w:sz w:val="22"/>
                <w:szCs w:val="22"/>
                <w:lang w:eastAsia="en-AU"/>
              </w:rPr>
              <w:t>Indirect cost</w:t>
            </w:r>
            <w:r w:rsidRPr="00FB5C94">
              <w:rPr>
                <w:rFonts w:ascii="Calibri" w:eastAsia="Times New Roman" w:hAnsi="Calibri" w:cs="Calibri"/>
                <w:b/>
                <w:bCs/>
                <w:color w:val="FFFFFF"/>
                <w:sz w:val="22"/>
                <w:szCs w:val="22"/>
                <w:lang w:eastAsia="en-AU"/>
              </w:rPr>
              <w:br/>
              <w:t>$ million</w:t>
            </w:r>
          </w:p>
        </w:tc>
        <w:tc>
          <w:tcPr>
            <w:tcW w:w="1014" w:type="dxa"/>
            <w:tcBorders>
              <w:top w:val="nil"/>
              <w:left w:val="nil"/>
              <w:bottom w:val="nil"/>
              <w:right w:val="nil"/>
            </w:tcBorders>
            <w:shd w:val="clear" w:color="000000" w:fill="2F75B5"/>
            <w:noWrap/>
            <w:vAlign w:val="center"/>
            <w:hideMark/>
          </w:tcPr>
          <w:p w14:paraId="0A96B0C4" w14:textId="77777777" w:rsidR="00FB5C94" w:rsidRPr="00FB5C94" w:rsidRDefault="00FB5C94" w:rsidP="00FB5C94">
            <w:pPr>
              <w:spacing w:after="0" w:line="240" w:lineRule="auto"/>
              <w:jc w:val="center"/>
              <w:rPr>
                <w:rFonts w:ascii="Calibri" w:eastAsia="Times New Roman" w:hAnsi="Calibri" w:cs="Calibri"/>
                <w:b/>
                <w:bCs/>
                <w:color w:val="FFFFFF"/>
                <w:sz w:val="22"/>
                <w:szCs w:val="22"/>
                <w:lang w:eastAsia="en-AU"/>
              </w:rPr>
            </w:pPr>
            <w:r w:rsidRPr="00FB5C94">
              <w:rPr>
                <w:rFonts w:ascii="Calibri" w:eastAsia="Times New Roman" w:hAnsi="Calibri" w:cs="Calibri"/>
                <w:b/>
                <w:bCs/>
                <w:color w:val="FFFFFF"/>
                <w:sz w:val="22"/>
                <w:szCs w:val="22"/>
                <w:lang w:eastAsia="en-AU"/>
              </w:rPr>
              <w:t>Total</w:t>
            </w:r>
          </w:p>
        </w:tc>
      </w:tr>
      <w:tr w:rsidR="00FB5C94" w:rsidRPr="00FB5C94" w14:paraId="15A08451" w14:textId="77777777" w:rsidTr="00FB5C94">
        <w:trPr>
          <w:trHeight w:val="308"/>
        </w:trPr>
        <w:tc>
          <w:tcPr>
            <w:tcW w:w="861" w:type="dxa"/>
            <w:tcBorders>
              <w:top w:val="nil"/>
              <w:left w:val="single" w:sz="8" w:space="0" w:color="95B3D7"/>
              <w:bottom w:val="single" w:sz="8" w:space="0" w:color="95B3D7"/>
              <w:right w:val="nil"/>
            </w:tcBorders>
            <w:vAlign w:val="center"/>
            <w:hideMark/>
          </w:tcPr>
          <w:p w14:paraId="17DD2493"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 </w:t>
            </w:r>
          </w:p>
        </w:tc>
        <w:tc>
          <w:tcPr>
            <w:tcW w:w="5409" w:type="dxa"/>
            <w:tcBorders>
              <w:top w:val="nil"/>
              <w:left w:val="nil"/>
              <w:bottom w:val="single" w:sz="8" w:space="0" w:color="95B3D7"/>
              <w:right w:val="nil"/>
            </w:tcBorders>
            <w:vAlign w:val="center"/>
            <w:hideMark/>
          </w:tcPr>
          <w:p w14:paraId="19D0EA4E" w14:textId="77777777" w:rsidR="00FB5C94" w:rsidRPr="00FB5C94" w:rsidRDefault="00FB5C94" w:rsidP="00FB5C94">
            <w:pPr>
              <w:spacing w:after="0" w:line="240" w:lineRule="auto"/>
              <w:rPr>
                <w:rFonts w:ascii="Calibri" w:eastAsia="Times New Roman" w:hAnsi="Calibri" w:cs="Calibri"/>
                <w:color w:val="17365D"/>
                <w:lang w:eastAsia="en-AU"/>
              </w:rPr>
            </w:pPr>
            <w:r w:rsidRPr="00FB5C94">
              <w:rPr>
                <w:rFonts w:ascii="Calibri" w:eastAsia="Times New Roman" w:hAnsi="Calibri" w:cs="Calibri"/>
                <w:color w:val="17365D"/>
                <w:lang w:eastAsia="en-AU"/>
              </w:rPr>
              <w:t xml:space="preserve">Petroleum </w:t>
            </w:r>
          </w:p>
        </w:tc>
        <w:tc>
          <w:tcPr>
            <w:tcW w:w="1306" w:type="dxa"/>
            <w:tcBorders>
              <w:top w:val="nil"/>
              <w:left w:val="nil"/>
              <w:bottom w:val="single" w:sz="8" w:space="0" w:color="95B3D7"/>
              <w:right w:val="nil"/>
            </w:tcBorders>
            <w:vAlign w:val="center"/>
            <w:hideMark/>
          </w:tcPr>
          <w:p w14:paraId="7EB97013"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 </w:t>
            </w:r>
          </w:p>
        </w:tc>
        <w:tc>
          <w:tcPr>
            <w:tcW w:w="1171" w:type="dxa"/>
            <w:tcBorders>
              <w:top w:val="nil"/>
              <w:left w:val="nil"/>
              <w:bottom w:val="single" w:sz="8" w:space="0" w:color="95B3D7"/>
              <w:right w:val="nil"/>
            </w:tcBorders>
            <w:vAlign w:val="center"/>
            <w:hideMark/>
          </w:tcPr>
          <w:p w14:paraId="2B0D7C85"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 </w:t>
            </w:r>
          </w:p>
        </w:tc>
        <w:tc>
          <w:tcPr>
            <w:tcW w:w="1014" w:type="dxa"/>
            <w:tcBorders>
              <w:top w:val="nil"/>
              <w:left w:val="nil"/>
              <w:bottom w:val="single" w:sz="8" w:space="0" w:color="95B3D7"/>
              <w:right w:val="nil"/>
            </w:tcBorders>
            <w:vAlign w:val="center"/>
            <w:hideMark/>
          </w:tcPr>
          <w:p w14:paraId="3F6EB848"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 </w:t>
            </w:r>
          </w:p>
        </w:tc>
      </w:tr>
      <w:tr w:rsidR="00FB5C94" w:rsidRPr="00FB5C94" w14:paraId="2AB8A54B" w14:textId="77777777" w:rsidTr="00FB5C94">
        <w:trPr>
          <w:trHeight w:val="308"/>
        </w:trPr>
        <w:tc>
          <w:tcPr>
            <w:tcW w:w="861" w:type="dxa"/>
            <w:tcBorders>
              <w:top w:val="nil"/>
              <w:left w:val="single" w:sz="8" w:space="0" w:color="95B3D7"/>
              <w:bottom w:val="single" w:sz="8" w:space="0" w:color="95B3D7"/>
              <w:right w:val="nil"/>
            </w:tcBorders>
            <w:shd w:val="clear" w:color="000000" w:fill="DBE5F1"/>
            <w:vAlign w:val="center"/>
            <w:hideMark/>
          </w:tcPr>
          <w:p w14:paraId="4A00C8F4"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1</w:t>
            </w:r>
          </w:p>
        </w:tc>
        <w:tc>
          <w:tcPr>
            <w:tcW w:w="5409" w:type="dxa"/>
            <w:tcBorders>
              <w:top w:val="nil"/>
              <w:left w:val="nil"/>
              <w:bottom w:val="single" w:sz="8" w:space="0" w:color="95B3D7"/>
              <w:right w:val="nil"/>
            </w:tcBorders>
            <w:shd w:val="clear" w:color="000000" w:fill="DBE5F1"/>
            <w:vAlign w:val="center"/>
            <w:hideMark/>
          </w:tcPr>
          <w:p w14:paraId="1B2A14F4" w14:textId="77777777" w:rsidR="00FB5C94" w:rsidRPr="00FB5C94" w:rsidRDefault="00FB5C94" w:rsidP="00FB5C94">
            <w:pPr>
              <w:spacing w:after="0" w:line="240" w:lineRule="auto"/>
              <w:rPr>
                <w:rFonts w:ascii="Calibri" w:eastAsia="Times New Roman" w:hAnsi="Calibri" w:cs="Calibri"/>
                <w:color w:val="17365D"/>
                <w:lang w:eastAsia="en-AU"/>
              </w:rPr>
            </w:pPr>
            <w:r w:rsidRPr="00FB5C94">
              <w:rPr>
                <w:rFonts w:ascii="Calibri" w:eastAsia="Times New Roman" w:hAnsi="Calibri" w:cs="Calibri"/>
                <w:color w:val="17365D"/>
                <w:lang w:eastAsia="en-AU"/>
              </w:rPr>
              <w:t>Acreage Release</w:t>
            </w:r>
          </w:p>
        </w:tc>
        <w:tc>
          <w:tcPr>
            <w:tcW w:w="1306" w:type="dxa"/>
            <w:tcBorders>
              <w:top w:val="nil"/>
              <w:left w:val="nil"/>
              <w:bottom w:val="single" w:sz="8" w:space="0" w:color="95B3D7"/>
              <w:right w:val="nil"/>
            </w:tcBorders>
            <w:shd w:val="clear" w:color="000000" w:fill="DBE5F1"/>
            <w:vAlign w:val="center"/>
            <w:hideMark/>
          </w:tcPr>
          <w:p w14:paraId="3872A617"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0.30</w:t>
            </w:r>
          </w:p>
        </w:tc>
        <w:tc>
          <w:tcPr>
            <w:tcW w:w="1171" w:type="dxa"/>
            <w:tcBorders>
              <w:top w:val="nil"/>
              <w:left w:val="nil"/>
              <w:bottom w:val="single" w:sz="8" w:space="0" w:color="95B3D7"/>
              <w:right w:val="nil"/>
            </w:tcBorders>
            <w:shd w:val="clear" w:color="000000" w:fill="DBE5F1"/>
            <w:vAlign w:val="center"/>
            <w:hideMark/>
          </w:tcPr>
          <w:p w14:paraId="215A84D8"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0.17</w:t>
            </w:r>
          </w:p>
        </w:tc>
        <w:tc>
          <w:tcPr>
            <w:tcW w:w="1014" w:type="dxa"/>
            <w:tcBorders>
              <w:top w:val="nil"/>
              <w:left w:val="nil"/>
              <w:bottom w:val="single" w:sz="8" w:space="0" w:color="95B3D7"/>
              <w:right w:val="nil"/>
            </w:tcBorders>
            <w:shd w:val="clear" w:color="000000" w:fill="DBE5F1"/>
            <w:vAlign w:val="center"/>
            <w:hideMark/>
          </w:tcPr>
          <w:p w14:paraId="28A706B2"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0.47</w:t>
            </w:r>
          </w:p>
        </w:tc>
      </w:tr>
      <w:tr w:rsidR="00FB5C94" w:rsidRPr="00FB5C94" w14:paraId="525C8361" w14:textId="77777777" w:rsidTr="00FB5C94">
        <w:trPr>
          <w:trHeight w:val="308"/>
        </w:trPr>
        <w:tc>
          <w:tcPr>
            <w:tcW w:w="861" w:type="dxa"/>
            <w:tcBorders>
              <w:top w:val="nil"/>
              <w:left w:val="single" w:sz="8" w:space="0" w:color="95B3D7"/>
              <w:bottom w:val="single" w:sz="8" w:space="0" w:color="95B3D7"/>
              <w:right w:val="nil"/>
            </w:tcBorders>
            <w:vAlign w:val="center"/>
            <w:hideMark/>
          </w:tcPr>
          <w:p w14:paraId="08AA04CB"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2</w:t>
            </w:r>
          </w:p>
        </w:tc>
        <w:tc>
          <w:tcPr>
            <w:tcW w:w="5409" w:type="dxa"/>
            <w:tcBorders>
              <w:top w:val="nil"/>
              <w:left w:val="nil"/>
              <w:bottom w:val="single" w:sz="8" w:space="0" w:color="95B3D7"/>
              <w:right w:val="nil"/>
            </w:tcBorders>
            <w:vAlign w:val="center"/>
            <w:hideMark/>
          </w:tcPr>
          <w:p w14:paraId="7D868B5A" w14:textId="77777777" w:rsidR="00FB5C94" w:rsidRPr="00FB5C94" w:rsidRDefault="00FB5C94" w:rsidP="00FB5C94">
            <w:pPr>
              <w:spacing w:after="0" w:line="240" w:lineRule="auto"/>
              <w:rPr>
                <w:rFonts w:ascii="Calibri" w:eastAsia="Times New Roman" w:hAnsi="Calibri" w:cs="Calibri"/>
                <w:color w:val="17365D"/>
                <w:lang w:eastAsia="en-AU"/>
              </w:rPr>
            </w:pPr>
            <w:r w:rsidRPr="00FB5C94">
              <w:rPr>
                <w:rFonts w:ascii="Calibri" w:eastAsia="Times New Roman" w:hAnsi="Calibri" w:cs="Calibri"/>
                <w:color w:val="17365D"/>
                <w:lang w:eastAsia="en-AU"/>
              </w:rPr>
              <w:t>Petroleum Exploration Permit</w:t>
            </w:r>
          </w:p>
        </w:tc>
        <w:tc>
          <w:tcPr>
            <w:tcW w:w="1306" w:type="dxa"/>
            <w:tcBorders>
              <w:top w:val="nil"/>
              <w:left w:val="nil"/>
              <w:bottom w:val="single" w:sz="8" w:space="0" w:color="95B3D7"/>
              <w:right w:val="nil"/>
            </w:tcBorders>
            <w:vAlign w:val="center"/>
            <w:hideMark/>
          </w:tcPr>
          <w:p w14:paraId="2D9CF0F6"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1.45</w:t>
            </w:r>
          </w:p>
        </w:tc>
        <w:tc>
          <w:tcPr>
            <w:tcW w:w="1171" w:type="dxa"/>
            <w:tcBorders>
              <w:top w:val="nil"/>
              <w:left w:val="nil"/>
              <w:bottom w:val="single" w:sz="8" w:space="0" w:color="95B3D7"/>
              <w:right w:val="nil"/>
            </w:tcBorders>
            <w:vAlign w:val="center"/>
            <w:hideMark/>
          </w:tcPr>
          <w:p w14:paraId="78D4CB2E"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1.01</w:t>
            </w:r>
          </w:p>
        </w:tc>
        <w:tc>
          <w:tcPr>
            <w:tcW w:w="1014" w:type="dxa"/>
            <w:tcBorders>
              <w:top w:val="nil"/>
              <w:left w:val="nil"/>
              <w:bottom w:val="single" w:sz="8" w:space="0" w:color="95B3D7"/>
              <w:right w:val="nil"/>
            </w:tcBorders>
            <w:vAlign w:val="center"/>
            <w:hideMark/>
          </w:tcPr>
          <w:p w14:paraId="16839E4C"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2.46</w:t>
            </w:r>
          </w:p>
        </w:tc>
      </w:tr>
      <w:tr w:rsidR="00FB5C94" w:rsidRPr="00FB5C94" w14:paraId="43BA2C85" w14:textId="77777777" w:rsidTr="00FB5C94">
        <w:trPr>
          <w:trHeight w:val="547"/>
        </w:trPr>
        <w:tc>
          <w:tcPr>
            <w:tcW w:w="861" w:type="dxa"/>
            <w:tcBorders>
              <w:top w:val="nil"/>
              <w:left w:val="single" w:sz="8" w:space="0" w:color="95B3D7"/>
              <w:bottom w:val="single" w:sz="8" w:space="0" w:color="95B3D7"/>
              <w:right w:val="nil"/>
            </w:tcBorders>
            <w:shd w:val="clear" w:color="000000" w:fill="DBE5F1"/>
            <w:vAlign w:val="center"/>
            <w:hideMark/>
          </w:tcPr>
          <w:p w14:paraId="4228FBCD"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3</w:t>
            </w:r>
          </w:p>
        </w:tc>
        <w:tc>
          <w:tcPr>
            <w:tcW w:w="5409" w:type="dxa"/>
            <w:tcBorders>
              <w:top w:val="nil"/>
              <w:left w:val="nil"/>
              <w:bottom w:val="single" w:sz="8" w:space="0" w:color="95B3D7"/>
              <w:right w:val="nil"/>
            </w:tcBorders>
            <w:shd w:val="clear" w:color="000000" w:fill="DBE5F1"/>
            <w:vAlign w:val="center"/>
            <w:hideMark/>
          </w:tcPr>
          <w:p w14:paraId="3950BFF7" w14:textId="77777777" w:rsidR="00FB5C94" w:rsidRPr="00FB5C94" w:rsidRDefault="00FB5C94" w:rsidP="00FB5C94">
            <w:pPr>
              <w:spacing w:after="0" w:line="240" w:lineRule="auto"/>
              <w:rPr>
                <w:rFonts w:ascii="Calibri" w:eastAsia="Times New Roman" w:hAnsi="Calibri" w:cs="Calibri"/>
                <w:color w:val="17365D"/>
                <w:lang w:eastAsia="en-AU"/>
              </w:rPr>
            </w:pPr>
            <w:r w:rsidRPr="00FB5C94">
              <w:rPr>
                <w:rFonts w:ascii="Calibri" w:eastAsia="Times New Roman" w:hAnsi="Calibri" w:cs="Calibri"/>
                <w:color w:val="17365D"/>
                <w:lang w:eastAsia="en-AU"/>
              </w:rPr>
              <w:t>Suspension and extension; variation; exemption of exploration permits</w:t>
            </w:r>
          </w:p>
        </w:tc>
        <w:tc>
          <w:tcPr>
            <w:tcW w:w="1306" w:type="dxa"/>
            <w:tcBorders>
              <w:top w:val="nil"/>
              <w:left w:val="nil"/>
              <w:bottom w:val="single" w:sz="8" w:space="0" w:color="95B3D7"/>
              <w:right w:val="nil"/>
            </w:tcBorders>
            <w:shd w:val="clear" w:color="000000" w:fill="DBE5F1"/>
            <w:vAlign w:val="center"/>
            <w:hideMark/>
          </w:tcPr>
          <w:p w14:paraId="69E12E0F"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1.57</w:t>
            </w:r>
          </w:p>
        </w:tc>
        <w:tc>
          <w:tcPr>
            <w:tcW w:w="1171" w:type="dxa"/>
            <w:tcBorders>
              <w:top w:val="nil"/>
              <w:left w:val="nil"/>
              <w:bottom w:val="single" w:sz="8" w:space="0" w:color="95B3D7"/>
              <w:right w:val="nil"/>
            </w:tcBorders>
            <w:shd w:val="clear" w:color="000000" w:fill="DBE5F1"/>
            <w:vAlign w:val="center"/>
            <w:hideMark/>
          </w:tcPr>
          <w:p w14:paraId="7EB0F2A7"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0.75</w:t>
            </w:r>
          </w:p>
        </w:tc>
        <w:tc>
          <w:tcPr>
            <w:tcW w:w="1014" w:type="dxa"/>
            <w:tcBorders>
              <w:top w:val="nil"/>
              <w:left w:val="nil"/>
              <w:bottom w:val="single" w:sz="8" w:space="0" w:color="95B3D7"/>
              <w:right w:val="nil"/>
            </w:tcBorders>
            <w:shd w:val="clear" w:color="000000" w:fill="DBE5F1"/>
            <w:vAlign w:val="center"/>
            <w:hideMark/>
          </w:tcPr>
          <w:p w14:paraId="6559DE83"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2.31</w:t>
            </w:r>
          </w:p>
        </w:tc>
      </w:tr>
      <w:tr w:rsidR="00FB5C94" w:rsidRPr="00FB5C94" w14:paraId="324EC2D9" w14:textId="77777777" w:rsidTr="00FB5C94">
        <w:trPr>
          <w:trHeight w:val="308"/>
        </w:trPr>
        <w:tc>
          <w:tcPr>
            <w:tcW w:w="861" w:type="dxa"/>
            <w:tcBorders>
              <w:top w:val="nil"/>
              <w:left w:val="single" w:sz="8" w:space="0" w:color="95B3D7"/>
              <w:bottom w:val="single" w:sz="8" w:space="0" w:color="95B3D7"/>
              <w:right w:val="nil"/>
            </w:tcBorders>
            <w:vAlign w:val="center"/>
            <w:hideMark/>
          </w:tcPr>
          <w:p w14:paraId="584AB77E"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4</w:t>
            </w:r>
          </w:p>
        </w:tc>
        <w:tc>
          <w:tcPr>
            <w:tcW w:w="5409" w:type="dxa"/>
            <w:tcBorders>
              <w:top w:val="nil"/>
              <w:left w:val="nil"/>
              <w:bottom w:val="single" w:sz="8" w:space="0" w:color="95B3D7"/>
              <w:right w:val="nil"/>
            </w:tcBorders>
            <w:vAlign w:val="center"/>
            <w:hideMark/>
          </w:tcPr>
          <w:p w14:paraId="456E3A0F" w14:textId="77777777" w:rsidR="00FB5C94" w:rsidRPr="00FB5C94" w:rsidRDefault="00FB5C94" w:rsidP="00FB5C94">
            <w:pPr>
              <w:spacing w:after="0" w:line="240" w:lineRule="auto"/>
              <w:rPr>
                <w:rFonts w:ascii="Calibri" w:eastAsia="Times New Roman" w:hAnsi="Calibri" w:cs="Calibri"/>
                <w:color w:val="17365D"/>
                <w:lang w:eastAsia="en-AU"/>
              </w:rPr>
            </w:pPr>
            <w:r w:rsidRPr="00FB5C94">
              <w:rPr>
                <w:rFonts w:ascii="Calibri" w:eastAsia="Times New Roman" w:hAnsi="Calibri" w:cs="Calibri"/>
                <w:color w:val="17365D"/>
                <w:lang w:eastAsia="en-AU"/>
              </w:rPr>
              <w:t>Declaration of location</w:t>
            </w:r>
          </w:p>
        </w:tc>
        <w:tc>
          <w:tcPr>
            <w:tcW w:w="1306" w:type="dxa"/>
            <w:tcBorders>
              <w:top w:val="nil"/>
              <w:left w:val="nil"/>
              <w:bottom w:val="single" w:sz="8" w:space="0" w:color="95B3D7"/>
              <w:right w:val="nil"/>
            </w:tcBorders>
            <w:vAlign w:val="center"/>
            <w:hideMark/>
          </w:tcPr>
          <w:p w14:paraId="30B630C2"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0.37</w:t>
            </w:r>
          </w:p>
        </w:tc>
        <w:tc>
          <w:tcPr>
            <w:tcW w:w="1171" w:type="dxa"/>
            <w:tcBorders>
              <w:top w:val="nil"/>
              <w:left w:val="nil"/>
              <w:bottom w:val="single" w:sz="8" w:space="0" w:color="95B3D7"/>
              <w:right w:val="nil"/>
            </w:tcBorders>
            <w:vAlign w:val="center"/>
            <w:hideMark/>
          </w:tcPr>
          <w:p w14:paraId="58795E1D"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0.16</w:t>
            </w:r>
          </w:p>
        </w:tc>
        <w:tc>
          <w:tcPr>
            <w:tcW w:w="1014" w:type="dxa"/>
            <w:tcBorders>
              <w:top w:val="nil"/>
              <w:left w:val="nil"/>
              <w:bottom w:val="single" w:sz="8" w:space="0" w:color="95B3D7"/>
              <w:right w:val="nil"/>
            </w:tcBorders>
            <w:vAlign w:val="center"/>
            <w:hideMark/>
          </w:tcPr>
          <w:p w14:paraId="431C5DFE"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0.52</w:t>
            </w:r>
          </w:p>
        </w:tc>
      </w:tr>
      <w:tr w:rsidR="00FB5C94" w:rsidRPr="00FB5C94" w14:paraId="28239676" w14:textId="77777777" w:rsidTr="00FB5C94">
        <w:trPr>
          <w:trHeight w:val="308"/>
        </w:trPr>
        <w:tc>
          <w:tcPr>
            <w:tcW w:w="861" w:type="dxa"/>
            <w:tcBorders>
              <w:top w:val="nil"/>
              <w:left w:val="single" w:sz="8" w:space="0" w:color="95B3D7"/>
              <w:bottom w:val="single" w:sz="8" w:space="0" w:color="95B3D7"/>
              <w:right w:val="nil"/>
            </w:tcBorders>
            <w:shd w:val="clear" w:color="000000" w:fill="DBE5F1"/>
            <w:vAlign w:val="center"/>
            <w:hideMark/>
          </w:tcPr>
          <w:p w14:paraId="1295D60D"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5</w:t>
            </w:r>
          </w:p>
        </w:tc>
        <w:tc>
          <w:tcPr>
            <w:tcW w:w="5409" w:type="dxa"/>
            <w:tcBorders>
              <w:top w:val="nil"/>
              <w:left w:val="nil"/>
              <w:bottom w:val="single" w:sz="8" w:space="0" w:color="95B3D7"/>
              <w:right w:val="nil"/>
            </w:tcBorders>
            <w:shd w:val="clear" w:color="000000" w:fill="DBE5F1"/>
            <w:vAlign w:val="center"/>
            <w:hideMark/>
          </w:tcPr>
          <w:p w14:paraId="194174AF" w14:textId="77777777" w:rsidR="00FB5C94" w:rsidRPr="00FB5C94" w:rsidRDefault="00FB5C94" w:rsidP="00FB5C94">
            <w:pPr>
              <w:spacing w:after="0" w:line="240" w:lineRule="auto"/>
              <w:rPr>
                <w:rFonts w:ascii="Calibri" w:eastAsia="Times New Roman" w:hAnsi="Calibri" w:cs="Calibri"/>
                <w:color w:val="17365D"/>
                <w:lang w:eastAsia="en-AU"/>
              </w:rPr>
            </w:pPr>
            <w:r w:rsidRPr="00FB5C94">
              <w:rPr>
                <w:rFonts w:ascii="Calibri" w:eastAsia="Times New Roman" w:hAnsi="Calibri" w:cs="Calibri"/>
                <w:color w:val="17365D"/>
                <w:lang w:eastAsia="en-AU"/>
              </w:rPr>
              <w:t>Retention lease</w:t>
            </w:r>
          </w:p>
        </w:tc>
        <w:tc>
          <w:tcPr>
            <w:tcW w:w="1306" w:type="dxa"/>
            <w:tcBorders>
              <w:top w:val="nil"/>
              <w:left w:val="nil"/>
              <w:bottom w:val="single" w:sz="8" w:space="0" w:color="95B3D7"/>
              <w:right w:val="nil"/>
            </w:tcBorders>
            <w:shd w:val="clear" w:color="000000" w:fill="DBE5F1"/>
            <w:vAlign w:val="center"/>
            <w:hideMark/>
          </w:tcPr>
          <w:p w14:paraId="7F262DBE"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1.37</w:t>
            </w:r>
          </w:p>
        </w:tc>
        <w:tc>
          <w:tcPr>
            <w:tcW w:w="1171" w:type="dxa"/>
            <w:tcBorders>
              <w:top w:val="nil"/>
              <w:left w:val="nil"/>
              <w:bottom w:val="single" w:sz="8" w:space="0" w:color="95B3D7"/>
              <w:right w:val="nil"/>
            </w:tcBorders>
            <w:shd w:val="clear" w:color="000000" w:fill="DBE5F1"/>
            <w:vAlign w:val="center"/>
            <w:hideMark/>
          </w:tcPr>
          <w:p w14:paraId="76B5DFDC"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0.65</w:t>
            </w:r>
          </w:p>
        </w:tc>
        <w:tc>
          <w:tcPr>
            <w:tcW w:w="1014" w:type="dxa"/>
            <w:tcBorders>
              <w:top w:val="nil"/>
              <w:left w:val="nil"/>
              <w:bottom w:val="single" w:sz="8" w:space="0" w:color="95B3D7"/>
              <w:right w:val="nil"/>
            </w:tcBorders>
            <w:shd w:val="clear" w:color="000000" w:fill="DBE5F1"/>
            <w:vAlign w:val="center"/>
            <w:hideMark/>
          </w:tcPr>
          <w:p w14:paraId="3A59F548"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2.03</w:t>
            </w:r>
          </w:p>
        </w:tc>
      </w:tr>
      <w:tr w:rsidR="00FB5C94" w:rsidRPr="00FB5C94" w14:paraId="376B0763" w14:textId="77777777" w:rsidTr="00FB5C94">
        <w:trPr>
          <w:trHeight w:val="308"/>
        </w:trPr>
        <w:tc>
          <w:tcPr>
            <w:tcW w:w="861" w:type="dxa"/>
            <w:tcBorders>
              <w:top w:val="nil"/>
              <w:left w:val="single" w:sz="8" w:space="0" w:color="95B3D7"/>
              <w:bottom w:val="single" w:sz="8" w:space="0" w:color="95B3D7"/>
              <w:right w:val="nil"/>
            </w:tcBorders>
            <w:vAlign w:val="center"/>
            <w:hideMark/>
          </w:tcPr>
          <w:p w14:paraId="784FF565"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6</w:t>
            </w:r>
          </w:p>
        </w:tc>
        <w:tc>
          <w:tcPr>
            <w:tcW w:w="5409" w:type="dxa"/>
            <w:tcBorders>
              <w:top w:val="nil"/>
              <w:left w:val="nil"/>
              <w:bottom w:val="single" w:sz="8" w:space="0" w:color="95B3D7"/>
              <w:right w:val="nil"/>
            </w:tcBorders>
            <w:vAlign w:val="center"/>
            <w:hideMark/>
          </w:tcPr>
          <w:p w14:paraId="2E861D4D" w14:textId="77777777" w:rsidR="00FB5C94" w:rsidRPr="00FB5C94" w:rsidRDefault="00FB5C94" w:rsidP="00FB5C94">
            <w:pPr>
              <w:spacing w:after="0" w:line="240" w:lineRule="auto"/>
              <w:rPr>
                <w:rFonts w:ascii="Calibri" w:eastAsia="Times New Roman" w:hAnsi="Calibri" w:cs="Calibri"/>
                <w:color w:val="17365D"/>
                <w:lang w:eastAsia="en-AU"/>
              </w:rPr>
            </w:pPr>
            <w:r w:rsidRPr="00FB5C94">
              <w:rPr>
                <w:rFonts w:ascii="Calibri" w:eastAsia="Times New Roman" w:hAnsi="Calibri" w:cs="Calibri"/>
                <w:color w:val="17365D"/>
                <w:lang w:eastAsia="en-AU"/>
              </w:rPr>
              <w:t>Production licence</w:t>
            </w:r>
          </w:p>
        </w:tc>
        <w:tc>
          <w:tcPr>
            <w:tcW w:w="1306" w:type="dxa"/>
            <w:tcBorders>
              <w:top w:val="nil"/>
              <w:left w:val="nil"/>
              <w:bottom w:val="single" w:sz="8" w:space="0" w:color="95B3D7"/>
              <w:right w:val="nil"/>
            </w:tcBorders>
            <w:vAlign w:val="center"/>
            <w:hideMark/>
          </w:tcPr>
          <w:p w14:paraId="6A1EE551"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2.32</w:t>
            </w:r>
          </w:p>
        </w:tc>
        <w:tc>
          <w:tcPr>
            <w:tcW w:w="1171" w:type="dxa"/>
            <w:tcBorders>
              <w:top w:val="nil"/>
              <w:left w:val="nil"/>
              <w:bottom w:val="single" w:sz="8" w:space="0" w:color="95B3D7"/>
              <w:right w:val="nil"/>
            </w:tcBorders>
            <w:vAlign w:val="center"/>
            <w:hideMark/>
          </w:tcPr>
          <w:p w14:paraId="3E50462B"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1.19</w:t>
            </w:r>
          </w:p>
        </w:tc>
        <w:tc>
          <w:tcPr>
            <w:tcW w:w="1014" w:type="dxa"/>
            <w:tcBorders>
              <w:top w:val="nil"/>
              <w:left w:val="nil"/>
              <w:bottom w:val="single" w:sz="8" w:space="0" w:color="95B3D7"/>
              <w:right w:val="nil"/>
            </w:tcBorders>
            <w:vAlign w:val="center"/>
            <w:hideMark/>
          </w:tcPr>
          <w:p w14:paraId="28A0AF1F"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3.51</w:t>
            </w:r>
          </w:p>
        </w:tc>
      </w:tr>
      <w:tr w:rsidR="00FB5C94" w:rsidRPr="00FB5C94" w14:paraId="72E796C5" w14:textId="77777777" w:rsidTr="00FB5C94">
        <w:trPr>
          <w:trHeight w:val="308"/>
        </w:trPr>
        <w:tc>
          <w:tcPr>
            <w:tcW w:w="861" w:type="dxa"/>
            <w:tcBorders>
              <w:top w:val="nil"/>
              <w:left w:val="single" w:sz="8" w:space="0" w:color="95B3D7"/>
              <w:bottom w:val="single" w:sz="8" w:space="0" w:color="95B3D7"/>
              <w:right w:val="nil"/>
            </w:tcBorders>
            <w:shd w:val="clear" w:color="000000" w:fill="DBE5F1"/>
            <w:vAlign w:val="center"/>
            <w:hideMark/>
          </w:tcPr>
          <w:p w14:paraId="2007339D"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7</w:t>
            </w:r>
          </w:p>
        </w:tc>
        <w:tc>
          <w:tcPr>
            <w:tcW w:w="5409" w:type="dxa"/>
            <w:tcBorders>
              <w:top w:val="nil"/>
              <w:left w:val="nil"/>
              <w:bottom w:val="single" w:sz="8" w:space="0" w:color="95B3D7"/>
              <w:right w:val="nil"/>
            </w:tcBorders>
            <w:shd w:val="clear" w:color="000000" w:fill="DBE5F1"/>
            <w:vAlign w:val="center"/>
            <w:hideMark/>
          </w:tcPr>
          <w:p w14:paraId="4F53CEEC" w14:textId="77777777" w:rsidR="00FB5C94" w:rsidRPr="00FB5C94" w:rsidRDefault="00FB5C94" w:rsidP="00FB5C94">
            <w:pPr>
              <w:spacing w:after="0" w:line="240" w:lineRule="auto"/>
              <w:rPr>
                <w:rFonts w:ascii="Calibri" w:eastAsia="Times New Roman" w:hAnsi="Calibri" w:cs="Calibri"/>
                <w:color w:val="17365D"/>
                <w:lang w:eastAsia="en-AU"/>
              </w:rPr>
            </w:pPr>
            <w:r w:rsidRPr="00FB5C94">
              <w:rPr>
                <w:rFonts w:ascii="Calibri" w:eastAsia="Times New Roman" w:hAnsi="Calibri" w:cs="Calibri"/>
                <w:color w:val="17365D"/>
                <w:lang w:eastAsia="en-AU"/>
              </w:rPr>
              <w:t>Infrastructure licence</w:t>
            </w:r>
          </w:p>
        </w:tc>
        <w:tc>
          <w:tcPr>
            <w:tcW w:w="1306" w:type="dxa"/>
            <w:tcBorders>
              <w:top w:val="nil"/>
              <w:left w:val="nil"/>
              <w:bottom w:val="single" w:sz="8" w:space="0" w:color="95B3D7"/>
              <w:right w:val="nil"/>
            </w:tcBorders>
            <w:shd w:val="clear" w:color="000000" w:fill="DBE5F1"/>
            <w:vAlign w:val="center"/>
            <w:hideMark/>
          </w:tcPr>
          <w:p w14:paraId="5D36191C"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0.33</w:t>
            </w:r>
          </w:p>
        </w:tc>
        <w:tc>
          <w:tcPr>
            <w:tcW w:w="1171" w:type="dxa"/>
            <w:tcBorders>
              <w:top w:val="nil"/>
              <w:left w:val="nil"/>
              <w:bottom w:val="single" w:sz="8" w:space="0" w:color="95B3D7"/>
              <w:right w:val="nil"/>
            </w:tcBorders>
            <w:shd w:val="clear" w:color="000000" w:fill="DBE5F1"/>
            <w:vAlign w:val="center"/>
            <w:hideMark/>
          </w:tcPr>
          <w:p w14:paraId="7F6E3E28"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0.13</w:t>
            </w:r>
          </w:p>
        </w:tc>
        <w:tc>
          <w:tcPr>
            <w:tcW w:w="1014" w:type="dxa"/>
            <w:tcBorders>
              <w:top w:val="nil"/>
              <w:left w:val="nil"/>
              <w:bottom w:val="single" w:sz="8" w:space="0" w:color="95B3D7"/>
              <w:right w:val="nil"/>
            </w:tcBorders>
            <w:shd w:val="clear" w:color="000000" w:fill="DBE5F1"/>
            <w:vAlign w:val="center"/>
            <w:hideMark/>
          </w:tcPr>
          <w:p w14:paraId="43536F74"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0.45</w:t>
            </w:r>
          </w:p>
        </w:tc>
      </w:tr>
      <w:tr w:rsidR="00FB5C94" w:rsidRPr="00FB5C94" w14:paraId="62B58D6D" w14:textId="77777777" w:rsidTr="00FB5C94">
        <w:trPr>
          <w:trHeight w:val="308"/>
        </w:trPr>
        <w:tc>
          <w:tcPr>
            <w:tcW w:w="861" w:type="dxa"/>
            <w:tcBorders>
              <w:top w:val="nil"/>
              <w:left w:val="single" w:sz="8" w:space="0" w:color="95B3D7"/>
              <w:bottom w:val="single" w:sz="8" w:space="0" w:color="95B3D7"/>
              <w:right w:val="nil"/>
            </w:tcBorders>
            <w:vAlign w:val="center"/>
            <w:hideMark/>
          </w:tcPr>
          <w:p w14:paraId="398FF768"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8</w:t>
            </w:r>
          </w:p>
        </w:tc>
        <w:tc>
          <w:tcPr>
            <w:tcW w:w="5409" w:type="dxa"/>
            <w:tcBorders>
              <w:top w:val="nil"/>
              <w:left w:val="nil"/>
              <w:bottom w:val="single" w:sz="8" w:space="0" w:color="95B3D7"/>
              <w:right w:val="nil"/>
            </w:tcBorders>
            <w:vAlign w:val="center"/>
            <w:hideMark/>
          </w:tcPr>
          <w:p w14:paraId="631323BA" w14:textId="77777777" w:rsidR="00FB5C94" w:rsidRPr="00FB5C94" w:rsidRDefault="00FB5C94" w:rsidP="00FB5C94">
            <w:pPr>
              <w:spacing w:after="0" w:line="240" w:lineRule="auto"/>
              <w:rPr>
                <w:rFonts w:ascii="Calibri" w:eastAsia="Times New Roman" w:hAnsi="Calibri" w:cs="Calibri"/>
                <w:color w:val="17365D"/>
                <w:lang w:eastAsia="en-AU"/>
              </w:rPr>
            </w:pPr>
            <w:r w:rsidRPr="00FB5C94">
              <w:rPr>
                <w:rFonts w:ascii="Calibri" w:eastAsia="Times New Roman" w:hAnsi="Calibri" w:cs="Calibri"/>
                <w:color w:val="17365D"/>
                <w:lang w:eastAsia="en-AU"/>
              </w:rPr>
              <w:t>Pipeline licence</w:t>
            </w:r>
          </w:p>
        </w:tc>
        <w:tc>
          <w:tcPr>
            <w:tcW w:w="1306" w:type="dxa"/>
            <w:tcBorders>
              <w:top w:val="nil"/>
              <w:left w:val="nil"/>
              <w:bottom w:val="single" w:sz="8" w:space="0" w:color="95B3D7"/>
              <w:right w:val="nil"/>
            </w:tcBorders>
            <w:vAlign w:val="center"/>
            <w:hideMark/>
          </w:tcPr>
          <w:p w14:paraId="704E7354"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0.93</w:t>
            </w:r>
          </w:p>
        </w:tc>
        <w:tc>
          <w:tcPr>
            <w:tcW w:w="1171" w:type="dxa"/>
            <w:tcBorders>
              <w:top w:val="nil"/>
              <w:left w:val="nil"/>
              <w:bottom w:val="single" w:sz="8" w:space="0" w:color="95B3D7"/>
              <w:right w:val="nil"/>
            </w:tcBorders>
            <w:vAlign w:val="center"/>
            <w:hideMark/>
          </w:tcPr>
          <w:p w14:paraId="0CAB58C7"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0.39</w:t>
            </w:r>
          </w:p>
        </w:tc>
        <w:tc>
          <w:tcPr>
            <w:tcW w:w="1014" w:type="dxa"/>
            <w:tcBorders>
              <w:top w:val="nil"/>
              <w:left w:val="nil"/>
              <w:bottom w:val="single" w:sz="8" w:space="0" w:color="95B3D7"/>
              <w:right w:val="nil"/>
            </w:tcBorders>
            <w:vAlign w:val="center"/>
            <w:hideMark/>
          </w:tcPr>
          <w:p w14:paraId="24797621"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1.33</w:t>
            </w:r>
          </w:p>
        </w:tc>
      </w:tr>
      <w:tr w:rsidR="00FB5C94" w:rsidRPr="00FB5C94" w14:paraId="5CF86369" w14:textId="77777777" w:rsidTr="00FB5C94">
        <w:trPr>
          <w:trHeight w:val="308"/>
        </w:trPr>
        <w:tc>
          <w:tcPr>
            <w:tcW w:w="861" w:type="dxa"/>
            <w:tcBorders>
              <w:top w:val="nil"/>
              <w:left w:val="single" w:sz="8" w:space="0" w:color="95B3D7"/>
              <w:bottom w:val="single" w:sz="8" w:space="0" w:color="95B3D7"/>
              <w:right w:val="nil"/>
            </w:tcBorders>
            <w:shd w:val="clear" w:color="000000" w:fill="DBE5F1"/>
            <w:vAlign w:val="center"/>
            <w:hideMark/>
          </w:tcPr>
          <w:p w14:paraId="69FF8CB3"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9</w:t>
            </w:r>
          </w:p>
        </w:tc>
        <w:tc>
          <w:tcPr>
            <w:tcW w:w="5409" w:type="dxa"/>
            <w:tcBorders>
              <w:top w:val="nil"/>
              <w:left w:val="nil"/>
              <w:bottom w:val="single" w:sz="8" w:space="0" w:color="95B3D7"/>
              <w:right w:val="nil"/>
            </w:tcBorders>
            <w:shd w:val="clear" w:color="000000" w:fill="DBE5F1"/>
            <w:vAlign w:val="center"/>
            <w:hideMark/>
          </w:tcPr>
          <w:p w14:paraId="0BC5A3C5" w14:textId="77777777" w:rsidR="00FB5C94" w:rsidRPr="00FB5C94" w:rsidRDefault="00FB5C94" w:rsidP="00FB5C94">
            <w:pPr>
              <w:spacing w:after="0" w:line="240" w:lineRule="auto"/>
              <w:rPr>
                <w:rFonts w:ascii="Calibri" w:eastAsia="Times New Roman" w:hAnsi="Calibri" w:cs="Calibri"/>
                <w:color w:val="17365D"/>
                <w:lang w:eastAsia="en-AU"/>
              </w:rPr>
            </w:pPr>
            <w:r w:rsidRPr="00FB5C94">
              <w:rPr>
                <w:rFonts w:ascii="Calibri" w:eastAsia="Times New Roman" w:hAnsi="Calibri" w:cs="Calibri"/>
                <w:color w:val="17365D"/>
                <w:lang w:eastAsia="en-AU"/>
              </w:rPr>
              <w:t>SPA and AA</w:t>
            </w:r>
          </w:p>
        </w:tc>
        <w:tc>
          <w:tcPr>
            <w:tcW w:w="1306" w:type="dxa"/>
            <w:tcBorders>
              <w:top w:val="nil"/>
              <w:left w:val="nil"/>
              <w:bottom w:val="single" w:sz="8" w:space="0" w:color="95B3D7"/>
              <w:right w:val="nil"/>
            </w:tcBorders>
            <w:shd w:val="clear" w:color="000000" w:fill="DBE5F1"/>
            <w:vAlign w:val="center"/>
            <w:hideMark/>
          </w:tcPr>
          <w:p w14:paraId="38286FE5"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0.70</w:t>
            </w:r>
          </w:p>
        </w:tc>
        <w:tc>
          <w:tcPr>
            <w:tcW w:w="1171" w:type="dxa"/>
            <w:tcBorders>
              <w:top w:val="nil"/>
              <w:left w:val="nil"/>
              <w:bottom w:val="single" w:sz="8" w:space="0" w:color="95B3D7"/>
              <w:right w:val="nil"/>
            </w:tcBorders>
            <w:shd w:val="clear" w:color="000000" w:fill="DBE5F1"/>
            <w:vAlign w:val="center"/>
            <w:hideMark/>
          </w:tcPr>
          <w:p w14:paraId="025967EE"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0.34</w:t>
            </w:r>
          </w:p>
        </w:tc>
        <w:tc>
          <w:tcPr>
            <w:tcW w:w="1014" w:type="dxa"/>
            <w:tcBorders>
              <w:top w:val="nil"/>
              <w:left w:val="nil"/>
              <w:bottom w:val="single" w:sz="8" w:space="0" w:color="95B3D7"/>
              <w:right w:val="nil"/>
            </w:tcBorders>
            <w:shd w:val="clear" w:color="000000" w:fill="DBE5F1"/>
            <w:vAlign w:val="center"/>
            <w:hideMark/>
          </w:tcPr>
          <w:p w14:paraId="3AF4D0BB"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1.04</w:t>
            </w:r>
          </w:p>
        </w:tc>
      </w:tr>
      <w:tr w:rsidR="00FB5C94" w:rsidRPr="00FB5C94" w14:paraId="4F940927" w14:textId="77777777" w:rsidTr="00FB5C94">
        <w:trPr>
          <w:trHeight w:val="308"/>
        </w:trPr>
        <w:tc>
          <w:tcPr>
            <w:tcW w:w="861" w:type="dxa"/>
            <w:tcBorders>
              <w:top w:val="nil"/>
              <w:left w:val="single" w:sz="8" w:space="0" w:color="95B3D7"/>
              <w:bottom w:val="single" w:sz="8" w:space="0" w:color="95B3D7"/>
              <w:right w:val="nil"/>
            </w:tcBorders>
            <w:vAlign w:val="center"/>
            <w:hideMark/>
          </w:tcPr>
          <w:p w14:paraId="400A9CF2"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10</w:t>
            </w:r>
          </w:p>
        </w:tc>
        <w:tc>
          <w:tcPr>
            <w:tcW w:w="5409" w:type="dxa"/>
            <w:tcBorders>
              <w:top w:val="nil"/>
              <w:left w:val="nil"/>
              <w:bottom w:val="single" w:sz="8" w:space="0" w:color="95B3D7"/>
              <w:right w:val="nil"/>
            </w:tcBorders>
            <w:vAlign w:val="center"/>
            <w:hideMark/>
          </w:tcPr>
          <w:p w14:paraId="7233B5AB" w14:textId="77777777" w:rsidR="00FB5C94" w:rsidRPr="00FB5C94" w:rsidRDefault="00FB5C94" w:rsidP="00FB5C94">
            <w:pPr>
              <w:spacing w:after="0" w:line="240" w:lineRule="auto"/>
              <w:rPr>
                <w:rFonts w:ascii="Calibri" w:eastAsia="Times New Roman" w:hAnsi="Calibri" w:cs="Calibri"/>
                <w:color w:val="17365D"/>
                <w:lang w:eastAsia="en-AU"/>
              </w:rPr>
            </w:pPr>
            <w:r w:rsidRPr="00FB5C94">
              <w:rPr>
                <w:rFonts w:ascii="Calibri" w:eastAsia="Times New Roman" w:hAnsi="Calibri" w:cs="Calibri"/>
                <w:color w:val="17365D"/>
                <w:lang w:eastAsia="en-AU"/>
              </w:rPr>
              <w:t>Dealings</w:t>
            </w:r>
          </w:p>
        </w:tc>
        <w:tc>
          <w:tcPr>
            <w:tcW w:w="1306" w:type="dxa"/>
            <w:tcBorders>
              <w:top w:val="nil"/>
              <w:left w:val="nil"/>
              <w:bottom w:val="single" w:sz="8" w:space="0" w:color="95B3D7"/>
              <w:right w:val="nil"/>
            </w:tcBorders>
            <w:vAlign w:val="center"/>
            <w:hideMark/>
          </w:tcPr>
          <w:p w14:paraId="44CD6572"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0.91</w:t>
            </w:r>
          </w:p>
        </w:tc>
        <w:tc>
          <w:tcPr>
            <w:tcW w:w="1171" w:type="dxa"/>
            <w:tcBorders>
              <w:top w:val="nil"/>
              <w:left w:val="nil"/>
              <w:bottom w:val="single" w:sz="8" w:space="0" w:color="95B3D7"/>
              <w:right w:val="nil"/>
            </w:tcBorders>
            <w:vAlign w:val="center"/>
            <w:hideMark/>
          </w:tcPr>
          <w:p w14:paraId="16B997DD"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0.40</w:t>
            </w:r>
          </w:p>
        </w:tc>
        <w:tc>
          <w:tcPr>
            <w:tcW w:w="1014" w:type="dxa"/>
            <w:tcBorders>
              <w:top w:val="nil"/>
              <w:left w:val="nil"/>
              <w:bottom w:val="single" w:sz="8" w:space="0" w:color="95B3D7"/>
              <w:right w:val="nil"/>
            </w:tcBorders>
            <w:vAlign w:val="center"/>
            <w:hideMark/>
          </w:tcPr>
          <w:p w14:paraId="6903BDC4"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1.31</w:t>
            </w:r>
          </w:p>
        </w:tc>
      </w:tr>
      <w:tr w:rsidR="00FB5C94" w:rsidRPr="00FB5C94" w14:paraId="4845EBF7" w14:textId="77777777" w:rsidTr="00FB5C94">
        <w:trPr>
          <w:trHeight w:val="308"/>
        </w:trPr>
        <w:tc>
          <w:tcPr>
            <w:tcW w:w="861" w:type="dxa"/>
            <w:tcBorders>
              <w:top w:val="nil"/>
              <w:left w:val="single" w:sz="8" w:space="0" w:color="95B3D7"/>
              <w:bottom w:val="single" w:sz="8" w:space="0" w:color="95B3D7"/>
              <w:right w:val="nil"/>
            </w:tcBorders>
            <w:shd w:val="clear" w:color="000000" w:fill="DBE5F1"/>
            <w:vAlign w:val="center"/>
            <w:hideMark/>
          </w:tcPr>
          <w:p w14:paraId="7D300E28"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11</w:t>
            </w:r>
          </w:p>
        </w:tc>
        <w:tc>
          <w:tcPr>
            <w:tcW w:w="5409" w:type="dxa"/>
            <w:tcBorders>
              <w:top w:val="nil"/>
              <w:left w:val="nil"/>
              <w:bottom w:val="single" w:sz="8" w:space="0" w:color="95B3D7"/>
              <w:right w:val="nil"/>
            </w:tcBorders>
            <w:shd w:val="clear" w:color="000000" w:fill="DBE5F1"/>
            <w:vAlign w:val="center"/>
            <w:hideMark/>
          </w:tcPr>
          <w:p w14:paraId="379C1170" w14:textId="77777777" w:rsidR="00FB5C94" w:rsidRPr="00FB5C94" w:rsidRDefault="00FB5C94" w:rsidP="00FB5C94">
            <w:pPr>
              <w:spacing w:after="0" w:line="240" w:lineRule="auto"/>
              <w:rPr>
                <w:rFonts w:ascii="Calibri" w:eastAsia="Times New Roman" w:hAnsi="Calibri" w:cs="Calibri"/>
                <w:color w:val="17365D"/>
                <w:lang w:eastAsia="en-AU"/>
              </w:rPr>
            </w:pPr>
            <w:r w:rsidRPr="00FB5C94">
              <w:rPr>
                <w:rFonts w:ascii="Calibri" w:eastAsia="Times New Roman" w:hAnsi="Calibri" w:cs="Calibri"/>
                <w:color w:val="17365D"/>
                <w:lang w:eastAsia="en-AU"/>
              </w:rPr>
              <w:t>Transfers</w:t>
            </w:r>
          </w:p>
        </w:tc>
        <w:tc>
          <w:tcPr>
            <w:tcW w:w="1306" w:type="dxa"/>
            <w:tcBorders>
              <w:top w:val="nil"/>
              <w:left w:val="nil"/>
              <w:bottom w:val="single" w:sz="8" w:space="0" w:color="95B3D7"/>
              <w:right w:val="nil"/>
            </w:tcBorders>
            <w:shd w:val="clear" w:color="000000" w:fill="DBE5F1"/>
            <w:vAlign w:val="center"/>
            <w:hideMark/>
          </w:tcPr>
          <w:p w14:paraId="7955C7BB"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1.11</w:t>
            </w:r>
          </w:p>
        </w:tc>
        <w:tc>
          <w:tcPr>
            <w:tcW w:w="1171" w:type="dxa"/>
            <w:tcBorders>
              <w:top w:val="nil"/>
              <w:left w:val="nil"/>
              <w:bottom w:val="single" w:sz="8" w:space="0" w:color="95B3D7"/>
              <w:right w:val="nil"/>
            </w:tcBorders>
            <w:shd w:val="clear" w:color="000000" w:fill="DBE5F1"/>
            <w:vAlign w:val="center"/>
            <w:hideMark/>
          </w:tcPr>
          <w:p w14:paraId="6ADC4D2A"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0.44</w:t>
            </w:r>
          </w:p>
        </w:tc>
        <w:tc>
          <w:tcPr>
            <w:tcW w:w="1014" w:type="dxa"/>
            <w:tcBorders>
              <w:top w:val="nil"/>
              <w:left w:val="nil"/>
              <w:bottom w:val="single" w:sz="8" w:space="0" w:color="95B3D7"/>
              <w:right w:val="nil"/>
            </w:tcBorders>
            <w:shd w:val="clear" w:color="000000" w:fill="DBE5F1"/>
            <w:vAlign w:val="center"/>
            <w:hideMark/>
          </w:tcPr>
          <w:p w14:paraId="20892465"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1.55</w:t>
            </w:r>
          </w:p>
        </w:tc>
      </w:tr>
      <w:tr w:rsidR="00FB5C94" w:rsidRPr="00FB5C94" w14:paraId="7F32DA26" w14:textId="77777777" w:rsidTr="00FB5C94">
        <w:trPr>
          <w:trHeight w:val="308"/>
        </w:trPr>
        <w:tc>
          <w:tcPr>
            <w:tcW w:w="861" w:type="dxa"/>
            <w:tcBorders>
              <w:top w:val="nil"/>
              <w:left w:val="single" w:sz="8" w:space="0" w:color="95B3D7"/>
              <w:bottom w:val="single" w:sz="8" w:space="0" w:color="95B3D7"/>
              <w:right w:val="nil"/>
            </w:tcBorders>
            <w:vAlign w:val="center"/>
            <w:hideMark/>
          </w:tcPr>
          <w:p w14:paraId="3D7A4231"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12</w:t>
            </w:r>
          </w:p>
        </w:tc>
        <w:tc>
          <w:tcPr>
            <w:tcW w:w="5409" w:type="dxa"/>
            <w:tcBorders>
              <w:top w:val="nil"/>
              <w:left w:val="nil"/>
              <w:bottom w:val="single" w:sz="8" w:space="0" w:color="95B3D7"/>
              <w:right w:val="nil"/>
            </w:tcBorders>
            <w:vAlign w:val="center"/>
            <w:hideMark/>
          </w:tcPr>
          <w:p w14:paraId="164A1504" w14:textId="77777777" w:rsidR="00FB5C94" w:rsidRPr="00FB5C94" w:rsidRDefault="00FB5C94" w:rsidP="00FB5C94">
            <w:pPr>
              <w:spacing w:after="0" w:line="240" w:lineRule="auto"/>
              <w:rPr>
                <w:rFonts w:ascii="Calibri" w:eastAsia="Times New Roman" w:hAnsi="Calibri" w:cs="Calibri"/>
                <w:color w:val="17365D"/>
                <w:lang w:eastAsia="en-AU"/>
              </w:rPr>
            </w:pPr>
            <w:r w:rsidRPr="00FB5C94">
              <w:rPr>
                <w:rFonts w:ascii="Calibri" w:eastAsia="Times New Roman" w:hAnsi="Calibri" w:cs="Calibri"/>
                <w:color w:val="17365D"/>
                <w:lang w:eastAsia="en-AU"/>
              </w:rPr>
              <w:t>Change of company control</w:t>
            </w:r>
          </w:p>
        </w:tc>
        <w:tc>
          <w:tcPr>
            <w:tcW w:w="1306" w:type="dxa"/>
            <w:tcBorders>
              <w:top w:val="nil"/>
              <w:left w:val="nil"/>
              <w:bottom w:val="single" w:sz="8" w:space="0" w:color="95B3D7"/>
              <w:right w:val="nil"/>
            </w:tcBorders>
            <w:vAlign w:val="center"/>
            <w:hideMark/>
          </w:tcPr>
          <w:p w14:paraId="3314EB4F"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0.80</w:t>
            </w:r>
          </w:p>
        </w:tc>
        <w:tc>
          <w:tcPr>
            <w:tcW w:w="1171" w:type="dxa"/>
            <w:tcBorders>
              <w:top w:val="nil"/>
              <w:left w:val="nil"/>
              <w:bottom w:val="single" w:sz="8" w:space="0" w:color="95B3D7"/>
              <w:right w:val="nil"/>
            </w:tcBorders>
            <w:vAlign w:val="center"/>
            <w:hideMark/>
          </w:tcPr>
          <w:p w14:paraId="4493F9A9"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0.33</w:t>
            </w:r>
          </w:p>
        </w:tc>
        <w:tc>
          <w:tcPr>
            <w:tcW w:w="1014" w:type="dxa"/>
            <w:tcBorders>
              <w:top w:val="nil"/>
              <w:left w:val="nil"/>
              <w:bottom w:val="single" w:sz="8" w:space="0" w:color="95B3D7"/>
              <w:right w:val="nil"/>
            </w:tcBorders>
            <w:vAlign w:val="center"/>
            <w:hideMark/>
          </w:tcPr>
          <w:p w14:paraId="7BDD9891"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1.12</w:t>
            </w:r>
          </w:p>
        </w:tc>
      </w:tr>
      <w:tr w:rsidR="00FB5C94" w:rsidRPr="00FB5C94" w14:paraId="1E4FF786" w14:textId="77777777" w:rsidTr="00FB5C94">
        <w:trPr>
          <w:trHeight w:val="308"/>
        </w:trPr>
        <w:tc>
          <w:tcPr>
            <w:tcW w:w="861" w:type="dxa"/>
            <w:tcBorders>
              <w:top w:val="nil"/>
              <w:left w:val="single" w:sz="8" w:space="0" w:color="95B3D7"/>
              <w:bottom w:val="single" w:sz="8" w:space="0" w:color="95B3D7"/>
              <w:right w:val="nil"/>
            </w:tcBorders>
            <w:shd w:val="clear" w:color="000000" w:fill="DBE5F1"/>
            <w:vAlign w:val="center"/>
            <w:hideMark/>
          </w:tcPr>
          <w:p w14:paraId="5CE7DE29"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 </w:t>
            </w:r>
          </w:p>
        </w:tc>
        <w:tc>
          <w:tcPr>
            <w:tcW w:w="5409" w:type="dxa"/>
            <w:tcBorders>
              <w:top w:val="nil"/>
              <w:left w:val="nil"/>
              <w:bottom w:val="single" w:sz="8" w:space="0" w:color="95B3D7"/>
              <w:right w:val="nil"/>
            </w:tcBorders>
            <w:shd w:val="clear" w:color="000000" w:fill="DBE5F1"/>
            <w:vAlign w:val="center"/>
            <w:hideMark/>
          </w:tcPr>
          <w:p w14:paraId="4642BC90" w14:textId="77777777" w:rsidR="00FB5C94" w:rsidRPr="00FB5C94" w:rsidRDefault="00FB5C94" w:rsidP="00FB5C94">
            <w:pPr>
              <w:spacing w:after="0" w:line="240" w:lineRule="auto"/>
              <w:rPr>
                <w:rFonts w:ascii="Calibri" w:eastAsia="Times New Roman" w:hAnsi="Calibri" w:cs="Calibri"/>
                <w:color w:val="17365D"/>
                <w:lang w:eastAsia="en-AU"/>
              </w:rPr>
            </w:pPr>
            <w:r w:rsidRPr="00FB5C94">
              <w:rPr>
                <w:rFonts w:ascii="Calibri" w:eastAsia="Times New Roman" w:hAnsi="Calibri" w:cs="Calibri"/>
                <w:color w:val="17365D"/>
                <w:lang w:eastAsia="en-AU"/>
              </w:rPr>
              <w:t>GHG</w:t>
            </w:r>
          </w:p>
        </w:tc>
        <w:tc>
          <w:tcPr>
            <w:tcW w:w="1306" w:type="dxa"/>
            <w:tcBorders>
              <w:top w:val="nil"/>
              <w:left w:val="nil"/>
              <w:bottom w:val="single" w:sz="8" w:space="0" w:color="95B3D7"/>
              <w:right w:val="nil"/>
            </w:tcBorders>
            <w:shd w:val="clear" w:color="000000" w:fill="DBE5F1"/>
            <w:vAlign w:val="center"/>
            <w:hideMark/>
          </w:tcPr>
          <w:p w14:paraId="0948A8D9"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 </w:t>
            </w:r>
          </w:p>
        </w:tc>
        <w:tc>
          <w:tcPr>
            <w:tcW w:w="1171" w:type="dxa"/>
            <w:tcBorders>
              <w:top w:val="nil"/>
              <w:left w:val="nil"/>
              <w:bottom w:val="single" w:sz="8" w:space="0" w:color="95B3D7"/>
              <w:right w:val="nil"/>
            </w:tcBorders>
            <w:shd w:val="clear" w:color="000000" w:fill="DBE5F1"/>
            <w:vAlign w:val="center"/>
            <w:hideMark/>
          </w:tcPr>
          <w:p w14:paraId="438239B7"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 </w:t>
            </w:r>
          </w:p>
        </w:tc>
        <w:tc>
          <w:tcPr>
            <w:tcW w:w="1014" w:type="dxa"/>
            <w:tcBorders>
              <w:top w:val="nil"/>
              <w:left w:val="nil"/>
              <w:bottom w:val="single" w:sz="8" w:space="0" w:color="95B3D7"/>
              <w:right w:val="nil"/>
            </w:tcBorders>
            <w:shd w:val="clear" w:color="000000" w:fill="DBE5F1"/>
            <w:vAlign w:val="center"/>
            <w:hideMark/>
          </w:tcPr>
          <w:p w14:paraId="75ECF3C0"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 </w:t>
            </w:r>
          </w:p>
        </w:tc>
      </w:tr>
      <w:tr w:rsidR="00FB5C94" w:rsidRPr="00FB5C94" w14:paraId="0C6C8CB3" w14:textId="77777777" w:rsidTr="00FB5C94">
        <w:trPr>
          <w:trHeight w:val="308"/>
        </w:trPr>
        <w:tc>
          <w:tcPr>
            <w:tcW w:w="861" w:type="dxa"/>
            <w:tcBorders>
              <w:top w:val="nil"/>
              <w:left w:val="single" w:sz="8" w:space="0" w:color="95B3D7"/>
              <w:bottom w:val="single" w:sz="8" w:space="0" w:color="95B3D7"/>
              <w:right w:val="nil"/>
            </w:tcBorders>
            <w:vAlign w:val="center"/>
            <w:hideMark/>
          </w:tcPr>
          <w:p w14:paraId="7CD7A35F"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13</w:t>
            </w:r>
          </w:p>
        </w:tc>
        <w:tc>
          <w:tcPr>
            <w:tcW w:w="5409" w:type="dxa"/>
            <w:tcBorders>
              <w:top w:val="nil"/>
              <w:left w:val="nil"/>
              <w:bottom w:val="single" w:sz="8" w:space="0" w:color="95B3D7"/>
              <w:right w:val="nil"/>
            </w:tcBorders>
            <w:vAlign w:val="center"/>
            <w:hideMark/>
          </w:tcPr>
          <w:p w14:paraId="77A36F97" w14:textId="77777777" w:rsidR="00FB5C94" w:rsidRPr="00FB5C94" w:rsidRDefault="00FB5C94" w:rsidP="00FB5C94">
            <w:pPr>
              <w:spacing w:after="0" w:line="240" w:lineRule="auto"/>
              <w:rPr>
                <w:rFonts w:ascii="Calibri" w:eastAsia="Times New Roman" w:hAnsi="Calibri" w:cs="Calibri"/>
                <w:color w:val="17365D"/>
                <w:lang w:eastAsia="en-AU"/>
              </w:rPr>
            </w:pPr>
            <w:r w:rsidRPr="00FB5C94">
              <w:rPr>
                <w:rFonts w:ascii="Calibri" w:eastAsia="Times New Roman" w:hAnsi="Calibri" w:cs="Calibri"/>
                <w:color w:val="17365D"/>
                <w:lang w:eastAsia="en-AU"/>
              </w:rPr>
              <w:t>Acreage Release</w:t>
            </w:r>
          </w:p>
        </w:tc>
        <w:tc>
          <w:tcPr>
            <w:tcW w:w="1306" w:type="dxa"/>
            <w:tcBorders>
              <w:top w:val="nil"/>
              <w:left w:val="nil"/>
              <w:bottom w:val="single" w:sz="8" w:space="0" w:color="95B3D7"/>
              <w:right w:val="nil"/>
            </w:tcBorders>
            <w:vAlign w:val="center"/>
            <w:hideMark/>
          </w:tcPr>
          <w:p w14:paraId="53FCEC44"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0.20</w:t>
            </w:r>
          </w:p>
        </w:tc>
        <w:tc>
          <w:tcPr>
            <w:tcW w:w="1171" w:type="dxa"/>
            <w:tcBorders>
              <w:top w:val="nil"/>
              <w:left w:val="nil"/>
              <w:bottom w:val="single" w:sz="8" w:space="0" w:color="95B3D7"/>
              <w:right w:val="nil"/>
            </w:tcBorders>
            <w:vAlign w:val="center"/>
            <w:hideMark/>
          </w:tcPr>
          <w:p w14:paraId="2900C2A6"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0.08</w:t>
            </w:r>
          </w:p>
        </w:tc>
        <w:tc>
          <w:tcPr>
            <w:tcW w:w="1014" w:type="dxa"/>
            <w:tcBorders>
              <w:top w:val="nil"/>
              <w:left w:val="nil"/>
              <w:bottom w:val="single" w:sz="8" w:space="0" w:color="95B3D7"/>
              <w:right w:val="nil"/>
            </w:tcBorders>
            <w:vAlign w:val="center"/>
            <w:hideMark/>
          </w:tcPr>
          <w:p w14:paraId="1D381AE5"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0.28</w:t>
            </w:r>
          </w:p>
        </w:tc>
      </w:tr>
      <w:tr w:rsidR="00FB5C94" w:rsidRPr="00FB5C94" w14:paraId="47841C3A" w14:textId="77777777" w:rsidTr="00FB5C94">
        <w:trPr>
          <w:trHeight w:val="308"/>
        </w:trPr>
        <w:tc>
          <w:tcPr>
            <w:tcW w:w="861" w:type="dxa"/>
            <w:tcBorders>
              <w:top w:val="nil"/>
              <w:left w:val="single" w:sz="8" w:space="0" w:color="95B3D7"/>
              <w:bottom w:val="single" w:sz="8" w:space="0" w:color="95B3D7"/>
              <w:right w:val="nil"/>
            </w:tcBorders>
            <w:shd w:val="clear" w:color="000000" w:fill="DBE5F1"/>
            <w:vAlign w:val="center"/>
            <w:hideMark/>
          </w:tcPr>
          <w:p w14:paraId="3B5E69C6"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14</w:t>
            </w:r>
          </w:p>
        </w:tc>
        <w:tc>
          <w:tcPr>
            <w:tcW w:w="5409" w:type="dxa"/>
            <w:tcBorders>
              <w:top w:val="nil"/>
              <w:left w:val="nil"/>
              <w:bottom w:val="single" w:sz="8" w:space="0" w:color="95B3D7"/>
              <w:right w:val="nil"/>
            </w:tcBorders>
            <w:shd w:val="clear" w:color="000000" w:fill="DBE5F1"/>
            <w:vAlign w:val="center"/>
            <w:hideMark/>
          </w:tcPr>
          <w:p w14:paraId="300C93FE" w14:textId="77777777" w:rsidR="00FB5C94" w:rsidRPr="00FB5C94" w:rsidRDefault="00FB5C94" w:rsidP="00FB5C94">
            <w:pPr>
              <w:spacing w:after="0" w:line="240" w:lineRule="auto"/>
              <w:rPr>
                <w:rFonts w:ascii="Calibri" w:eastAsia="Times New Roman" w:hAnsi="Calibri" w:cs="Calibri"/>
                <w:color w:val="17365D"/>
                <w:lang w:eastAsia="en-AU"/>
              </w:rPr>
            </w:pPr>
            <w:r w:rsidRPr="00FB5C94">
              <w:rPr>
                <w:rFonts w:ascii="Calibri" w:eastAsia="Times New Roman" w:hAnsi="Calibri" w:cs="Calibri"/>
                <w:color w:val="17365D"/>
                <w:lang w:eastAsia="en-AU"/>
              </w:rPr>
              <w:t>Assessment Permit</w:t>
            </w:r>
          </w:p>
        </w:tc>
        <w:tc>
          <w:tcPr>
            <w:tcW w:w="1306" w:type="dxa"/>
            <w:tcBorders>
              <w:top w:val="nil"/>
              <w:left w:val="nil"/>
              <w:bottom w:val="single" w:sz="8" w:space="0" w:color="95B3D7"/>
              <w:right w:val="nil"/>
            </w:tcBorders>
            <w:shd w:val="clear" w:color="000000" w:fill="DBE5F1"/>
            <w:vAlign w:val="center"/>
            <w:hideMark/>
          </w:tcPr>
          <w:p w14:paraId="6D96408D"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0.97</w:t>
            </w:r>
          </w:p>
        </w:tc>
        <w:tc>
          <w:tcPr>
            <w:tcW w:w="1171" w:type="dxa"/>
            <w:tcBorders>
              <w:top w:val="nil"/>
              <w:left w:val="nil"/>
              <w:bottom w:val="single" w:sz="8" w:space="0" w:color="95B3D7"/>
              <w:right w:val="nil"/>
            </w:tcBorders>
            <w:shd w:val="clear" w:color="000000" w:fill="DBE5F1"/>
            <w:vAlign w:val="center"/>
            <w:hideMark/>
          </w:tcPr>
          <w:p w14:paraId="383753CA"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0.46</w:t>
            </w:r>
          </w:p>
        </w:tc>
        <w:tc>
          <w:tcPr>
            <w:tcW w:w="1014" w:type="dxa"/>
            <w:tcBorders>
              <w:top w:val="nil"/>
              <w:left w:val="nil"/>
              <w:bottom w:val="single" w:sz="8" w:space="0" w:color="95B3D7"/>
              <w:right w:val="nil"/>
            </w:tcBorders>
            <w:shd w:val="clear" w:color="000000" w:fill="DBE5F1"/>
            <w:vAlign w:val="center"/>
            <w:hideMark/>
          </w:tcPr>
          <w:p w14:paraId="3D963BE2"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1.43</w:t>
            </w:r>
          </w:p>
        </w:tc>
      </w:tr>
      <w:tr w:rsidR="00FB5C94" w:rsidRPr="00FB5C94" w14:paraId="0DFC4FB2" w14:textId="77777777" w:rsidTr="00FB5C94">
        <w:trPr>
          <w:trHeight w:val="308"/>
        </w:trPr>
        <w:tc>
          <w:tcPr>
            <w:tcW w:w="861" w:type="dxa"/>
            <w:tcBorders>
              <w:top w:val="nil"/>
              <w:left w:val="single" w:sz="8" w:space="0" w:color="95B3D7"/>
              <w:bottom w:val="single" w:sz="8" w:space="0" w:color="95B3D7"/>
              <w:right w:val="nil"/>
            </w:tcBorders>
            <w:vAlign w:val="center"/>
            <w:hideMark/>
          </w:tcPr>
          <w:p w14:paraId="323BAFB8"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15</w:t>
            </w:r>
          </w:p>
        </w:tc>
        <w:tc>
          <w:tcPr>
            <w:tcW w:w="5409" w:type="dxa"/>
            <w:tcBorders>
              <w:top w:val="nil"/>
              <w:left w:val="nil"/>
              <w:bottom w:val="single" w:sz="8" w:space="0" w:color="95B3D7"/>
              <w:right w:val="nil"/>
            </w:tcBorders>
            <w:vAlign w:val="center"/>
            <w:hideMark/>
          </w:tcPr>
          <w:p w14:paraId="36D0E6BC" w14:textId="77777777" w:rsidR="00FB5C94" w:rsidRPr="00FB5C94" w:rsidRDefault="00FB5C94" w:rsidP="00FB5C94">
            <w:pPr>
              <w:spacing w:after="0" w:line="240" w:lineRule="auto"/>
              <w:rPr>
                <w:rFonts w:ascii="Calibri" w:eastAsia="Times New Roman" w:hAnsi="Calibri" w:cs="Calibri"/>
                <w:color w:val="17365D"/>
                <w:lang w:eastAsia="en-AU"/>
              </w:rPr>
            </w:pPr>
            <w:r w:rsidRPr="00FB5C94">
              <w:rPr>
                <w:rFonts w:ascii="Calibri" w:eastAsia="Times New Roman" w:hAnsi="Calibri" w:cs="Calibri"/>
                <w:color w:val="17365D"/>
                <w:lang w:eastAsia="en-AU"/>
              </w:rPr>
              <w:t>Suspension and extension</w:t>
            </w:r>
          </w:p>
        </w:tc>
        <w:tc>
          <w:tcPr>
            <w:tcW w:w="1306" w:type="dxa"/>
            <w:tcBorders>
              <w:top w:val="nil"/>
              <w:left w:val="nil"/>
              <w:bottom w:val="single" w:sz="8" w:space="0" w:color="95B3D7"/>
              <w:right w:val="nil"/>
            </w:tcBorders>
            <w:vAlign w:val="center"/>
            <w:hideMark/>
          </w:tcPr>
          <w:p w14:paraId="07307951"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0.26</w:t>
            </w:r>
          </w:p>
        </w:tc>
        <w:tc>
          <w:tcPr>
            <w:tcW w:w="1171" w:type="dxa"/>
            <w:tcBorders>
              <w:top w:val="nil"/>
              <w:left w:val="nil"/>
              <w:bottom w:val="single" w:sz="8" w:space="0" w:color="95B3D7"/>
              <w:right w:val="nil"/>
            </w:tcBorders>
            <w:vAlign w:val="center"/>
            <w:hideMark/>
          </w:tcPr>
          <w:p w14:paraId="69AAC2AF"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0.11</w:t>
            </w:r>
          </w:p>
        </w:tc>
        <w:tc>
          <w:tcPr>
            <w:tcW w:w="1014" w:type="dxa"/>
            <w:tcBorders>
              <w:top w:val="nil"/>
              <w:left w:val="nil"/>
              <w:bottom w:val="single" w:sz="8" w:space="0" w:color="95B3D7"/>
              <w:right w:val="nil"/>
            </w:tcBorders>
            <w:vAlign w:val="center"/>
            <w:hideMark/>
          </w:tcPr>
          <w:p w14:paraId="56FB9E7F"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0.37</w:t>
            </w:r>
          </w:p>
        </w:tc>
      </w:tr>
      <w:tr w:rsidR="00FB5C94" w:rsidRPr="00FB5C94" w14:paraId="262C7F92" w14:textId="77777777" w:rsidTr="00FB5C94">
        <w:trPr>
          <w:trHeight w:val="308"/>
        </w:trPr>
        <w:tc>
          <w:tcPr>
            <w:tcW w:w="861" w:type="dxa"/>
            <w:tcBorders>
              <w:top w:val="nil"/>
              <w:left w:val="single" w:sz="8" w:space="0" w:color="95B3D7"/>
              <w:bottom w:val="single" w:sz="8" w:space="0" w:color="95B3D7"/>
              <w:right w:val="nil"/>
            </w:tcBorders>
            <w:shd w:val="clear" w:color="000000" w:fill="DBE5F1"/>
            <w:vAlign w:val="center"/>
            <w:hideMark/>
          </w:tcPr>
          <w:p w14:paraId="238A262C"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16</w:t>
            </w:r>
          </w:p>
        </w:tc>
        <w:tc>
          <w:tcPr>
            <w:tcW w:w="5409" w:type="dxa"/>
            <w:tcBorders>
              <w:top w:val="nil"/>
              <w:left w:val="nil"/>
              <w:bottom w:val="single" w:sz="8" w:space="0" w:color="95B3D7"/>
              <w:right w:val="nil"/>
            </w:tcBorders>
            <w:shd w:val="clear" w:color="000000" w:fill="DBE5F1"/>
            <w:vAlign w:val="center"/>
            <w:hideMark/>
          </w:tcPr>
          <w:p w14:paraId="05E73CE8" w14:textId="77777777" w:rsidR="00FB5C94" w:rsidRPr="00FB5C94" w:rsidRDefault="00FB5C94" w:rsidP="00FB5C94">
            <w:pPr>
              <w:spacing w:after="0" w:line="240" w:lineRule="auto"/>
              <w:rPr>
                <w:rFonts w:ascii="Calibri" w:eastAsia="Times New Roman" w:hAnsi="Calibri" w:cs="Calibri"/>
                <w:color w:val="17365D"/>
                <w:lang w:eastAsia="en-AU"/>
              </w:rPr>
            </w:pPr>
            <w:r w:rsidRPr="00FB5C94">
              <w:rPr>
                <w:rFonts w:ascii="Calibri" w:eastAsia="Times New Roman" w:hAnsi="Calibri" w:cs="Calibri"/>
                <w:color w:val="17365D"/>
                <w:lang w:eastAsia="en-AU"/>
              </w:rPr>
              <w:t>Approval for a key gas operation</w:t>
            </w:r>
          </w:p>
        </w:tc>
        <w:tc>
          <w:tcPr>
            <w:tcW w:w="1306" w:type="dxa"/>
            <w:tcBorders>
              <w:top w:val="nil"/>
              <w:left w:val="nil"/>
              <w:bottom w:val="single" w:sz="8" w:space="0" w:color="95B3D7"/>
              <w:right w:val="nil"/>
            </w:tcBorders>
            <w:shd w:val="clear" w:color="000000" w:fill="DBE5F1"/>
            <w:vAlign w:val="center"/>
            <w:hideMark/>
          </w:tcPr>
          <w:p w14:paraId="1318385F"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0.28</w:t>
            </w:r>
          </w:p>
        </w:tc>
        <w:tc>
          <w:tcPr>
            <w:tcW w:w="1171" w:type="dxa"/>
            <w:tcBorders>
              <w:top w:val="nil"/>
              <w:left w:val="nil"/>
              <w:bottom w:val="single" w:sz="8" w:space="0" w:color="95B3D7"/>
              <w:right w:val="nil"/>
            </w:tcBorders>
            <w:shd w:val="clear" w:color="000000" w:fill="DBE5F1"/>
            <w:vAlign w:val="center"/>
            <w:hideMark/>
          </w:tcPr>
          <w:p w14:paraId="23374ECF"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0.11</w:t>
            </w:r>
          </w:p>
        </w:tc>
        <w:tc>
          <w:tcPr>
            <w:tcW w:w="1014" w:type="dxa"/>
            <w:tcBorders>
              <w:top w:val="nil"/>
              <w:left w:val="nil"/>
              <w:bottom w:val="single" w:sz="8" w:space="0" w:color="95B3D7"/>
              <w:right w:val="nil"/>
            </w:tcBorders>
            <w:shd w:val="clear" w:color="000000" w:fill="DBE5F1"/>
            <w:vAlign w:val="center"/>
            <w:hideMark/>
          </w:tcPr>
          <w:p w14:paraId="1BD71AD1"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0.40</w:t>
            </w:r>
          </w:p>
        </w:tc>
      </w:tr>
      <w:tr w:rsidR="00FB5C94" w:rsidRPr="00FB5C94" w14:paraId="0B873225" w14:textId="77777777" w:rsidTr="00FB5C94">
        <w:trPr>
          <w:trHeight w:val="308"/>
        </w:trPr>
        <w:tc>
          <w:tcPr>
            <w:tcW w:w="861" w:type="dxa"/>
            <w:tcBorders>
              <w:top w:val="nil"/>
              <w:left w:val="single" w:sz="8" w:space="0" w:color="95B3D7"/>
              <w:bottom w:val="single" w:sz="8" w:space="0" w:color="95B3D7"/>
              <w:right w:val="nil"/>
            </w:tcBorders>
            <w:vAlign w:val="center"/>
            <w:hideMark/>
          </w:tcPr>
          <w:p w14:paraId="1426CDFF"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17</w:t>
            </w:r>
          </w:p>
        </w:tc>
        <w:tc>
          <w:tcPr>
            <w:tcW w:w="5409" w:type="dxa"/>
            <w:tcBorders>
              <w:top w:val="nil"/>
              <w:left w:val="nil"/>
              <w:bottom w:val="single" w:sz="8" w:space="0" w:color="95B3D7"/>
              <w:right w:val="nil"/>
            </w:tcBorders>
            <w:vAlign w:val="center"/>
            <w:hideMark/>
          </w:tcPr>
          <w:p w14:paraId="2FB96DD4" w14:textId="77777777" w:rsidR="00FB5C94" w:rsidRPr="00FB5C94" w:rsidRDefault="00FB5C94" w:rsidP="00FB5C94">
            <w:pPr>
              <w:spacing w:after="0" w:line="240" w:lineRule="auto"/>
              <w:rPr>
                <w:rFonts w:ascii="Calibri" w:eastAsia="Times New Roman" w:hAnsi="Calibri" w:cs="Calibri"/>
                <w:color w:val="17365D"/>
                <w:lang w:eastAsia="en-AU"/>
              </w:rPr>
            </w:pPr>
            <w:r w:rsidRPr="00FB5C94">
              <w:rPr>
                <w:rFonts w:ascii="Calibri" w:eastAsia="Times New Roman" w:hAnsi="Calibri" w:cs="Calibri"/>
                <w:color w:val="17365D"/>
                <w:lang w:eastAsia="en-AU"/>
              </w:rPr>
              <w:t>Declaration of identified storage formation</w:t>
            </w:r>
          </w:p>
        </w:tc>
        <w:tc>
          <w:tcPr>
            <w:tcW w:w="1306" w:type="dxa"/>
            <w:tcBorders>
              <w:top w:val="nil"/>
              <w:left w:val="nil"/>
              <w:bottom w:val="single" w:sz="8" w:space="0" w:color="95B3D7"/>
              <w:right w:val="nil"/>
            </w:tcBorders>
            <w:vAlign w:val="center"/>
            <w:hideMark/>
          </w:tcPr>
          <w:p w14:paraId="77B72EB6"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1.50</w:t>
            </w:r>
          </w:p>
        </w:tc>
        <w:tc>
          <w:tcPr>
            <w:tcW w:w="1171" w:type="dxa"/>
            <w:tcBorders>
              <w:top w:val="nil"/>
              <w:left w:val="nil"/>
              <w:bottom w:val="single" w:sz="8" w:space="0" w:color="95B3D7"/>
              <w:right w:val="nil"/>
            </w:tcBorders>
            <w:vAlign w:val="center"/>
            <w:hideMark/>
          </w:tcPr>
          <w:p w14:paraId="4987EE02"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0.59</w:t>
            </w:r>
          </w:p>
        </w:tc>
        <w:tc>
          <w:tcPr>
            <w:tcW w:w="1014" w:type="dxa"/>
            <w:tcBorders>
              <w:top w:val="nil"/>
              <w:left w:val="nil"/>
              <w:bottom w:val="single" w:sz="8" w:space="0" w:color="95B3D7"/>
              <w:right w:val="nil"/>
            </w:tcBorders>
            <w:vAlign w:val="center"/>
            <w:hideMark/>
          </w:tcPr>
          <w:p w14:paraId="7EC2A029"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2.08</w:t>
            </w:r>
          </w:p>
        </w:tc>
      </w:tr>
      <w:tr w:rsidR="00FB5C94" w:rsidRPr="00FB5C94" w14:paraId="7374B67F" w14:textId="77777777" w:rsidTr="00FB5C94">
        <w:trPr>
          <w:trHeight w:val="308"/>
        </w:trPr>
        <w:tc>
          <w:tcPr>
            <w:tcW w:w="861" w:type="dxa"/>
            <w:tcBorders>
              <w:top w:val="nil"/>
              <w:left w:val="single" w:sz="8" w:space="0" w:color="95B3D7"/>
              <w:bottom w:val="single" w:sz="8" w:space="0" w:color="95B3D7"/>
              <w:right w:val="nil"/>
            </w:tcBorders>
            <w:shd w:val="clear" w:color="000000" w:fill="DBE5F1"/>
            <w:vAlign w:val="center"/>
            <w:hideMark/>
          </w:tcPr>
          <w:p w14:paraId="5C9B629F"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18</w:t>
            </w:r>
          </w:p>
        </w:tc>
        <w:tc>
          <w:tcPr>
            <w:tcW w:w="5409" w:type="dxa"/>
            <w:tcBorders>
              <w:top w:val="nil"/>
              <w:left w:val="nil"/>
              <w:bottom w:val="single" w:sz="8" w:space="0" w:color="95B3D7"/>
              <w:right w:val="nil"/>
            </w:tcBorders>
            <w:shd w:val="clear" w:color="000000" w:fill="DBE5F1"/>
            <w:vAlign w:val="center"/>
            <w:hideMark/>
          </w:tcPr>
          <w:p w14:paraId="50235BE8" w14:textId="77777777" w:rsidR="00FB5C94" w:rsidRPr="00FB5C94" w:rsidRDefault="00FB5C94" w:rsidP="00FB5C94">
            <w:pPr>
              <w:spacing w:after="0" w:line="240" w:lineRule="auto"/>
              <w:rPr>
                <w:rFonts w:ascii="Calibri" w:eastAsia="Times New Roman" w:hAnsi="Calibri" w:cs="Calibri"/>
                <w:color w:val="17365D"/>
                <w:lang w:eastAsia="en-AU"/>
              </w:rPr>
            </w:pPr>
            <w:r w:rsidRPr="00FB5C94">
              <w:rPr>
                <w:rFonts w:ascii="Calibri" w:eastAsia="Times New Roman" w:hAnsi="Calibri" w:cs="Calibri"/>
                <w:color w:val="17365D"/>
                <w:lang w:eastAsia="en-AU"/>
              </w:rPr>
              <w:t>Holding Lease</w:t>
            </w:r>
          </w:p>
        </w:tc>
        <w:tc>
          <w:tcPr>
            <w:tcW w:w="1306" w:type="dxa"/>
            <w:tcBorders>
              <w:top w:val="nil"/>
              <w:left w:val="nil"/>
              <w:bottom w:val="single" w:sz="8" w:space="0" w:color="95B3D7"/>
              <w:right w:val="nil"/>
            </w:tcBorders>
            <w:shd w:val="clear" w:color="000000" w:fill="DBE5F1"/>
            <w:vAlign w:val="center"/>
            <w:hideMark/>
          </w:tcPr>
          <w:p w14:paraId="7789AD91"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0.32</w:t>
            </w:r>
          </w:p>
        </w:tc>
        <w:tc>
          <w:tcPr>
            <w:tcW w:w="1171" w:type="dxa"/>
            <w:tcBorders>
              <w:top w:val="nil"/>
              <w:left w:val="nil"/>
              <w:bottom w:val="single" w:sz="8" w:space="0" w:color="95B3D7"/>
              <w:right w:val="nil"/>
            </w:tcBorders>
            <w:shd w:val="clear" w:color="000000" w:fill="DBE5F1"/>
            <w:vAlign w:val="center"/>
            <w:hideMark/>
          </w:tcPr>
          <w:p w14:paraId="77D48F28"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0.12</w:t>
            </w:r>
          </w:p>
        </w:tc>
        <w:tc>
          <w:tcPr>
            <w:tcW w:w="1014" w:type="dxa"/>
            <w:tcBorders>
              <w:top w:val="nil"/>
              <w:left w:val="nil"/>
              <w:bottom w:val="single" w:sz="8" w:space="0" w:color="95B3D7"/>
              <w:right w:val="nil"/>
            </w:tcBorders>
            <w:shd w:val="clear" w:color="000000" w:fill="DBE5F1"/>
            <w:vAlign w:val="center"/>
            <w:hideMark/>
          </w:tcPr>
          <w:p w14:paraId="3084D88F"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0.43</w:t>
            </w:r>
          </w:p>
        </w:tc>
      </w:tr>
      <w:tr w:rsidR="00FB5C94" w:rsidRPr="00FB5C94" w14:paraId="59347E8E" w14:textId="77777777" w:rsidTr="00FB5C94">
        <w:trPr>
          <w:trHeight w:val="308"/>
        </w:trPr>
        <w:tc>
          <w:tcPr>
            <w:tcW w:w="861" w:type="dxa"/>
            <w:tcBorders>
              <w:top w:val="nil"/>
              <w:left w:val="single" w:sz="8" w:space="0" w:color="95B3D7"/>
              <w:bottom w:val="single" w:sz="8" w:space="0" w:color="95B3D7"/>
              <w:right w:val="nil"/>
            </w:tcBorders>
            <w:vAlign w:val="center"/>
            <w:hideMark/>
          </w:tcPr>
          <w:p w14:paraId="5F8A0A17"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19</w:t>
            </w:r>
          </w:p>
        </w:tc>
        <w:tc>
          <w:tcPr>
            <w:tcW w:w="5409" w:type="dxa"/>
            <w:tcBorders>
              <w:top w:val="nil"/>
              <w:left w:val="nil"/>
              <w:bottom w:val="single" w:sz="8" w:space="0" w:color="95B3D7"/>
              <w:right w:val="nil"/>
            </w:tcBorders>
            <w:vAlign w:val="center"/>
            <w:hideMark/>
          </w:tcPr>
          <w:p w14:paraId="4DB1FA2F" w14:textId="77777777" w:rsidR="00FB5C94" w:rsidRPr="00FB5C94" w:rsidRDefault="00FB5C94" w:rsidP="00FB5C94">
            <w:pPr>
              <w:spacing w:after="0" w:line="240" w:lineRule="auto"/>
              <w:rPr>
                <w:rFonts w:ascii="Calibri" w:eastAsia="Times New Roman" w:hAnsi="Calibri" w:cs="Calibri"/>
                <w:color w:val="17365D"/>
                <w:lang w:eastAsia="en-AU"/>
              </w:rPr>
            </w:pPr>
            <w:r w:rsidRPr="00FB5C94">
              <w:rPr>
                <w:rFonts w:ascii="Calibri" w:eastAsia="Times New Roman" w:hAnsi="Calibri" w:cs="Calibri"/>
                <w:color w:val="17365D"/>
                <w:lang w:eastAsia="en-AU"/>
              </w:rPr>
              <w:t>Injection Licence</w:t>
            </w:r>
          </w:p>
        </w:tc>
        <w:tc>
          <w:tcPr>
            <w:tcW w:w="1306" w:type="dxa"/>
            <w:tcBorders>
              <w:top w:val="nil"/>
              <w:left w:val="nil"/>
              <w:bottom w:val="single" w:sz="8" w:space="0" w:color="95B3D7"/>
              <w:right w:val="nil"/>
            </w:tcBorders>
            <w:vAlign w:val="center"/>
            <w:hideMark/>
          </w:tcPr>
          <w:p w14:paraId="3FD7B125"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0.66</w:t>
            </w:r>
          </w:p>
        </w:tc>
        <w:tc>
          <w:tcPr>
            <w:tcW w:w="1171" w:type="dxa"/>
            <w:tcBorders>
              <w:top w:val="nil"/>
              <w:left w:val="nil"/>
              <w:bottom w:val="single" w:sz="8" w:space="0" w:color="95B3D7"/>
              <w:right w:val="nil"/>
            </w:tcBorders>
            <w:vAlign w:val="center"/>
            <w:hideMark/>
          </w:tcPr>
          <w:p w14:paraId="50B3AAA3"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0.24</w:t>
            </w:r>
          </w:p>
        </w:tc>
        <w:tc>
          <w:tcPr>
            <w:tcW w:w="1014" w:type="dxa"/>
            <w:tcBorders>
              <w:top w:val="nil"/>
              <w:left w:val="nil"/>
              <w:bottom w:val="single" w:sz="8" w:space="0" w:color="95B3D7"/>
              <w:right w:val="nil"/>
            </w:tcBorders>
            <w:vAlign w:val="center"/>
            <w:hideMark/>
          </w:tcPr>
          <w:p w14:paraId="17A61306"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0.90</w:t>
            </w:r>
          </w:p>
        </w:tc>
      </w:tr>
      <w:tr w:rsidR="00FB5C94" w:rsidRPr="00FB5C94" w14:paraId="4B7F1454" w14:textId="77777777" w:rsidTr="00FB5C94">
        <w:trPr>
          <w:trHeight w:val="308"/>
        </w:trPr>
        <w:tc>
          <w:tcPr>
            <w:tcW w:w="861" w:type="dxa"/>
            <w:tcBorders>
              <w:top w:val="nil"/>
              <w:left w:val="single" w:sz="8" w:space="0" w:color="95B3D7"/>
              <w:bottom w:val="single" w:sz="8" w:space="0" w:color="95B3D7"/>
              <w:right w:val="nil"/>
            </w:tcBorders>
            <w:shd w:val="clear" w:color="000000" w:fill="DBE5F1"/>
            <w:vAlign w:val="center"/>
            <w:hideMark/>
          </w:tcPr>
          <w:p w14:paraId="4DE80253"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20</w:t>
            </w:r>
          </w:p>
        </w:tc>
        <w:tc>
          <w:tcPr>
            <w:tcW w:w="5409" w:type="dxa"/>
            <w:tcBorders>
              <w:top w:val="nil"/>
              <w:left w:val="nil"/>
              <w:bottom w:val="single" w:sz="8" w:space="0" w:color="95B3D7"/>
              <w:right w:val="nil"/>
            </w:tcBorders>
            <w:shd w:val="clear" w:color="000000" w:fill="DBE5F1"/>
            <w:vAlign w:val="center"/>
            <w:hideMark/>
          </w:tcPr>
          <w:p w14:paraId="58AE03D7" w14:textId="77777777" w:rsidR="00FB5C94" w:rsidRPr="00FB5C94" w:rsidRDefault="00FB5C94" w:rsidP="00FB5C94">
            <w:pPr>
              <w:spacing w:after="0" w:line="240" w:lineRule="auto"/>
              <w:rPr>
                <w:rFonts w:ascii="Calibri" w:eastAsia="Times New Roman" w:hAnsi="Calibri" w:cs="Calibri"/>
                <w:color w:val="17365D"/>
                <w:lang w:eastAsia="en-AU"/>
              </w:rPr>
            </w:pPr>
            <w:r w:rsidRPr="00FB5C94">
              <w:rPr>
                <w:rFonts w:ascii="Calibri" w:eastAsia="Times New Roman" w:hAnsi="Calibri" w:cs="Calibri"/>
                <w:color w:val="17365D"/>
                <w:lang w:eastAsia="en-AU"/>
              </w:rPr>
              <w:t>Search &amp; Special Authorities, Resource Consents</w:t>
            </w:r>
          </w:p>
        </w:tc>
        <w:tc>
          <w:tcPr>
            <w:tcW w:w="1306" w:type="dxa"/>
            <w:tcBorders>
              <w:top w:val="nil"/>
              <w:left w:val="nil"/>
              <w:bottom w:val="single" w:sz="8" w:space="0" w:color="95B3D7"/>
              <w:right w:val="nil"/>
            </w:tcBorders>
            <w:shd w:val="clear" w:color="000000" w:fill="DBE5F1"/>
            <w:vAlign w:val="center"/>
            <w:hideMark/>
          </w:tcPr>
          <w:p w14:paraId="26D63935"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0.29</w:t>
            </w:r>
          </w:p>
        </w:tc>
        <w:tc>
          <w:tcPr>
            <w:tcW w:w="1171" w:type="dxa"/>
            <w:tcBorders>
              <w:top w:val="nil"/>
              <w:left w:val="nil"/>
              <w:bottom w:val="single" w:sz="8" w:space="0" w:color="95B3D7"/>
              <w:right w:val="nil"/>
            </w:tcBorders>
            <w:shd w:val="clear" w:color="000000" w:fill="DBE5F1"/>
            <w:vAlign w:val="center"/>
            <w:hideMark/>
          </w:tcPr>
          <w:p w14:paraId="035D6187"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0.12</w:t>
            </w:r>
          </w:p>
        </w:tc>
        <w:tc>
          <w:tcPr>
            <w:tcW w:w="1014" w:type="dxa"/>
            <w:tcBorders>
              <w:top w:val="nil"/>
              <w:left w:val="nil"/>
              <w:bottom w:val="single" w:sz="8" w:space="0" w:color="95B3D7"/>
              <w:right w:val="nil"/>
            </w:tcBorders>
            <w:shd w:val="clear" w:color="000000" w:fill="DBE5F1"/>
            <w:vAlign w:val="center"/>
            <w:hideMark/>
          </w:tcPr>
          <w:p w14:paraId="30731F28"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0.41</w:t>
            </w:r>
          </w:p>
        </w:tc>
      </w:tr>
      <w:tr w:rsidR="00FB5C94" w:rsidRPr="00FB5C94" w14:paraId="0C365602" w14:textId="77777777" w:rsidTr="00FB5C94">
        <w:trPr>
          <w:trHeight w:val="308"/>
        </w:trPr>
        <w:tc>
          <w:tcPr>
            <w:tcW w:w="861" w:type="dxa"/>
            <w:tcBorders>
              <w:top w:val="nil"/>
              <w:left w:val="single" w:sz="8" w:space="0" w:color="95B3D7"/>
              <w:bottom w:val="single" w:sz="8" w:space="0" w:color="95B3D7"/>
              <w:right w:val="nil"/>
            </w:tcBorders>
            <w:vAlign w:val="center"/>
            <w:hideMark/>
          </w:tcPr>
          <w:p w14:paraId="653BA957"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21</w:t>
            </w:r>
          </w:p>
        </w:tc>
        <w:tc>
          <w:tcPr>
            <w:tcW w:w="5409" w:type="dxa"/>
            <w:tcBorders>
              <w:top w:val="nil"/>
              <w:left w:val="nil"/>
              <w:bottom w:val="single" w:sz="8" w:space="0" w:color="95B3D7"/>
              <w:right w:val="nil"/>
            </w:tcBorders>
            <w:vAlign w:val="center"/>
            <w:hideMark/>
          </w:tcPr>
          <w:p w14:paraId="3CDC4BBE" w14:textId="77777777" w:rsidR="00FB5C94" w:rsidRPr="00FB5C94" w:rsidRDefault="00FB5C94" w:rsidP="00FB5C94">
            <w:pPr>
              <w:spacing w:after="0" w:line="240" w:lineRule="auto"/>
              <w:rPr>
                <w:rFonts w:ascii="Calibri" w:eastAsia="Times New Roman" w:hAnsi="Calibri" w:cs="Calibri"/>
                <w:color w:val="17365D"/>
                <w:lang w:eastAsia="en-AU"/>
              </w:rPr>
            </w:pPr>
            <w:r w:rsidRPr="00FB5C94">
              <w:rPr>
                <w:rFonts w:ascii="Calibri" w:eastAsia="Times New Roman" w:hAnsi="Calibri" w:cs="Calibri"/>
                <w:color w:val="17365D"/>
                <w:lang w:eastAsia="en-AU"/>
              </w:rPr>
              <w:t>Dealings</w:t>
            </w:r>
          </w:p>
        </w:tc>
        <w:tc>
          <w:tcPr>
            <w:tcW w:w="1306" w:type="dxa"/>
            <w:tcBorders>
              <w:top w:val="nil"/>
              <w:left w:val="nil"/>
              <w:bottom w:val="single" w:sz="8" w:space="0" w:color="95B3D7"/>
              <w:right w:val="nil"/>
            </w:tcBorders>
            <w:vAlign w:val="center"/>
            <w:hideMark/>
          </w:tcPr>
          <w:p w14:paraId="6A528965"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0.09</w:t>
            </w:r>
          </w:p>
        </w:tc>
        <w:tc>
          <w:tcPr>
            <w:tcW w:w="1171" w:type="dxa"/>
            <w:tcBorders>
              <w:top w:val="nil"/>
              <w:left w:val="nil"/>
              <w:bottom w:val="single" w:sz="8" w:space="0" w:color="95B3D7"/>
              <w:right w:val="nil"/>
            </w:tcBorders>
            <w:vAlign w:val="center"/>
            <w:hideMark/>
          </w:tcPr>
          <w:p w14:paraId="7B6DCB91"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0.03</w:t>
            </w:r>
          </w:p>
        </w:tc>
        <w:tc>
          <w:tcPr>
            <w:tcW w:w="1014" w:type="dxa"/>
            <w:tcBorders>
              <w:top w:val="nil"/>
              <w:left w:val="nil"/>
              <w:bottom w:val="single" w:sz="8" w:space="0" w:color="95B3D7"/>
              <w:right w:val="nil"/>
            </w:tcBorders>
            <w:vAlign w:val="center"/>
            <w:hideMark/>
          </w:tcPr>
          <w:p w14:paraId="3E277EC0"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0.13</w:t>
            </w:r>
          </w:p>
        </w:tc>
      </w:tr>
      <w:tr w:rsidR="00FB5C94" w:rsidRPr="00FB5C94" w14:paraId="2A4483DE" w14:textId="77777777" w:rsidTr="00FB5C94">
        <w:trPr>
          <w:trHeight w:val="308"/>
        </w:trPr>
        <w:tc>
          <w:tcPr>
            <w:tcW w:w="861" w:type="dxa"/>
            <w:tcBorders>
              <w:top w:val="nil"/>
              <w:left w:val="single" w:sz="8" w:space="0" w:color="95B3D7"/>
              <w:bottom w:val="single" w:sz="8" w:space="0" w:color="95B3D7"/>
              <w:right w:val="nil"/>
            </w:tcBorders>
            <w:shd w:val="clear" w:color="000000" w:fill="DBE5F1"/>
            <w:vAlign w:val="center"/>
            <w:hideMark/>
          </w:tcPr>
          <w:p w14:paraId="1B8E3E6E"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22</w:t>
            </w:r>
          </w:p>
        </w:tc>
        <w:tc>
          <w:tcPr>
            <w:tcW w:w="5409" w:type="dxa"/>
            <w:tcBorders>
              <w:top w:val="nil"/>
              <w:left w:val="nil"/>
              <w:bottom w:val="single" w:sz="8" w:space="0" w:color="95B3D7"/>
              <w:right w:val="nil"/>
            </w:tcBorders>
            <w:shd w:val="clear" w:color="000000" w:fill="DBE5F1"/>
            <w:vAlign w:val="center"/>
            <w:hideMark/>
          </w:tcPr>
          <w:p w14:paraId="3AFDC22D" w14:textId="77777777" w:rsidR="00FB5C94" w:rsidRPr="00FB5C94" w:rsidRDefault="00FB5C94" w:rsidP="00FB5C94">
            <w:pPr>
              <w:spacing w:after="0" w:line="240" w:lineRule="auto"/>
              <w:rPr>
                <w:rFonts w:ascii="Calibri" w:eastAsia="Times New Roman" w:hAnsi="Calibri" w:cs="Calibri"/>
                <w:color w:val="17365D"/>
                <w:lang w:eastAsia="en-AU"/>
              </w:rPr>
            </w:pPr>
            <w:r w:rsidRPr="00FB5C94">
              <w:rPr>
                <w:rFonts w:ascii="Calibri" w:eastAsia="Times New Roman" w:hAnsi="Calibri" w:cs="Calibri"/>
                <w:color w:val="17365D"/>
                <w:lang w:eastAsia="en-AU"/>
              </w:rPr>
              <w:t>Transfers</w:t>
            </w:r>
          </w:p>
        </w:tc>
        <w:tc>
          <w:tcPr>
            <w:tcW w:w="1306" w:type="dxa"/>
            <w:tcBorders>
              <w:top w:val="nil"/>
              <w:left w:val="nil"/>
              <w:bottom w:val="single" w:sz="8" w:space="0" w:color="95B3D7"/>
              <w:right w:val="nil"/>
            </w:tcBorders>
            <w:shd w:val="clear" w:color="000000" w:fill="DBE5F1"/>
            <w:vAlign w:val="center"/>
            <w:hideMark/>
          </w:tcPr>
          <w:p w14:paraId="340F0560"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0.43</w:t>
            </w:r>
          </w:p>
        </w:tc>
        <w:tc>
          <w:tcPr>
            <w:tcW w:w="1171" w:type="dxa"/>
            <w:tcBorders>
              <w:top w:val="nil"/>
              <w:left w:val="nil"/>
              <w:bottom w:val="single" w:sz="8" w:space="0" w:color="95B3D7"/>
              <w:right w:val="nil"/>
            </w:tcBorders>
            <w:shd w:val="clear" w:color="000000" w:fill="DBE5F1"/>
            <w:vAlign w:val="center"/>
            <w:hideMark/>
          </w:tcPr>
          <w:p w14:paraId="3F4E0339"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0.16</w:t>
            </w:r>
          </w:p>
        </w:tc>
        <w:tc>
          <w:tcPr>
            <w:tcW w:w="1014" w:type="dxa"/>
            <w:tcBorders>
              <w:top w:val="nil"/>
              <w:left w:val="nil"/>
              <w:bottom w:val="single" w:sz="8" w:space="0" w:color="95B3D7"/>
              <w:right w:val="nil"/>
            </w:tcBorders>
            <w:shd w:val="clear" w:color="000000" w:fill="DBE5F1"/>
            <w:vAlign w:val="center"/>
            <w:hideMark/>
          </w:tcPr>
          <w:p w14:paraId="2EDE8942"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0.59</w:t>
            </w:r>
          </w:p>
        </w:tc>
      </w:tr>
      <w:tr w:rsidR="00FB5C94" w:rsidRPr="00FB5C94" w14:paraId="348800B1" w14:textId="77777777" w:rsidTr="00FB5C94">
        <w:trPr>
          <w:trHeight w:val="308"/>
        </w:trPr>
        <w:tc>
          <w:tcPr>
            <w:tcW w:w="861" w:type="dxa"/>
            <w:tcBorders>
              <w:top w:val="nil"/>
              <w:left w:val="single" w:sz="8" w:space="0" w:color="95B3D7"/>
              <w:bottom w:val="single" w:sz="8" w:space="0" w:color="95B3D7"/>
              <w:right w:val="nil"/>
            </w:tcBorders>
            <w:vAlign w:val="center"/>
            <w:hideMark/>
          </w:tcPr>
          <w:p w14:paraId="21839BCA"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23</w:t>
            </w:r>
          </w:p>
        </w:tc>
        <w:tc>
          <w:tcPr>
            <w:tcW w:w="5409" w:type="dxa"/>
            <w:tcBorders>
              <w:top w:val="nil"/>
              <w:left w:val="nil"/>
              <w:bottom w:val="single" w:sz="8" w:space="0" w:color="95B3D7"/>
              <w:right w:val="nil"/>
            </w:tcBorders>
            <w:vAlign w:val="center"/>
            <w:hideMark/>
          </w:tcPr>
          <w:p w14:paraId="50FC5A71" w14:textId="77777777" w:rsidR="00FB5C94" w:rsidRPr="00FB5C94" w:rsidRDefault="00FB5C94" w:rsidP="00FB5C94">
            <w:pPr>
              <w:spacing w:after="0" w:line="240" w:lineRule="auto"/>
              <w:rPr>
                <w:rFonts w:ascii="Calibri" w:eastAsia="Times New Roman" w:hAnsi="Calibri" w:cs="Calibri"/>
                <w:color w:val="17365D"/>
                <w:lang w:eastAsia="en-AU"/>
              </w:rPr>
            </w:pPr>
            <w:r w:rsidRPr="00FB5C94">
              <w:rPr>
                <w:rFonts w:ascii="Calibri" w:eastAsia="Times New Roman" w:hAnsi="Calibri" w:cs="Calibri"/>
                <w:color w:val="17365D"/>
                <w:lang w:eastAsia="en-AU"/>
              </w:rPr>
              <w:t>Change of company control</w:t>
            </w:r>
          </w:p>
        </w:tc>
        <w:tc>
          <w:tcPr>
            <w:tcW w:w="1306" w:type="dxa"/>
            <w:tcBorders>
              <w:top w:val="nil"/>
              <w:left w:val="nil"/>
              <w:bottom w:val="single" w:sz="8" w:space="0" w:color="95B3D7"/>
              <w:right w:val="nil"/>
            </w:tcBorders>
            <w:vAlign w:val="center"/>
            <w:hideMark/>
          </w:tcPr>
          <w:p w14:paraId="7C267484"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0.29</w:t>
            </w:r>
          </w:p>
        </w:tc>
        <w:tc>
          <w:tcPr>
            <w:tcW w:w="1171" w:type="dxa"/>
            <w:tcBorders>
              <w:top w:val="nil"/>
              <w:left w:val="nil"/>
              <w:bottom w:val="single" w:sz="8" w:space="0" w:color="95B3D7"/>
              <w:right w:val="nil"/>
            </w:tcBorders>
            <w:vAlign w:val="center"/>
            <w:hideMark/>
          </w:tcPr>
          <w:p w14:paraId="6A50F97E"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0.10</w:t>
            </w:r>
          </w:p>
        </w:tc>
        <w:tc>
          <w:tcPr>
            <w:tcW w:w="1014" w:type="dxa"/>
            <w:tcBorders>
              <w:top w:val="nil"/>
              <w:left w:val="nil"/>
              <w:bottom w:val="single" w:sz="8" w:space="0" w:color="95B3D7"/>
              <w:right w:val="nil"/>
            </w:tcBorders>
            <w:vAlign w:val="center"/>
            <w:hideMark/>
          </w:tcPr>
          <w:p w14:paraId="3F803542" w14:textId="77777777" w:rsidR="00FB5C94" w:rsidRPr="00FB5C94" w:rsidRDefault="00FB5C94" w:rsidP="00FB5C94">
            <w:pPr>
              <w:spacing w:after="0" w:line="240" w:lineRule="auto"/>
              <w:jc w:val="center"/>
              <w:rPr>
                <w:rFonts w:ascii="Calibri" w:eastAsia="Times New Roman" w:hAnsi="Calibri" w:cs="Calibri"/>
                <w:color w:val="17365D"/>
                <w:lang w:eastAsia="en-AU"/>
              </w:rPr>
            </w:pPr>
            <w:r w:rsidRPr="00FB5C94">
              <w:rPr>
                <w:rFonts w:ascii="Calibri" w:eastAsia="Times New Roman" w:hAnsi="Calibri" w:cs="Calibri"/>
                <w:color w:val="17365D"/>
                <w:lang w:eastAsia="en-AU"/>
              </w:rPr>
              <w:t>0.40</w:t>
            </w:r>
          </w:p>
        </w:tc>
      </w:tr>
      <w:tr w:rsidR="00FB5C94" w:rsidRPr="00FB5C94" w14:paraId="2E06E869" w14:textId="77777777" w:rsidTr="00FB5C94">
        <w:trPr>
          <w:trHeight w:val="308"/>
        </w:trPr>
        <w:tc>
          <w:tcPr>
            <w:tcW w:w="861" w:type="dxa"/>
            <w:tcBorders>
              <w:top w:val="nil"/>
              <w:left w:val="single" w:sz="8" w:space="0" w:color="95B3D7"/>
              <w:bottom w:val="single" w:sz="8" w:space="0" w:color="95B3D7"/>
              <w:right w:val="nil"/>
            </w:tcBorders>
            <w:shd w:val="clear" w:color="000000" w:fill="DBE5F1"/>
            <w:vAlign w:val="center"/>
            <w:hideMark/>
          </w:tcPr>
          <w:p w14:paraId="608F465D" w14:textId="77777777" w:rsidR="00FB5C94" w:rsidRPr="00FB5C94" w:rsidRDefault="00FB5C94" w:rsidP="00FB5C94">
            <w:pPr>
              <w:spacing w:after="0" w:line="240" w:lineRule="auto"/>
              <w:jc w:val="center"/>
              <w:rPr>
                <w:rFonts w:ascii="Calibri" w:eastAsia="Times New Roman" w:hAnsi="Calibri" w:cs="Calibri"/>
                <w:b/>
                <w:bCs/>
                <w:color w:val="17365D"/>
                <w:lang w:eastAsia="en-AU"/>
              </w:rPr>
            </w:pPr>
            <w:r w:rsidRPr="00FB5C94">
              <w:rPr>
                <w:rFonts w:ascii="Calibri" w:eastAsia="Times New Roman" w:hAnsi="Calibri" w:cs="Calibri"/>
                <w:b/>
                <w:bCs/>
                <w:color w:val="17365D"/>
                <w:lang w:eastAsia="en-AU"/>
              </w:rPr>
              <w:t> </w:t>
            </w:r>
          </w:p>
        </w:tc>
        <w:tc>
          <w:tcPr>
            <w:tcW w:w="5409" w:type="dxa"/>
            <w:tcBorders>
              <w:top w:val="nil"/>
              <w:left w:val="nil"/>
              <w:bottom w:val="single" w:sz="8" w:space="0" w:color="95B3D7"/>
              <w:right w:val="nil"/>
            </w:tcBorders>
            <w:shd w:val="clear" w:color="000000" w:fill="DBE5F1"/>
            <w:vAlign w:val="center"/>
            <w:hideMark/>
          </w:tcPr>
          <w:p w14:paraId="738B433C" w14:textId="77777777" w:rsidR="00FB5C94" w:rsidRPr="00FB5C94" w:rsidRDefault="00FB5C94" w:rsidP="00FB5C94">
            <w:pPr>
              <w:spacing w:after="0" w:line="240" w:lineRule="auto"/>
              <w:rPr>
                <w:rFonts w:ascii="Calibri" w:eastAsia="Times New Roman" w:hAnsi="Calibri" w:cs="Calibri"/>
                <w:b/>
                <w:bCs/>
                <w:color w:val="17365D"/>
                <w:lang w:eastAsia="en-AU"/>
              </w:rPr>
            </w:pPr>
            <w:r w:rsidRPr="00FB5C94">
              <w:rPr>
                <w:rFonts w:ascii="Calibri" w:eastAsia="Times New Roman" w:hAnsi="Calibri" w:cs="Calibri"/>
                <w:b/>
                <w:bCs/>
                <w:color w:val="17365D"/>
                <w:lang w:eastAsia="en-AU"/>
              </w:rPr>
              <w:t>Total</w:t>
            </w:r>
          </w:p>
        </w:tc>
        <w:tc>
          <w:tcPr>
            <w:tcW w:w="1306" w:type="dxa"/>
            <w:tcBorders>
              <w:top w:val="nil"/>
              <w:left w:val="nil"/>
              <w:bottom w:val="single" w:sz="8" w:space="0" w:color="95B3D7"/>
              <w:right w:val="nil"/>
            </w:tcBorders>
            <w:shd w:val="clear" w:color="000000" w:fill="DBE5F1"/>
            <w:vAlign w:val="center"/>
            <w:hideMark/>
          </w:tcPr>
          <w:p w14:paraId="409F52C0" w14:textId="77777777" w:rsidR="00FB5C94" w:rsidRPr="00FB5C94" w:rsidRDefault="00FB5C94" w:rsidP="00FB5C94">
            <w:pPr>
              <w:spacing w:after="0" w:line="240" w:lineRule="auto"/>
              <w:jc w:val="center"/>
              <w:rPr>
                <w:rFonts w:ascii="Calibri" w:eastAsia="Times New Roman" w:hAnsi="Calibri" w:cs="Calibri"/>
                <w:b/>
                <w:bCs/>
                <w:color w:val="17365D"/>
                <w:lang w:eastAsia="en-AU"/>
              </w:rPr>
            </w:pPr>
            <w:r w:rsidRPr="00FB5C94">
              <w:rPr>
                <w:rFonts w:ascii="Calibri" w:eastAsia="Times New Roman" w:hAnsi="Calibri" w:cs="Calibri"/>
                <w:b/>
                <w:bCs/>
                <w:color w:val="17365D"/>
                <w:lang w:eastAsia="en-AU"/>
              </w:rPr>
              <w:t>17.43</w:t>
            </w:r>
          </w:p>
        </w:tc>
        <w:tc>
          <w:tcPr>
            <w:tcW w:w="1171" w:type="dxa"/>
            <w:tcBorders>
              <w:top w:val="nil"/>
              <w:left w:val="nil"/>
              <w:bottom w:val="single" w:sz="8" w:space="0" w:color="95B3D7"/>
              <w:right w:val="nil"/>
            </w:tcBorders>
            <w:shd w:val="clear" w:color="000000" w:fill="DBE5F1"/>
            <w:vAlign w:val="center"/>
            <w:hideMark/>
          </w:tcPr>
          <w:p w14:paraId="3B3676A1" w14:textId="77777777" w:rsidR="00FB5C94" w:rsidRPr="00FB5C94" w:rsidRDefault="00FB5C94" w:rsidP="00FB5C94">
            <w:pPr>
              <w:spacing w:after="0" w:line="240" w:lineRule="auto"/>
              <w:jc w:val="center"/>
              <w:rPr>
                <w:rFonts w:ascii="Calibri" w:eastAsia="Times New Roman" w:hAnsi="Calibri" w:cs="Calibri"/>
                <w:b/>
                <w:bCs/>
                <w:color w:val="17365D"/>
                <w:lang w:eastAsia="en-AU"/>
              </w:rPr>
            </w:pPr>
            <w:r w:rsidRPr="00FB5C94">
              <w:rPr>
                <w:rFonts w:ascii="Calibri" w:eastAsia="Times New Roman" w:hAnsi="Calibri" w:cs="Calibri"/>
                <w:b/>
                <w:bCs/>
                <w:color w:val="17365D"/>
                <w:lang w:eastAsia="en-AU"/>
              </w:rPr>
              <w:t>8.09</w:t>
            </w:r>
          </w:p>
        </w:tc>
        <w:tc>
          <w:tcPr>
            <w:tcW w:w="1014" w:type="dxa"/>
            <w:tcBorders>
              <w:top w:val="nil"/>
              <w:left w:val="nil"/>
              <w:bottom w:val="single" w:sz="8" w:space="0" w:color="95B3D7"/>
              <w:right w:val="nil"/>
            </w:tcBorders>
            <w:shd w:val="clear" w:color="000000" w:fill="DBE5F1"/>
            <w:vAlign w:val="center"/>
            <w:hideMark/>
          </w:tcPr>
          <w:p w14:paraId="3371C107" w14:textId="77777777" w:rsidR="00FB5C94" w:rsidRPr="00FB5C94" w:rsidRDefault="00FB5C94" w:rsidP="00FB5C94">
            <w:pPr>
              <w:spacing w:after="0" w:line="240" w:lineRule="auto"/>
              <w:jc w:val="center"/>
              <w:rPr>
                <w:rFonts w:ascii="Calibri" w:eastAsia="Times New Roman" w:hAnsi="Calibri" w:cs="Calibri"/>
                <w:b/>
                <w:bCs/>
                <w:color w:val="17365D"/>
                <w:lang w:eastAsia="en-AU"/>
              </w:rPr>
            </w:pPr>
            <w:r w:rsidRPr="00FB5C94">
              <w:rPr>
                <w:rFonts w:ascii="Calibri" w:eastAsia="Times New Roman" w:hAnsi="Calibri" w:cs="Calibri"/>
                <w:b/>
                <w:bCs/>
                <w:color w:val="17365D"/>
                <w:lang w:eastAsia="en-AU"/>
              </w:rPr>
              <w:t>25.52</w:t>
            </w:r>
          </w:p>
        </w:tc>
      </w:tr>
    </w:tbl>
    <w:p w14:paraId="46D797B6" w14:textId="77777777" w:rsidR="00410B21" w:rsidRDefault="00410B21" w:rsidP="00410B21">
      <w:pPr>
        <w:pStyle w:val="Heading2"/>
      </w:pPr>
    </w:p>
    <w:p w14:paraId="4F17482E" w14:textId="09240B71" w:rsidR="00A41FC9" w:rsidRPr="00D57921" w:rsidRDefault="00AD0880" w:rsidP="00AF30D7">
      <w:pPr>
        <w:pStyle w:val="Heading2"/>
        <w:numPr>
          <w:ilvl w:val="1"/>
          <w:numId w:val="2"/>
        </w:numPr>
        <w:ind w:left="426"/>
      </w:pPr>
      <w:r>
        <w:t xml:space="preserve"> </w:t>
      </w:r>
      <w:bookmarkStart w:id="24" w:name="_Toc215752349"/>
      <w:r w:rsidR="00A41FC9" w:rsidRPr="00375B76">
        <w:rPr>
          <w:color w:val="auto"/>
        </w:rPr>
        <w:t xml:space="preserve">Design of the regulatory </w:t>
      </w:r>
      <w:r w:rsidR="006E1600" w:rsidRPr="00375B76">
        <w:rPr>
          <w:color w:val="auto"/>
        </w:rPr>
        <w:t>charge</w:t>
      </w:r>
      <w:bookmarkEnd w:id="24"/>
      <w:r w:rsidR="00A41FC9" w:rsidRPr="00375B76">
        <w:rPr>
          <w:color w:val="auto"/>
        </w:rPr>
        <w:t xml:space="preserve"> </w:t>
      </w:r>
    </w:p>
    <w:p w14:paraId="14922103" w14:textId="3E910BA9" w:rsidR="007930D0" w:rsidRDefault="007930D0" w:rsidP="007930D0">
      <w:pPr>
        <w:rPr>
          <w:rFonts w:cstheme="minorHAnsi"/>
        </w:rPr>
      </w:pPr>
      <w:r w:rsidRPr="00BE4D82">
        <w:rPr>
          <w:rFonts w:cstheme="minorHAnsi"/>
        </w:rPr>
        <w:t xml:space="preserve">NOPTA’s cost model has been designed to ensure stable revenue to enable effective regulation and management of its Special Account in line with </w:t>
      </w:r>
      <w:r w:rsidR="00B07C14">
        <w:rPr>
          <w:rFonts w:cstheme="minorHAnsi"/>
        </w:rPr>
        <w:t xml:space="preserve">the </w:t>
      </w:r>
      <w:r w:rsidRPr="00BE4D82">
        <w:rPr>
          <w:rFonts w:cstheme="minorHAnsi"/>
        </w:rPr>
        <w:t xml:space="preserve">Australian Government Cost Recovery </w:t>
      </w:r>
      <w:r w:rsidR="00374845">
        <w:rPr>
          <w:rFonts w:cstheme="minorHAnsi"/>
        </w:rPr>
        <w:t>Policy</w:t>
      </w:r>
      <w:r w:rsidR="00374845" w:rsidRPr="00BE4D82">
        <w:rPr>
          <w:rFonts w:cstheme="minorHAnsi"/>
        </w:rPr>
        <w:t xml:space="preserve"> </w:t>
      </w:r>
      <w:r w:rsidRPr="00BE4D82">
        <w:rPr>
          <w:rFonts w:cstheme="minorHAnsi"/>
        </w:rPr>
        <w:t>(CR</w:t>
      </w:r>
      <w:r w:rsidR="00374845">
        <w:rPr>
          <w:rFonts w:cstheme="minorHAnsi"/>
        </w:rPr>
        <w:t>P</w:t>
      </w:r>
      <w:r w:rsidRPr="00BE4D82">
        <w:rPr>
          <w:rFonts w:cstheme="minorHAnsi"/>
        </w:rPr>
        <w:t xml:space="preserve">). NOPTA’s cost recovery charges include an annual levy imposed on different types of titles (permits, leases and licences) and fees charged on applications made to the Titles Administrator for the approval of various matters relating to offshore petroleum and GHG titles. </w:t>
      </w:r>
    </w:p>
    <w:p w14:paraId="62EA5107" w14:textId="30E27E74" w:rsidR="00272B4B" w:rsidRDefault="009653EC" w:rsidP="00272B4B">
      <w:pPr>
        <w:rPr>
          <w:rFonts w:cstheme="minorHAnsi"/>
        </w:rPr>
      </w:pPr>
      <w:r w:rsidRPr="00407E0A">
        <w:rPr>
          <w:rFonts w:cstheme="minorHAnsi"/>
        </w:rPr>
        <w:t>NOPTA’s 2025 CRIS implemented revised charging arrangements transitioning GHG to full cost recovery</w:t>
      </w:r>
      <w:r w:rsidR="009F3A67">
        <w:rPr>
          <w:rFonts w:cstheme="minorHAnsi"/>
        </w:rPr>
        <w:t>.</w:t>
      </w:r>
      <w:r w:rsidR="008C3447">
        <w:rPr>
          <w:rFonts w:cstheme="minorHAnsi"/>
        </w:rPr>
        <w:t xml:space="preserve"> The </w:t>
      </w:r>
      <w:r w:rsidR="008E69FF">
        <w:rPr>
          <w:rFonts w:cstheme="minorHAnsi"/>
        </w:rPr>
        <w:t xml:space="preserve">next </w:t>
      </w:r>
      <w:r w:rsidR="008C3447">
        <w:rPr>
          <w:rFonts w:cstheme="minorHAnsi"/>
        </w:rPr>
        <w:t>sta</w:t>
      </w:r>
      <w:r w:rsidR="006C1FEE">
        <w:rPr>
          <w:rFonts w:cstheme="minorHAnsi"/>
        </w:rPr>
        <w:t xml:space="preserve">tutory review </w:t>
      </w:r>
      <w:r w:rsidR="008E69FF">
        <w:rPr>
          <w:rFonts w:cstheme="minorHAnsi"/>
        </w:rPr>
        <w:t xml:space="preserve">of NOPTA </w:t>
      </w:r>
      <w:r w:rsidR="006C1FEE">
        <w:rPr>
          <w:rFonts w:cstheme="minorHAnsi"/>
        </w:rPr>
        <w:t xml:space="preserve">will </w:t>
      </w:r>
      <w:r w:rsidR="00E32464">
        <w:rPr>
          <w:rFonts w:cstheme="minorHAnsi"/>
        </w:rPr>
        <w:t>be u</w:t>
      </w:r>
      <w:r w:rsidR="00DE30F5">
        <w:rPr>
          <w:rFonts w:cstheme="minorHAnsi"/>
        </w:rPr>
        <w:t xml:space="preserve">tilised to </w:t>
      </w:r>
      <w:r w:rsidR="00FA468A">
        <w:rPr>
          <w:rFonts w:cstheme="minorHAnsi"/>
        </w:rPr>
        <w:t xml:space="preserve">identify and </w:t>
      </w:r>
      <w:r w:rsidR="00EA5B09">
        <w:rPr>
          <w:rFonts w:cstheme="minorHAnsi"/>
        </w:rPr>
        <w:t>address</w:t>
      </w:r>
      <w:r w:rsidR="00FA468A">
        <w:rPr>
          <w:rFonts w:cstheme="minorHAnsi"/>
        </w:rPr>
        <w:t>, where necessary,</w:t>
      </w:r>
      <w:r w:rsidR="00EA5B09">
        <w:rPr>
          <w:rFonts w:cstheme="minorHAnsi"/>
        </w:rPr>
        <w:t xml:space="preserve"> the cross subsidisation</w:t>
      </w:r>
      <w:r w:rsidR="00A43804">
        <w:rPr>
          <w:rFonts w:cstheme="minorHAnsi"/>
        </w:rPr>
        <w:t xml:space="preserve"> between GHG and petroleum activities</w:t>
      </w:r>
      <w:r w:rsidR="00EA5B09">
        <w:rPr>
          <w:rFonts w:cstheme="minorHAnsi"/>
        </w:rPr>
        <w:t xml:space="preserve">. </w:t>
      </w:r>
      <w:r w:rsidR="00A4748A">
        <w:rPr>
          <w:rFonts w:cstheme="minorHAnsi"/>
        </w:rPr>
        <w:t>Accurate cost and activity estimates are challenging</w:t>
      </w:r>
      <w:r w:rsidR="00F748E1">
        <w:rPr>
          <w:rFonts w:cstheme="minorHAnsi"/>
        </w:rPr>
        <w:t xml:space="preserve"> to forecast in an</w:t>
      </w:r>
      <w:r w:rsidR="001754A6">
        <w:rPr>
          <w:rFonts w:cstheme="minorHAnsi"/>
        </w:rPr>
        <w:t xml:space="preserve"> emerging</w:t>
      </w:r>
      <w:r w:rsidR="00290DA8">
        <w:rPr>
          <w:rFonts w:cstheme="minorHAnsi"/>
        </w:rPr>
        <w:t xml:space="preserve"> </w:t>
      </w:r>
      <w:r w:rsidR="001F229A">
        <w:rPr>
          <w:rFonts w:cstheme="minorHAnsi"/>
        </w:rPr>
        <w:t>industry with significant complexity and uncertainty.</w:t>
      </w:r>
      <w:r w:rsidR="00112AB4">
        <w:rPr>
          <w:rFonts w:cstheme="minorHAnsi"/>
        </w:rPr>
        <w:t xml:space="preserve"> It is expected th</w:t>
      </w:r>
      <w:r w:rsidR="00E35DA5">
        <w:rPr>
          <w:rFonts w:cstheme="minorHAnsi"/>
        </w:rPr>
        <w:t xml:space="preserve">e accuracy </w:t>
      </w:r>
      <w:r w:rsidR="00D21714">
        <w:rPr>
          <w:rFonts w:cstheme="minorHAnsi"/>
        </w:rPr>
        <w:t xml:space="preserve">of estimates will improve as the </w:t>
      </w:r>
      <w:r w:rsidR="00290DA8">
        <w:rPr>
          <w:rFonts w:cstheme="minorHAnsi"/>
        </w:rPr>
        <w:t xml:space="preserve">GHG </w:t>
      </w:r>
      <w:r w:rsidR="00D21714">
        <w:rPr>
          <w:rFonts w:cstheme="minorHAnsi"/>
        </w:rPr>
        <w:t>industry matures.</w:t>
      </w:r>
      <w:r w:rsidR="001F229A">
        <w:rPr>
          <w:rFonts w:cstheme="minorHAnsi"/>
        </w:rPr>
        <w:t xml:space="preserve"> </w:t>
      </w:r>
      <w:r w:rsidR="00EA5B09">
        <w:t xml:space="preserve">Recommendations </w:t>
      </w:r>
      <w:r w:rsidR="00843D0F" w:rsidRPr="00843D0F">
        <w:t xml:space="preserve">from the statutory review will inform the development of the </w:t>
      </w:r>
      <w:r w:rsidR="009F3A67" w:rsidRPr="00843D0F">
        <w:t>2026</w:t>
      </w:r>
      <w:r w:rsidR="009F3A67">
        <w:t xml:space="preserve"> </w:t>
      </w:r>
      <w:r w:rsidR="009F3A67">
        <w:rPr>
          <w:rFonts w:cstheme="minorHAnsi"/>
        </w:rPr>
        <w:t>cost</w:t>
      </w:r>
      <w:r w:rsidR="00CF3391">
        <w:rPr>
          <w:rFonts w:cstheme="minorHAnsi"/>
        </w:rPr>
        <w:t xml:space="preserve"> recovery review</w:t>
      </w:r>
      <w:r w:rsidR="007132A4" w:rsidRPr="000C3569">
        <w:t xml:space="preserve">. </w:t>
      </w:r>
      <w:r w:rsidR="00272B4B" w:rsidRPr="000C3569">
        <w:rPr>
          <w:rFonts w:cstheme="minorHAnsi"/>
        </w:rPr>
        <w:t>It should be noted that</w:t>
      </w:r>
      <w:r w:rsidR="00272B4B" w:rsidRPr="000C3569">
        <w:t xml:space="preserve"> complex activities in the later stages of the GHG lifecycle such as holding leases</w:t>
      </w:r>
      <w:r w:rsidR="0029776C">
        <w:t>,</w:t>
      </w:r>
      <w:r w:rsidR="00272B4B" w:rsidRPr="000C3569">
        <w:t xml:space="preserve"> injection licences </w:t>
      </w:r>
      <w:r w:rsidR="0029776C">
        <w:t xml:space="preserve">and site plan assessments </w:t>
      </w:r>
      <w:r w:rsidR="00272B4B" w:rsidRPr="000C3569">
        <w:t>have not been undertaken by NOPTA yet, and the costs of which will be reviewed regularly.</w:t>
      </w:r>
      <w:r w:rsidR="00272B4B" w:rsidRPr="00BE4D82">
        <w:t xml:space="preserve"> </w:t>
      </w:r>
      <w:r w:rsidR="00FF6DC2">
        <w:t xml:space="preserve">Once first injection commences, NOPTA will have an ongoing resource management function relating to GHG plume monitoring and reporting. </w:t>
      </w:r>
    </w:p>
    <w:p w14:paraId="66ED0C78" w14:textId="7217035C" w:rsidR="007930D0" w:rsidRDefault="007930D0">
      <w:pPr>
        <w:rPr>
          <w:rFonts w:cstheme="minorHAnsi"/>
        </w:rPr>
      </w:pPr>
      <w:r w:rsidRPr="00BE4D82">
        <w:rPr>
          <w:rFonts w:cstheme="minorHAnsi"/>
        </w:rPr>
        <w:t xml:space="preserve">NOPTA will maintain full transparency by notifying and consulting industry where required prior to any potential future increase. </w:t>
      </w:r>
    </w:p>
    <w:p w14:paraId="3997078C" w14:textId="77777777" w:rsidR="00F86034" w:rsidRPr="00F86034" w:rsidRDefault="00F86034">
      <w:pPr>
        <w:rPr>
          <w:rFonts w:cstheme="minorHAnsi"/>
        </w:rPr>
      </w:pPr>
    </w:p>
    <w:p w14:paraId="3E996746" w14:textId="60F2E920" w:rsidR="003E292F" w:rsidRDefault="003E292F">
      <w:pPr>
        <w:rPr>
          <w:rFonts w:cstheme="minorHAnsi"/>
          <w:iCs/>
        </w:rPr>
      </w:pPr>
      <w:r w:rsidRPr="003E292F">
        <w:rPr>
          <w:rFonts w:cstheme="minorHAnsi"/>
          <w:i/>
        </w:rPr>
        <w:t>Cost recovery</w:t>
      </w:r>
      <w:r w:rsidR="00375B76">
        <w:rPr>
          <w:rFonts w:cstheme="minorHAnsi"/>
          <w:i/>
        </w:rPr>
        <w:t xml:space="preserve"> annual</w:t>
      </w:r>
      <w:r w:rsidRPr="003E292F">
        <w:rPr>
          <w:rFonts w:cstheme="minorHAnsi"/>
          <w:i/>
        </w:rPr>
        <w:t xml:space="preserve"> levy</w:t>
      </w:r>
    </w:p>
    <w:p w14:paraId="1B0E2DF0" w14:textId="56DF6E9B" w:rsidR="00F2005F" w:rsidRPr="00BE4D82" w:rsidRDefault="00375B76" w:rsidP="00F2005F">
      <w:pPr>
        <w:rPr>
          <w:rFonts w:cstheme="minorHAnsi"/>
        </w:rPr>
      </w:pPr>
      <w:bookmarkStart w:id="25" w:name="_Hlk67487972"/>
      <w:r>
        <w:rPr>
          <w:rFonts w:cstheme="minorHAnsi"/>
        </w:rPr>
        <w:t>Annual levies are</w:t>
      </w:r>
      <w:r w:rsidR="00F2005F" w:rsidRPr="00BE4D82">
        <w:rPr>
          <w:rFonts w:cstheme="minorHAnsi"/>
        </w:rPr>
        <w:t xml:space="preserve"> used to fund NOPTA activities where it is not possible or practical to attribute costs to a specific title (e.g. </w:t>
      </w:r>
      <w:r w:rsidR="00F12DA4" w:rsidRPr="00F12DA4">
        <w:rPr>
          <w:rFonts w:cstheme="minorHAnsi"/>
        </w:rPr>
        <w:t>stakeholder engagement, corporate planning/governance activities, general regulatory support and compliance activities, data management, establishing policies and procedures, legislative amendments</w:t>
      </w:r>
      <w:r w:rsidR="00F2005F" w:rsidRPr="00BE4D82">
        <w:rPr>
          <w:rFonts w:cstheme="minorHAnsi"/>
        </w:rPr>
        <w:t>).</w:t>
      </w:r>
    </w:p>
    <w:p w14:paraId="0A0519B2" w14:textId="54022B24" w:rsidR="00F2005F" w:rsidRPr="00BE4D82" w:rsidRDefault="00F2005F" w:rsidP="00F2005F">
      <w:pPr>
        <w:rPr>
          <w:rFonts w:cstheme="minorHAnsi"/>
        </w:rPr>
      </w:pPr>
      <w:r w:rsidRPr="00BE4D82">
        <w:rPr>
          <w:rFonts w:cstheme="minorHAnsi"/>
        </w:rPr>
        <w:t xml:space="preserve">The annual levy makes up the majority of NOPTA’s revenue, </w:t>
      </w:r>
      <w:r w:rsidRPr="00173385">
        <w:rPr>
          <w:rFonts w:cstheme="minorHAnsi"/>
        </w:rPr>
        <w:t xml:space="preserve">approximately </w:t>
      </w:r>
      <w:r w:rsidR="00FB2E4E">
        <w:rPr>
          <w:rFonts w:cstheme="minorHAnsi"/>
        </w:rPr>
        <w:t>8</w:t>
      </w:r>
      <w:r w:rsidR="002B17D5">
        <w:rPr>
          <w:rFonts w:cstheme="minorHAnsi"/>
        </w:rPr>
        <w:t>5</w:t>
      </w:r>
      <w:r w:rsidRPr="00173385">
        <w:rPr>
          <w:rFonts w:cstheme="minorHAnsi"/>
        </w:rPr>
        <w:t xml:space="preserve">% in </w:t>
      </w:r>
      <w:r>
        <w:rPr>
          <w:rFonts w:cstheme="minorHAnsi"/>
        </w:rPr>
        <w:t>202</w:t>
      </w:r>
      <w:r w:rsidR="002B17D5">
        <w:rPr>
          <w:rFonts w:cstheme="minorHAnsi"/>
        </w:rPr>
        <w:t>4</w:t>
      </w:r>
      <w:r w:rsidR="00FB2E4E">
        <w:rPr>
          <w:rFonts w:cstheme="minorHAnsi"/>
        </w:rPr>
        <w:t>-2</w:t>
      </w:r>
      <w:r w:rsidR="002B17D5">
        <w:rPr>
          <w:rFonts w:cstheme="minorHAnsi"/>
        </w:rPr>
        <w:t>5</w:t>
      </w:r>
      <w:r w:rsidRPr="00173385">
        <w:rPr>
          <w:rFonts w:cstheme="minorHAnsi"/>
        </w:rPr>
        <w:t xml:space="preserve">, providing a stable revenue stream that is dependent upon the current number and type of titles in force. </w:t>
      </w:r>
      <w:r w:rsidR="00375B76">
        <w:rPr>
          <w:rFonts w:cstheme="minorHAnsi"/>
        </w:rPr>
        <w:t>Annual l</w:t>
      </w:r>
      <w:r w:rsidRPr="00173385">
        <w:rPr>
          <w:rFonts w:cstheme="minorHAnsi"/>
        </w:rPr>
        <w:t>evy revenue estimates are based on the existing number of titles incorporating known upcoming activities (e.g. acreage release grants, surrenders, expiries, title conversions etc.) and industry</w:t>
      </w:r>
      <w:r w:rsidRPr="00BE4D82">
        <w:rPr>
          <w:rFonts w:cstheme="minorHAnsi"/>
        </w:rPr>
        <w:t xml:space="preserve"> trends</w:t>
      </w:r>
      <w:r w:rsidR="00854FC1" w:rsidRPr="00BE4D82">
        <w:rPr>
          <w:rFonts w:cstheme="minorHAnsi"/>
        </w:rPr>
        <w:t xml:space="preserve">. </w:t>
      </w:r>
      <w:r w:rsidRPr="00BE4D82">
        <w:rPr>
          <w:rFonts w:cstheme="minorHAnsi"/>
        </w:rPr>
        <w:t xml:space="preserve"> </w:t>
      </w:r>
    </w:p>
    <w:p w14:paraId="00B77C69" w14:textId="77777777" w:rsidR="00F2005F" w:rsidRPr="00BE4D82" w:rsidRDefault="00F2005F" w:rsidP="00F2005F">
      <w:pPr>
        <w:rPr>
          <w:rFonts w:cstheme="minorHAnsi"/>
        </w:rPr>
      </w:pPr>
      <w:r w:rsidRPr="00BE4D82">
        <w:rPr>
          <w:rFonts w:cstheme="minorHAnsi"/>
        </w:rPr>
        <w:t xml:space="preserve">The structure for the annual </w:t>
      </w:r>
      <w:r>
        <w:rPr>
          <w:rFonts w:cstheme="minorHAnsi"/>
        </w:rPr>
        <w:t>l</w:t>
      </w:r>
      <w:r w:rsidRPr="00BE4D82">
        <w:rPr>
          <w:rFonts w:cstheme="minorHAnsi"/>
        </w:rPr>
        <w:t xml:space="preserve">evy is relatively easy to calculate, involving a: </w:t>
      </w:r>
    </w:p>
    <w:p w14:paraId="1A2C8B35" w14:textId="18EB3D34" w:rsidR="00F2005F" w:rsidRPr="00BE4D82" w:rsidRDefault="00F2005F" w:rsidP="00F2005F">
      <w:pPr>
        <w:pStyle w:val="ListBullet"/>
        <w:rPr>
          <w:lang w:val="en-AU"/>
        </w:rPr>
      </w:pPr>
      <w:r w:rsidRPr="00BE4D82">
        <w:rPr>
          <w:lang w:val="en-AU"/>
        </w:rPr>
        <w:t>fixed rate per title for an exploration permit, infrastructure licence, assessment permit</w:t>
      </w:r>
    </w:p>
    <w:p w14:paraId="39E53989" w14:textId="750DF399" w:rsidR="00F2005F" w:rsidRPr="00BE4D82" w:rsidRDefault="00F2005F" w:rsidP="00F2005F">
      <w:pPr>
        <w:pStyle w:val="ListBullet"/>
        <w:rPr>
          <w:lang w:val="en-AU"/>
        </w:rPr>
      </w:pPr>
      <w:r w:rsidRPr="00BE4D82">
        <w:rPr>
          <w:lang w:val="en-AU"/>
        </w:rPr>
        <w:t xml:space="preserve">fixed rate multiplied by a known number of kilometres or part thereof for a pipeline licence,  </w:t>
      </w:r>
    </w:p>
    <w:p w14:paraId="29DD147A" w14:textId="33471CA9" w:rsidR="00F2005F" w:rsidRDefault="00F2005F" w:rsidP="00F2005F">
      <w:pPr>
        <w:pStyle w:val="ListBullet"/>
        <w:rPr>
          <w:rFonts w:cstheme="minorHAnsi"/>
          <w:lang w:val="en-AU"/>
        </w:rPr>
      </w:pPr>
      <w:r w:rsidRPr="00BE4D82">
        <w:rPr>
          <w:lang w:val="en-AU"/>
        </w:rPr>
        <w:t xml:space="preserve">fixed rate multiplied by a known number of blocks for a production licence, retention lease, </w:t>
      </w:r>
    </w:p>
    <w:p w14:paraId="4771AAE6" w14:textId="764EA80C" w:rsidR="005B4388" w:rsidRPr="0004044D" w:rsidRDefault="00F40FAB" w:rsidP="00F2005F">
      <w:pPr>
        <w:pStyle w:val="ListBullet"/>
        <w:rPr>
          <w:rFonts w:cstheme="minorHAnsi"/>
          <w:lang w:val="en-AU"/>
        </w:rPr>
      </w:pPr>
      <w:r>
        <w:rPr>
          <w:lang w:val="en-AU"/>
        </w:rPr>
        <w:t xml:space="preserve">fixed rate per </w:t>
      </w:r>
      <w:r w:rsidR="0074753B">
        <w:rPr>
          <w:lang w:val="en-AU"/>
        </w:rPr>
        <w:t>title</w:t>
      </w:r>
      <w:r w:rsidR="00471CA0">
        <w:rPr>
          <w:lang w:val="en-AU"/>
        </w:rPr>
        <w:t xml:space="preserve"> for holding lease or gas injection li</w:t>
      </w:r>
      <w:r w:rsidR="00D24A7F">
        <w:rPr>
          <w:lang w:val="en-AU"/>
        </w:rPr>
        <w:t>cence.</w:t>
      </w:r>
    </w:p>
    <w:p w14:paraId="6AE711F3" w14:textId="77777777" w:rsidR="0004044D" w:rsidRPr="00F47DB5" w:rsidRDefault="0004044D" w:rsidP="0004044D">
      <w:pPr>
        <w:pStyle w:val="ListBullet"/>
        <w:numPr>
          <w:ilvl w:val="0"/>
          <w:numId w:val="0"/>
        </w:numPr>
        <w:ind w:left="992"/>
        <w:rPr>
          <w:rFonts w:cstheme="minorHAnsi"/>
          <w:lang w:val="en-AU"/>
        </w:rPr>
      </w:pPr>
    </w:p>
    <w:p w14:paraId="260AA076" w14:textId="3BD94491" w:rsidR="00923BA7" w:rsidRDefault="00923BA7" w:rsidP="00464005">
      <w:pPr>
        <w:rPr>
          <w:rFonts w:cstheme="minorHAnsi"/>
        </w:rPr>
      </w:pPr>
      <w:r w:rsidRPr="00BE4D82">
        <w:rPr>
          <w:rFonts w:cstheme="minorHAnsi"/>
        </w:rPr>
        <w:t>NOPTA is proposing</w:t>
      </w:r>
      <w:r w:rsidR="00C834A4">
        <w:rPr>
          <w:rFonts w:cstheme="minorHAnsi"/>
        </w:rPr>
        <w:t xml:space="preserve"> to increase</w:t>
      </w:r>
      <w:r w:rsidR="001C7955">
        <w:rPr>
          <w:rFonts w:cstheme="minorHAnsi"/>
        </w:rPr>
        <w:t xml:space="preserve"> petroleum exploration levies from </w:t>
      </w:r>
      <w:r w:rsidR="001C7955" w:rsidRPr="00321419">
        <w:rPr>
          <w:rFonts w:cstheme="minorHAnsi"/>
        </w:rPr>
        <w:t>$12,000 to $25,000</w:t>
      </w:r>
      <w:r w:rsidR="00F5246A">
        <w:rPr>
          <w:rFonts w:cstheme="minorHAnsi"/>
        </w:rPr>
        <w:t xml:space="preserve"> per title</w:t>
      </w:r>
      <w:r w:rsidR="001C7955">
        <w:rPr>
          <w:rFonts w:cstheme="minorHAnsi"/>
        </w:rPr>
        <w:t>.</w:t>
      </w:r>
      <w:r w:rsidR="00337EB8">
        <w:rPr>
          <w:rFonts w:cstheme="minorHAnsi"/>
        </w:rPr>
        <w:t xml:space="preserve"> </w:t>
      </w:r>
      <w:r w:rsidR="00304ADD">
        <w:rPr>
          <w:rFonts w:cstheme="minorHAnsi"/>
        </w:rPr>
        <w:t>T</w:t>
      </w:r>
      <w:r w:rsidR="00304ADD" w:rsidRPr="00F47DB5">
        <w:rPr>
          <w:rFonts w:cstheme="minorHAnsi"/>
        </w:rPr>
        <w:t xml:space="preserve">he </w:t>
      </w:r>
      <w:r w:rsidR="008B328E">
        <w:rPr>
          <w:rFonts w:cstheme="minorHAnsi"/>
        </w:rPr>
        <w:t xml:space="preserve">current </w:t>
      </w:r>
      <w:r w:rsidR="00304ADD" w:rsidRPr="00F47DB5">
        <w:rPr>
          <w:rFonts w:cstheme="minorHAnsi"/>
        </w:rPr>
        <w:t xml:space="preserve">revenue collected for exploration permit activities </w:t>
      </w:r>
      <w:r w:rsidR="004145B9">
        <w:rPr>
          <w:rFonts w:cstheme="minorHAnsi"/>
        </w:rPr>
        <w:t xml:space="preserve">has historically been </w:t>
      </w:r>
      <w:r w:rsidR="00BB47E6">
        <w:rPr>
          <w:rFonts w:cstheme="minorHAnsi"/>
        </w:rPr>
        <w:t>significantly</w:t>
      </w:r>
      <w:r w:rsidR="00304ADD" w:rsidRPr="00F47DB5">
        <w:rPr>
          <w:rFonts w:cstheme="minorHAnsi"/>
        </w:rPr>
        <w:t xml:space="preserve"> </w:t>
      </w:r>
      <w:r w:rsidR="0048221F">
        <w:rPr>
          <w:rFonts w:cstheme="minorHAnsi"/>
        </w:rPr>
        <w:t>less</w:t>
      </w:r>
      <w:r w:rsidR="00304ADD" w:rsidRPr="00F47DB5">
        <w:rPr>
          <w:rFonts w:cstheme="minorHAnsi"/>
        </w:rPr>
        <w:t xml:space="preserve"> than estimated administrative costs</w:t>
      </w:r>
      <w:r w:rsidR="0079261F">
        <w:rPr>
          <w:rFonts w:cstheme="minorHAnsi"/>
        </w:rPr>
        <w:t>.</w:t>
      </w:r>
      <w:r w:rsidR="009D5094">
        <w:rPr>
          <w:rFonts w:cstheme="minorHAnsi"/>
        </w:rPr>
        <w:t xml:space="preserve"> </w:t>
      </w:r>
      <w:r w:rsidR="009D5094" w:rsidRPr="002A5270">
        <w:rPr>
          <w:rFonts w:cstheme="minorHAnsi"/>
        </w:rPr>
        <w:t>Undertaking financial assessments for most exploration permit applications has resulted in a further increase to the costs of exploration levies.</w:t>
      </w:r>
      <w:r w:rsidR="005A7157">
        <w:rPr>
          <w:rFonts w:cstheme="minorHAnsi"/>
        </w:rPr>
        <w:t xml:space="preserve"> </w:t>
      </w:r>
      <w:r w:rsidR="001D6819">
        <w:rPr>
          <w:rFonts w:cstheme="minorHAnsi"/>
        </w:rPr>
        <w:t>T</w:t>
      </w:r>
      <w:r w:rsidR="00337EB8">
        <w:rPr>
          <w:rFonts w:cstheme="minorHAnsi"/>
        </w:rPr>
        <w:t xml:space="preserve">his </w:t>
      </w:r>
      <w:r w:rsidR="00A57E04">
        <w:rPr>
          <w:rFonts w:cstheme="minorHAnsi"/>
        </w:rPr>
        <w:t xml:space="preserve">proposed </w:t>
      </w:r>
      <w:r w:rsidR="00337EB8">
        <w:rPr>
          <w:rFonts w:cstheme="minorHAnsi"/>
        </w:rPr>
        <w:t xml:space="preserve">increase represents a realignment </w:t>
      </w:r>
      <w:r w:rsidR="00631650">
        <w:rPr>
          <w:rFonts w:cstheme="minorHAnsi"/>
        </w:rPr>
        <w:t>of the levies to better reflect</w:t>
      </w:r>
      <w:r w:rsidR="00BB2496">
        <w:rPr>
          <w:rFonts w:cstheme="minorHAnsi"/>
        </w:rPr>
        <w:t xml:space="preserve"> NOPTA’s effort and is consistent with the</w:t>
      </w:r>
      <w:r w:rsidR="00264A12">
        <w:rPr>
          <w:rFonts w:cstheme="minorHAnsi"/>
        </w:rPr>
        <w:t xml:space="preserve"> principles of the Australia </w:t>
      </w:r>
      <w:r w:rsidR="0044045A">
        <w:rPr>
          <w:rFonts w:cstheme="minorHAnsi"/>
        </w:rPr>
        <w:t xml:space="preserve">Government Cost Recovery Policy (CRP). </w:t>
      </w:r>
    </w:p>
    <w:p w14:paraId="4A4844B1" w14:textId="24D9A07D" w:rsidR="00914A89" w:rsidRDefault="00EB511C" w:rsidP="00464005">
      <w:pPr>
        <w:rPr>
          <w:rFonts w:cstheme="minorHAnsi"/>
        </w:rPr>
      </w:pPr>
      <w:r>
        <w:rPr>
          <w:rFonts w:cstheme="minorHAnsi"/>
        </w:rPr>
        <w:t xml:space="preserve">The proposed increase to the infrastructure licence levy is </w:t>
      </w:r>
      <w:r w:rsidRPr="00321419">
        <w:rPr>
          <w:rFonts w:cstheme="minorHAnsi"/>
        </w:rPr>
        <w:t>from</w:t>
      </w:r>
      <w:r w:rsidR="00B02ADB" w:rsidRPr="00321419">
        <w:rPr>
          <w:rFonts w:cstheme="minorHAnsi"/>
        </w:rPr>
        <w:t xml:space="preserve"> </w:t>
      </w:r>
      <w:r w:rsidRPr="00321419">
        <w:rPr>
          <w:rFonts w:cstheme="minorHAnsi"/>
        </w:rPr>
        <w:t>$30,500 to $3</w:t>
      </w:r>
      <w:r w:rsidR="00090565" w:rsidRPr="00321419">
        <w:rPr>
          <w:rFonts w:cstheme="minorHAnsi"/>
        </w:rPr>
        <w:t>6</w:t>
      </w:r>
      <w:r w:rsidRPr="00321419">
        <w:rPr>
          <w:rFonts w:cstheme="minorHAnsi"/>
        </w:rPr>
        <w:t>,500</w:t>
      </w:r>
      <w:r>
        <w:rPr>
          <w:rFonts w:cstheme="minorHAnsi"/>
        </w:rPr>
        <w:t xml:space="preserve"> per title, and the pipeline licence levy </w:t>
      </w:r>
      <w:r w:rsidRPr="00321419">
        <w:rPr>
          <w:rFonts w:cstheme="minorHAnsi"/>
        </w:rPr>
        <w:t>from $122 per km, to $1</w:t>
      </w:r>
      <w:r w:rsidR="00D44A8C" w:rsidRPr="00321419">
        <w:rPr>
          <w:rFonts w:cstheme="minorHAnsi"/>
        </w:rPr>
        <w:t>4</w:t>
      </w:r>
      <w:r w:rsidR="00B41DE5">
        <w:rPr>
          <w:rFonts w:cstheme="minorHAnsi"/>
        </w:rPr>
        <w:t>5</w:t>
      </w:r>
      <w:r w:rsidRPr="00321419">
        <w:rPr>
          <w:rFonts w:cstheme="minorHAnsi"/>
        </w:rPr>
        <w:t xml:space="preserve"> per km. </w:t>
      </w:r>
      <w:r w:rsidR="00C961A2" w:rsidRPr="00321419">
        <w:rPr>
          <w:rFonts w:cstheme="minorHAnsi"/>
        </w:rPr>
        <w:t>Petroleum retention lease and production licen</w:t>
      </w:r>
      <w:r w:rsidR="005D38AA" w:rsidRPr="00321419">
        <w:rPr>
          <w:rFonts w:cstheme="minorHAnsi"/>
        </w:rPr>
        <w:t>ce levies w</w:t>
      </w:r>
      <w:r w:rsidR="0003362B" w:rsidRPr="00321419">
        <w:rPr>
          <w:rFonts w:cstheme="minorHAnsi"/>
        </w:rPr>
        <w:t>ould</w:t>
      </w:r>
      <w:r w:rsidR="005D38AA" w:rsidRPr="00321419">
        <w:rPr>
          <w:rFonts w:cstheme="minorHAnsi"/>
        </w:rPr>
        <w:t xml:space="preserve"> increase from $24,500 to $</w:t>
      </w:r>
      <w:r w:rsidR="00D44A8C" w:rsidRPr="00321419">
        <w:rPr>
          <w:rFonts w:cstheme="minorHAnsi"/>
        </w:rPr>
        <w:t>29</w:t>
      </w:r>
      <w:r w:rsidR="005D38AA" w:rsidRPr="00321419">
        <w:rPr>
          <w:rFonts w:cstheme="minorHAnsi"/>
        </w:rPr>
        <w:t>,000</w:t>
      </w:r>
      <w:r w:rsidR="00F5246A" w:rsidRPr="00321419">
        <w:rPr>
          <w:rFonts w:cstheme="minorHAnsi"/>
        </w:rPr>
        <w:t xml:space="preserve"> per block</w:t>
      </w:r>
      <w:r w:rsidR="00CF1630" w:rsidRPr="00321419">
        <w:rPr>
          <w:rFonts w:cstheme="minorHAnsi"/>
        </w:rPr>
        <w:t>.</w:t>
      </w:r>
      <w:r w:rsidR="00676ABE" w:rsidRPr="00321419">
        <w:rPr>
          <w:rFonts w:cstheme="minorHAnsi"/>
        </w:rPr>
        <w:t xml:space="preserve"> </w:t>
      </w:r>
      <w:r w:rsidR="00790C7C" w:rsidRPr="00321419">
        <w:rPr>
          <w:rFonts w:cstheme="minorHAnsi"/>
        </w:rPr>
        <w:t>Retention lease and production licence</w:t>
      </w:r>
      <w:r w:rsidR="004A1027" w:rsidRPr="00321419">
        <w:rPr>
          <w:rFonts w:cstheme="minorHAnsi"/>
        </w:rPr>
        <w:t xml:space="preserve"> levies are charged by block to ensure greater alignment to </w:t>
      </w:r>
      <w:r w:rsidR="00837A8B" w:rsidRPr="00321419">
        <w:rPr>
          <w:rFonts w:cstheme="minorHAnsi"/>
        </w:rPr>
        <w:t>activity</w:t>
      </w:r>
      <w:r w:rsidR="00837A8B">
        <w:rPr>
          <w:rFonts w:cstheme="minorHAnsi"/>
        </w:rPr>
        <w:t>-based</w:t>
      </w:r>
      <w:r w:rsidR="005268D1">
        <w:rPr>
          <w:rFonts w:cstheme="minorHAnsi"/>
        </w:rPr>
        <w:t xml:space="preserve"> costing.</w:t>
      </w:r>
      <w:r w:rsidR="00676ABE" w:rsidRPr="00F47DB5">
        <w:rPr>
          <w:rFonts w:cstheme="minorHAnsi"/>
        </w:rPr>
        <w:t xml:space="preserve"> For example, while a production licence may only include a few blocks, the technical administrative effort is high. While for other title types, such </w:t>
      </w:r>
      <w:r w:rsidR="00676ABE" w:rsidRPr="00F47DB5">
        <w:rPr>
          <w:rFonts w:cstheme="minorHAnsi"/>
          <w:iCs/>
        </w:rPr>
        <w:t>exploration permits or</w:t>
      </w:r>
      <w:r w:rsidR="00676ABE" w:rsidRPr="00BE4D82">
        <w:rPr>
          <w:rFonts w:cstheme="minorHAnsi"/>
          <w:iCs/>
        </w:rPr>
        <w:t xml:space="preserve"> infrastructure licences, </w:t>
      </w:r>
      <w:r w:rsidR="00676ABE" w:rsidRPr="00BE4D82">
        <w:rPr>
          <w:rFonts w:cstheme="minorHAnsi"/>
        </w:rPr>
        <w:t>the number of blocks does not impact as much on effort</w:t>
      </w:r>
      <w:r w:rsidR="000E66EC">
        <w:rPr>
          <w:rFonts w:cstheme="minorHAnsi"/>
        </w:rPr>
        <w:t xml:space="preserve"> and as such are charged per title</w:t>
      </w:r>
      <w:r w:rsidR="00676ABE" w:rsidRPr="00BE4D82">
        <w:rPr>
          <w:rFonts w:cstheme="minorHAnsi"/>
        </w:rPr>
        <w:t>.</w:t>
      </w:r>
    </w:p>
    <w:p w14:paraId="33EA983C" w14:textId="77777777" w:rsidR="00BC6246" w:rsidRDefault="00464005" w:rsidP="00A7710B">
      <w:pPr>
        <w:rPr>
          <w:rFonts w:cstheme="minorHAnsi"/>
        </w:rPr>
      </w:pPr>
      <w:r w:rsidRPr="00BE4D82">
        <w:rPr>
          <w:rFonts w:cstheme="minorHAnsi"/>
        </w:rPr>
        <w:t xml:space="preserve">NOPTA is proposing </w:t>
      </w:r>
      <w:r w:rsidR="00AA5B47">
        <w:rPr>
          <w:rFonts w:cstheme="minorHAnsi"/>
        </w:rPr>
        <w:t>a</w:t>
      </w:r>
      <w:r w:rsidR="00E92961">
        <w:rPr>
          <w:rFonts w:cstheme="minorHAnsi"/>
        </w:rPr>
        <w:t xml:space="preserve">n </w:t>
      </w:r>
      <w:r w:rsidR="00E92961" w:rsidRPr="00321419">
        <w:rPr>
          <w:rFonts w:cstheme="minorHAnsi"/>
        </w:rPr>
        <w:t>average</w:t>
      </w:r>
      <w:r w:rsidRPr="00321419">
        <w:rPr>
          <w:rFonts w:cstheme="minorHAnsi"/>
        </w:rPr>
        <w:t xml:space="preserve"> 10% increase to GHG levies.</w:t>
      </w:r>
      <w:r w:rsidR="007A010E" w:rsidRPr="00321419">
        <w:rPr>
          <w:rFonts w:cstheme="minorHAnsi"/>
        </w:rPr>
        <w:t xml:space="preserve"> Under this proposal</w:t>
      </w:r>
      <w:r w:rsidR="0018688D" w:rsidRPr="00321419">
        <w:rPr>
          <w:rFonts w:cstheme="minorHAnsi"/>
        </w:rPr>
        <w:t xml:space="preserve"> GHG assessment permit</w:t>
      </w:r>
      <w:r w:rsidR="00A01904" w:rsidRPr="00321419">
        <w:rPr>
          <w:rFonts w:cstheme="minorHAnsi"/>
        </w:rPr>
        <w:t xml:space="preserve"> levies</w:t>
      </w:r>
      <w:r w:rsidR="0018688D" w:rsidRPr="00321419">
        <w:rPr>
          <w:rFonts w:cstheme="minorHAnsi"/>
        </w:rPr>
        <w:t xml:space="preserve"> would increase from $26,500</w:t>
      </w:r>
      <w:r w:rsidR="00A01904" w:rsidRPr="00321419">
        <w:rPr>
          <w:rFonts w:cstheme="minorHAnsi"/>
        </w:rPr>
        <w:t xml:space="preserve"> to $</w:t>
      </w:r>
      <w:r w:rsidR="008E56C4" w:rsidRPr="00321419">
        <w:rPr>
          <w:rFonts w:cstheme="minorHAnsi"/>
        </w:rPr>
        <w:t>29,</w:t>
      </w:r>
      <w:r w:rsidR="009C598F" w:rsidRPr="00321419">
        <w:rPr>
          <w:rFonts w:cstheme="minorHAnsi"/>
        </w:rPr>
        <w:t>150</w:t>
      </w:r>
      <w:r w:rsidR="00635089" w:rsidRPr="00321419">
        <w:rPr>
          <w:rFonts w:cstheme="minorHAnsi"/>
        </w:rPr>
        <w:t xml:space="preserve"> per title</w:t>
      </w:r>
      <w:r w:rsidR="00A01904" w:rsidRPr="00321419">
        <w:rPr>
          <w:rFonts w:cstheme="minorHAnsi"/>
        </w:rPr>
        <w:t>.</w:t>
      </w:r>
      <w:r w:rsidR="00E31221" w:rsidRPr="00321419">
        <w:rPr>
          <w:rFonts w:cstheme="minorHAnsi"/>
        </w:rPr>
        <w:t xml:space="preserve"> GHG holding lease and injection licence levies would increase from </w:t>
      </w:r>
      <w:r w:rsidR="00635089" w:rsidRPr="00321419">
        <w:rPr>
          <w:rFonts w:cstheme="minorHAnsi"/>
        </w:rPr>
        <w:t>$106,000 to $</w:t>
      </w:r>
      <w:r w:rsidR="009C598F" w:rsidRPr="00321419">
        <w:rPr>
          <w:rFonts w:cstheme="minorHAnsi"/>
        </w:rPr>
        <w:t>116,600</w:t>
      </w:r>
      <w:r w:rsidR="00635089" w:rsidRPr="00321419">
        <w:rPr>
          <w:rFonts w:cstheme="minorHAnsi"/>
        </w:rPr>
        <w:t xml:space="preserve"> per</w:t>
      </w:r>
      <w:r w:rsidR="00635089">
        <w:rPr>
          <w:rFonts w:cstheme="minorHAnsi"/>
        </w:rPr>
        <w:t xml:space="preserve"> title. </w:t>
      </w:r>
      <w:r w:rsidR="0070133C">
        <w:rPr>
          <w:rFonts w:cstheme="minorHAnsi"/>
        </w:rPr>
        <w:t>The greenhouse gas holding lease levy and the greenhouse gas injection licence levy are charged per title, rather than per block, making these levies more equitable and reflecting that the number of blocks does not impact as much on effort.</w:t>
      </w:r>
    </w:p>
    <w:p w14:paraId="4819F87E" w14:textId="094B96F3" w:rsidR="00A7710B" w:rsidRPr="00A7710B" w:rsidRDefault="00A7710B" w:rsidP="00A7710B">
      <w:pPr>
        <w:rPr>
          <w:rFonts w:cstheme="minorHAnsi"/>
        </w:rPr>
      </w:pPr>
      <w:r>
        <w:rPr>
          <w:rFonts w:cstheme="minorHAnsi"/>
        </w:rPr>
        <w:t xml:space="preserve"> </w:t>
      </w:r>
    </w:p>
    <w:bookmarkEnd w:id="25"/>
    <w:p w14:paraId="1AD2A880" w14:textId="299FC90B" w:rsidR="00F86034" w:rsidRDefault="00F86034" w:rsidP="00F2005F">
      <w:pPr>
        <w:rPr>
          <w:rFonts w:cstheme="minorHAnsi"/>
        </w:rPr>
      </w:pPr>
      <w:r w:rsidRPr="00E31221">
        <w:rPr>
          <w:rFonts w:cstheme="minorHAnsi"/>
        </w:rPr>
        <w:t xml:space="preserve">It is NOPTA’s view that the proposed levy structure is equitable and proportionate to the regulatory and administrative complexity of the current </w:t>
      </w:r>
      <w:proofErr w:type="gramStart"/>
      <w:r w:rsidRPr="00E31221">
        <w:rPr>
          <w:rFonts w:cstheme="minorHAnsi"/>
        </w:rPr>
        <w:t>titles</w:t>
      </w:r>
      <w:proofErr w:type="gramEnd"/>
      <w:r w:rsidRPr="00E31221">
        <w:rPr>
          <w:rFonts w:cstheme="minorHAnsi"/>
        </w:rPr>
        <w:t xml:space="preserve"> regime.</w:t>
      </w:r>
    </w:p>
    <w:p w14:paraId="74B81020" w14:textId="77777777" w:rsidR="00EF684D" w:rsidRDefault="00EF684D" w:rsidP="000D35F0">
      <w:pPr>
        <w:pStyle w:val="Caption"/>
      </w:pPr>
      <w:bookmarkStart w:id="26" w:name="_Ref150769051"/>
      <w:bookmarkStart w:id="27" w:name="_Toc150870161"/>
    </w:p>
    <w:p w14:paraId="10890481" w14:textId="0EF8AAAB" w:rsidR="000D35F0" w:rsidRDefault="000D35F0" w:rsidP="000D35F0">
      <w:pPr>
        <w:pStyle w:val="Caption"/>
      </w:pPr>
      <w:r w:rsidRPr="009F77F3">
        <w:t xml:space="preserve">Table </w:t>
      </w:r>
      <w:bookmarkEnd w:id="26"/>
      <w:r w:rsidR="00AF228C">
        <w:t>5</w:t>
      </w:r>
      <w:r w:rsidR="00AD1CDA" w:rsidRPr="009F77F3">
        <w:t xml:space="preserve"> </w:t>
      </w:r>
      <w:r w:rsidRPr="009F77F3">
        <w:t xml:space="preserve">Annual Titles Administration Levy revenue estimate from 1 </w:t>
      </w:r>
      <w:r w:rsidR="00E841E1">
        <w:t>May</w:t>
      </w:r>
      <w:r w:rsidR="000626DF" w:rsidRPr="009F77F3">
        <w:t xml:space="preserve"> </w:t>
      </w:r>
      <w:r w:rsidRPr="009F77F3">
        <w:t>202</w:t>
      </w:r>
      <w:bookmarkEnd w:id="27"/>
      <w:r w:rsidR="00A265C2" w:rsidRPr="009F77F3">
        <w:t>6</w:t>
      </w:r>
    </w:p>
    <w:tbl>
      <w:tblPr>
        <w:tblW w:w="9400" w:type="dxa"/>
        <w:tblLook w:val="04A0" w:firstRow="1" w:lastRow="0" w:firstColumn="1" w:lastColumn="0" w:noHBand="0" w:noVBand="1"/>
      </w:tblPr>
      <w:tblGrid>
        <w:gridCol w:w="3374"/>
        <w:gridCol w:w="669"/>
        <w:gridCol w:w="635"/>
        <w:gridCol w:w="672"/>
        <w:gridCol w:w="1081"/>
        <w:gridCol w:w="1081"/>
        <w:gridCol w:w="1131"/>
        <w:gridCol w:w="757"/>
      </w:tblGrid>
      <w:tr w:rsidR="00A51D23" w:rsidRPr="00A51D23" w14:paraId="2E199AA4" w14:textId="77777777" w:rsidTr="00A51D23">
        <w:trPr>
          <w:trHeight w:val="695"/>
        </w:trPr>
        <w:tc>
          <w:tcPr>
            <w:tcW w:w="3560" w:type="dxa"/>
            <w:tcBorders>
              <w:top w:val="nil"/>
              <w:left w:val="nil"/>
              <w:bottom w:val="nil"/>
              <w:right w:val="nil"/>
            </w:tcBorders>
            <w:shd w:val="clear" w:color="000000" w:fill="2F75B5"/>
            <w:vAlign w:val="bottom"/>
            <w:hideMark/>
          </w:tcPr>
          <w:p w14:paraId="7E1BD622" w14:textId="77777777" w:rsidR="00A51D23" w:rsidRPr="00A51D23" w:rsidRDefault="00A51D23" w:rsidP="00A51D23">
            <w:pPr>
              <w:spacing w:after="0" w:line="240" w:lineRule="auto"/>
              <w:jc w:val="center"/>
              <w:rPr>
                <w:rFonts w:ascii="Calibri" w:eastAsia="Times New Roman" w:hAnsi="Calibri" w:cs="Calibri"/>
                <w:b/>
                <w:bCs/>
                <w:color w:val="FFFFFF"/>
                <w:sz w:val="16"/>
                <w:szCs w:val="16"/>
                <w:lang w:eastAsia="en-AU"/>
              </w:rPr>
            </w:pPr>
            <w:r w:rsidRPr="00A51D23">
              <w:rPr>
                <w:rFonts w:ascii="Calibri" w:eastAsia="Times New Roman" w:hAnsi="Calibri" w:cs="Calibri"/>
                <w:b/>
                <w:bCs/>
                <w:color w:val="FFFFFF"/>
                <w:sz w:val="16"/>
                <w:szCs w:val="16"/>
                <w:lang w:eastAsia="en-AU"/>
              </w:rPr>
              <w:t>Title Type</w:t>
            </w:r>
          </w:p>
        </w:tc>
        <w:tc>
          <w:tcPr>
            <w:tcW w:w="680" w:type="dxa"/>
            <w:tcBorders>
              <w:top w:val="nil"/>
              <w:left w:val="nil"/>
              <w:bottom w:val="nil"/>
              <w:right w:val="nil"/>
            </w:tcBorders>
            <w:shd w:val="clear" w:color="000000" w:fill="2F75B5"/>
            <w:vAlign w:val="bottom"/>
            <w:hideMark/>
          </w:tcPr>
          <w:p w14:paraId="0CF2CD91" w14:textId="77777777" w:rsidR="00A51D23" w:rsidRPr="00A51D23" w:rsidRDefault="00A51D23" w:rsidP="00A51D23">
            <w:pPr>
              <w:spacing w:after="0" w:line="240" w:lineRule="auto"/>
              <w:jc w:val="center"/>
              <w:rPr>
                <w:rFonts w:ascii="Calibri" w:eastAsia="Times New Roman" w:hAnsi="Calibri" w:cs="Calibri"/>
                <w:b/>
                <w:bCs/>
                <w:color w:val="FFFFFF"/>
                <w:sz w:val="16"/>
                <w:szCs w:val="16"/>
                <w:lang w:eastAsia="en-AU"/>
              </w:rPr>
            </w:pPr>
            <w:r w:rsidRPr="00A51D23">
              <w:rPr>
                <w:rFonts w:ascii="Calibri" w:eastAsia="Times New Roman" w:hAnsi="Calibri" w:cs="Calibri"/>
                <w:b/>
                <w:bCs/>
                <w:color w:val="FFFFFF"/>
                <w:sz w:val="16"/>
                <w:szCs w:val="16"/>
                <w:lang w:eastAsia="en-AU"/>
              </w:rPr>
              <w:t>No. of titles</w:t>
            </w:r>
          </w:p>
        </w:tc>
        <w:tc>
          <w:tcPr>
            <w:tcW w:w="580" w:type="dxa"/>
            <w:tcBorders>
              <w:top w:val="nil"/>
              <w:left w:val="nil"/>
              <w:bottom w:val="nil"/>
              <w:right w:val="nil"/>
            </w:tcBorders>
            <w:shd w:val="clear" w:color="000000" w:fill="2F75B5"/>
            <w:vAlign w:val="bottom"/>
            <w:hideMark/>
          </w:tcPr>
          <w:p w14:paraId="59C4E6DA" w14:textId="77777777" w:rsidR="00A51D23" w:rsidRPr="00A51D23" w:rsidRDefault="00A51D23" w:rsidP="00A51D23">
            <w:pPr>
              <w:spacing w:after="0" w:line="240" w:lineRule="auto"/>
              <w:jc w:val="center"/>
              <w:rPr>
                <w:rFonts w:ascii="Calibri" w:eastAsia="Times New Roman" w:hAnsi="Calibri" w:cs="Calibri"/>
                <w:b/>
                <w:bCs/>
                <w:color w:val="FFFFFF"/>
                <w:sz w:val="16"/>
                <w:szCs w:val="16"/>
                <w:lang w:eastAsia="en-AU"/>
              </w:rPr>
            </w:pPr>
            <w:r w:rsidRPr="00A51D23">
              <w:rPr>
                <w:rFonts w:ascii="Calibri" w:eastAsia="Times New Roman" w:hAnsi="Calibri" w:cs="Calibri"/>
                <w:b/>
                <w:bCs/>
                <w:color w:val="FFFFFF"/>
                <w:sz w:val="16"/>
                <w:szCs w:val="16"/>
                <w:lang w:eastAsia="en-AU"/>
              </w:rPr>
              <w:t>No. of blocks</w:t>
            </w:r>
          </w:p>
        </w:tc>
        <w:tc>
          <w:tcPr>
            <w:tcW w:w="640" w:type="dxa"/>
            <w:tcBorders>
              <w:top w:val="nil"/>
              <w:left w:val="nil"/>
              <w:bottom w:val="nil"/>
              <w:right w:val="nil"/>
            </w:tcBorders>
            <w:shd w:val="clear" w:color="000000" w:fill="2F75B5"/>
            <w:vAlign w:val="bottom"/>
            <w:hideMark/>
          </w:tcPr>
          <w:p w14:paraId="71D9155B" w14:textId="77777777" w:rsidR="00A51D23" w:rsidRPr="00A51D23" w:rsidRDefault="00A51D23" w:rsidP="00A51D23">
            <w:pPr>
              <w:spacing w:after="0" w:line="240" w:lineRule="auto"/>
              <w:jc w:val="center"/>
              <w:rPr>
                <w:rFonts w:ascii="Calibri" w:eastAsia="Times New Roman" w:hAnsi="Calibri" w:cs="Calibri"/>
                <w:b/>
                <w:bCs/>
                <w:color w:val="FFFFFF"/>
                <w:sz w:val="16"/>
                <w:szCs w:val="16"/>
                <w:lang w:eastAsia="en-AU"/>
              </w:rPr>
            </w:pPr>
            <w:r w:rsidRPr="00A51D23">
              <w:rPr>
                <w:rFonts w:ascii="Calibri" w:eastAsia="Times New Roman" w:hAnsi="Calibri" w:cs="Calibri"/>
                <w:b/>
                <w:bCs/>
                <w:color w:val="FFFFFF"/>
                <w:sz w:val="16"/>
                <w:szCs w:val="16"/>
                <w:lang w:eastAsia="en-AU"/>
              </w:rPr>
              <w:t>Length Km</w:t>
            </w:r>
          </w:p>
        </w:tc>
        <w:tc>
          <w:tcPr>
            <w:tcW w:w="1100" w:type="dxa"/>
            <w:tcBorders>
              <w:top w:val="nil"/>
              <w:left w:val="nil"/>
              <w:bottom w:val="nil"/>
              <w:right w:val="nil"/>
            </w:tcBorders>
            <w:shd w:val="clear" w:color="000000" w:fill="2F75B5"/>
            <w:vAlign w:val="bottom"/>
            <w:hideMark/>
          </w:tcPr>
          <w:p w14:paraId="30152DEF" w14:textId="77777777" w:rsidR="00A51D23" w:rsidRPr="00A51D23" w:rsidRDefault="00A51D23" w:rsidP="00A51D23">
            <w:pPr>
              <w:spacing w:after="0" w:line="240" w:lineRule="auto"/>
              <w:jc w:val="center"/>
              <w:rPr>
                <w:rFonts w:ascii="Calibri" w:eastAsia="Times New Roman" w:hAnsi="Calibri" w:cs="Calibri"/>
                <w:b/>
                <w:bCs/>
                <w:color w:val="FFFFFF"/>
                <w:sz w:val="16"/>
                <w:szCs w:val="16"/>
                <w:lang w:eastAsia="en-AU"/>
              </w:rPr>
            </w:pPr>
            <w:r w:rsidRPr="00A51D23">
              <w:rPr>
                <w:rFonts w:ascii="Calibri" w:eastAsia="Times New Roman" w:hAnsi="Calibri" w:cs="Calibri"/>
                <w:b/>
                <w:bCs/>
                <w:color w:val="FFFFFF"/>
                <w:sz w:val="16"/>
                <w:szCs w:val="16"/>
                <w:lang w:eastAsia="en-AU"/>
              </w:rPr>
              <w:t>Current levy rate ($)</w:t>
            </w:r>
          </w:p>
        </w:tc>
        <w:tc>
          <w:tcPr>
            <w:tcW w:w="1100" w:type="dxa"/>
            <w:tcBorders>
              <w:top w:val="nil"/>
              <w:left w:val="nil"/>
              <w:bottom w:val="nil"/>
              <w:right w:val="nil"/>
            </w:tcBorders>
            <w:shd w:val="clear" w:color="000000" w:fill="2F75B5"/>
            <w:vAlign w:val="bottom"/>
            <w:hideMark/>
          </w:tcPr>
          <w:p w14:paraId="378FF6A0" w14:textId="33A89AED" w:rsidR="00A51D23" w:rsidRPr="00A51D23" w:rsidRDefault="00A51D23" w:rsidP="00A51D23">
            <w:pPr>
              <w:spacing w:after="0" w:line="240" w:lineRule="auto"/>
              <w:jc w:val="center"/>
              <w:rPr>
                <w:rFonts w:ascii="Calibri" w:eastAsia="Times New Roman" w:hAnsi="Calibri" w:cs="Calibri"/>
                <w:b/>
                <w:bCs/>
                <w:color w:val="FFFFFF"/>
                <w:sz w:val="16"/>
                <w:szCs w:val="16"/>
                <w:lang w:eastAsia="en-AU"/>
              </w:rPr>
            </w:pPr>
            <w:r w:rsidRPr="00A51D23">
              <w:rPr>
                <w:rFonts w:ascii="Calibri" w:eastAsia="Times New Roman" w:hAnsi="Calibri" w:cs="Calibri"/>
                <w:b/>
                <w:bCs/>
                <w:color w:val="FFFFFF"/>
                <w:sz w:val="16"/>
                <w:szCs w:val="16"/>
                <w:lang w:eastAsia="en-AU"/>
              </w:rPr>
              <w:t xml:space="preserve">Proposed levy rate from 1 </w:t>
            </w:r>
            <w:r w:rsidR="0008362A">
              <w:rPr>
                <w:rFonts w:ascii="Calibri" w:eastAsia="Times New Roman" w:hAnsi="Calibri" w:cs="Calibri"/>
                <w:b/>
                <w:bCs/>
                <w:color w:val="FFFFFF"/>
                <w:sz w:val="16"/>
                <w:szCs w:val="16"/>
                <w:lang w:eastAsia="en-AU"/>
              </w:rPr>
              <w:t>May</w:t>
            </w:r>
            <w:r w:rsidRPr="00A51D23">
              <w:rPr>
                <w:rFonts w:ascii="Calibri" w:eastAsia="Times New Roman" w:hAnsi="Calibri" w:cs="Calibri"/>
                <w:b/>
                <w:bCs/>
                <w:color w:val="FFFFFF"/>
                <w:sz w:val="16"/>
                <w:szCs w:val="16"/>
                <w:lang w:eastAsia="en-AU"/>
              </w:rPr>
              <w:t xml:space="preserve"> 2026 ($)</w:t>
            </w:r>
          </w:p>
        </w:tc>
        <w:tc>
          <w:tcPr>
            <w:tcW w:w="1100" w:type="dxa"/>
            <w:tcBorders>
              <w:top w:val="nil"/>
              <w:left w:val="nil"/>
              <w:bottom w:val="nil"/>
              <w:right w:val="nil"/>
            </w:tcBorders>
            <w:shd w:val="clear" w:color="000000" w:fill="2F75B5"/>
            <w:vAlign w:val="center"/>
            <w:hideMark/>
          </w:tcPr>
          <w:p w14:paraId="28F538EF" w14:textId="77777777" w:rsidR="00A51D23" w:rsidRPr="00A51D23" w:rsidRDefault="00A51D23" w:rsidP="00A51D23">
            <w:pPr>
              <w:spacing w:after="0" w:line="240" w:lineRule="auto"/>
              <w:jc w:val="center"/>
              <w:rPr>
                <w:rFonts w:ascii="Calibri" w:eastAsia="Times New Roman" w:hAnsi="Calibri" w:cs="Calibri"/>
                <w:b/>
                <w:bCs/>
                <w:color w:val="FFFFFF"/>
                <w:sz w:val="16"/>
                <w:szCs w:val="16"/>
                <w:lang w:eastAsia="en-AU"/>
              </w:rPr>
            </w:pPr>
            <w:r w:rsidRPr="00A51D23">
              <w:rPr>
                <w:rFonts w:ascii="Calibri" w:eastAsia="Times New Roman" w:hAnsi="Calibri" w:cs="Calibri"/>
                <w:b/>
                <w:bCs/>
                <w:color w:val="FFFFFF"/>
                <w:sz w:val="16"/>
                <w:szCs w:val="16"/>
                <w:lang w:eastAsia="en-AU"/>
              </w:rPr>
              <w:t>Levy amount ($)</w:t>
            </w:r>
          </w:p>
        </w:tc>
        <w:tc>
          <w:tcPr>
            <w:tcW w:w="640" w:type="dxa"/>
            <w:tcBorders>
              <w:top w:val="nil"/>
              <w:left w:val="nil"/>
              <w:bottom w:val="nil"/>
              <w:right w:val="nil"/>
            </w:tcBorders>
            <w:shd w:val="clear" w:color="000000" w:fill="2F75B5"/>
            <w:vAlign w:val="center"/>
            <w:hideMark/>
          </w:tcPr>
          <w:p w14:paraId="6295F660" w14:textId="77777777" w:rsidR="00A51D23" w:rsidRPr="00A51D23" w:rsidRDefault="00A51D23" w:rsidP="00A51D23">
            <w:pPr>
              <w:spacing w:after="0" w:line="240" w:lineRule="auto"/>
              <w:jc w:val="center"/>
              <w:rPr>
                <w:rFonts w:ascii="Calibri" w:eastAsia="Times New Roman" w:hAnsi="Calibri" w:cs="Calibri"/>
                <w:b/>
                <w:bCs/>
                <w:color w:val="FFFFFF"/>
                <w:sz w:val="16"/>
                <w:szCs w:val="16"/>
                <w:lang w:eastAsia="en-AU"/>
              </w:rPr>
            </w:pPr>
            <w:r w:rsidRPr="00A51D23">
              <w:rPr>
                <w:rFonts w:ascii="Calibri" w:eastAsia="Times New Roman" w:hAnsi="Calibri" w:cs="Calibri"/>
                <w:b/>
                <w:bCs/>
                <w:color w:val="FFFFFF"/>
                <w:sz w:val="16"/>
                <w:szCs w:val="16"/>
                <w:lang w:eastAsia="en-AU"/>
              </w:rPr>
              <w:t>Outputs funded</w:t>
            </w:r>
          </w:p>
        </w:tc>
      </w:tr>
      <w:tr w:rsidR="00A51D23" w:rsidRPr="00A51D23" w14:paraId="219F01D7" w14:textId="77777777" w:rsidTr="00A51D23">
        <w:trPr>
          <w:trHeight w:val="318"/>
        </w:trPr>
        <w:tc>
          <w:tcPr>
            <w:tcW w:w="3560" w:type="dxa"/>
            <w:tcBorders>
              <w:top w:val="nil"/>
              <w:left w:val="nil"/>
              <w:bottom w:val="single" w:sz="8" w:space="0" w:color="95B3D7"/>
              <w:right w:val="nil"/>
            </w:tcBorders>
            <w:vAlign w:val="center"/>
            <w:hideMark/>
          </w:tcPr>
          <w:p w14:paraId="274E5049" w14:textId="77777777" w:rsidR="00A51D23" w:rsidRPr="00A51D23" w:rsidRDefault="00A51D23" w:rsidP="00A51D23">
            <w:pPr>
              <w:spacing w:after="0" w:line="240" w:lineRule="auto"/>
              <w:rPr>
                <w:rFonts w:ascii="Calibri" w:eastAsia="Times New Roman" w:hAnsi="Calibri" w:cs="Calibri"/>
                <w:color w:val="17365D"/>
                <w:lang w:eastAsia="en-AU"/>
              </w:rPr>
            </w:pPr>
            <w:r w:rsidRPr="00A51D23">
              <w:rPr>
                <w:rFonts w:ascii="Calibri" w:eastAsia="Times New Roman" w:hAnsi="Calibri" w:cs="Calibri"/>
                <w:color w:val="17365D"/>
                <w:lang w:eastAsia="en-AU"/>
              </w:rPr>
              <w:t>Petroleum exploration permit (per title)</w:t>
            </w:r>
          </w:p>
        </w:tc>
        <w:tc>
          <w:tcPr>
            <w:tcW w:w="680" w:type="dxa"/>
            <w:tcBorders>
              <w:top w:val="nil"/>
              <w:left w:val="nil"/>
              <w:bottom w:val="single" w:sz="8" w:space="0" w:color="95B3D7"/>
              <w:right w:val="nil"/>
            </w:tcBorders>
            <w:vAlign w:val="center"/>
            <w:hideMark/>
          </w:tcPr>
          <w:p w14:paraId="026AB7AC"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48 </w:t>
            </w:r>
          </w:p>
        </w:tc>
        <w:tc>
          <w:tcPr>
            <w:tcW w:w="580" w:type="dxa"/>
            <w:tcBorders>
              <w:top w:val="nil"/>
              <w:left w:val="nil"/>
              <w:bottom w:val="single" w:sz="8" w:space="0" w:color="95B3D7"/>
              <w:right w:val="nil"/>
            </w:tcBorders>
            <w:vAlign w:val="center"/>
            <w:hideMark/>
          </w:tcPr>
          <w:p w14:paraId="5314E8F9"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640" w:type="dxa"/>
            <w:tcBorders>
              <w:top w:val="nil"/>
              <w:left w:val="nil"/>
              <w:bottom w:val="single" w:sz="8" w:space="0" w:color="95B3D7"/>
              <w:right w:val="nil"/>
            </w:tcBorders>
            <w:vAlign w:val="center"/>
            <w:hideMark/>
          </w:tcPr>
          <w:p w14:paraId="643A67BB"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1100" w:type="dxa"/>
            <w:tcBorders>
              <w:top w:val="nil"/>
              <w:left w:val="nil"/>
              <w:bottom w:val="single" w:sz="8" w:space="0" w:color="95B3D7"/>
              <w:right w:val="nil"/>
            </w:tcBorders>
            <w:vAlign w:val="center"/>
            <w:hideMark/>
          </w:tcPr>
          <w:p w14:paraId="2FAA6885"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12,000 </w:t>
            </w:r>
          </w:p>
        </w:tc>
        <w:tc>
          <w:tcPr>
            <w:tcW w:w="1100" w:type="dxa"/>
            <w:tcBorders>
              <w:top w:val="nil"/>
              <w:left w:val="nil"/>
              <w:bottom w:val="single" w:sz="8" w:space="0" w:color="95B3D7"/>
              <w:right w:val="nil"/>
            </w:tcBorders>
            <w:vAlign w:val="center"/>
            <w:hideMark/>
          </w:tcPr>
          <w:p w14:paraId="37788C43"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25,000 </w:t>
            </w:r>
          </w:p>
        </w:tc>
        <w:tc>
          <w:tcPr>
            <w:tcW w:w="1100" w:type="dxa"/>
            <w:tcBorders>
              <w:top w:val="nil"/>
              <w:left w:val="nil"/>
              <w:bottom w:val="single" w:sz="8" w:space="0" w:color="95B3D7"/>
              <w:right w:val="nil"/>
            </w:tcBorders>
            <w:vAlign w:val="center"/>
            <w:hideMark/>
          </w:tcPr>
          <w:p w14:paraId="26A9A6EE"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1,200,000 </w:t>
            </w:r>
          </w:p>
        </w:tc>
        <w:tc>
          <w:tcPr>
            <w:tcW w:w="640" w:type="dxa"/>
            <w:tcBorders>
              <w:top w:val="nil"/>
              <w:left w:val="nil"/>
              <w:bottom w:val="single" w:sz="8" w:space="0" w:color="95B3D7"/>
              <w:right w:val="nil"/>
            </w:tcBorders>
            <w:vAlign w:val="center"/>
            <w:hideMark/>
          </w:tcPr>
          <w:p w14:paraId="5575C1F7" w14:textId="77777777" w:rsidR="00A51D23" w:rsidRPr="00A51D23" w:rsidRDefault="00A51D23" w:rsidP="00A51D23">
            <w:pPr>
              <w:spacing w:after="0" w:line="240" w:lineRule="auto"/>
              <w:jc w:val="right"/>
              <w:rPr>
                <w:rFonts w:ascii="Calibri" w:eastAsia="Times New Roman" w:hAnsi="Calibri" w:cs="Calibri"/>
                <w:color w:val="17365D"/>
                <w:lang w:eastAsia="en-AU"/>
              </w:rPr>
            </w:pPr>
            <w:r w:rsidRPr="00A51D23">
              <w:rPr>
                <w:rFonts w:ascii="Calibri" w:eastAsia="Times New Roman" w:hAnsi="Calibri" w:cs="Calibri"/>
                <w:color w:val="17365D"/>
                <w:lang w:eastAsia="en-AU"/>
              </w:rPr>
              <w:t>1,2</w:t>
            </w:r>
          </w:p>
        </w:tc>
      </w:tr>
      <w:tr w:rsidR="00A51D23" w:rsidRPr="00A51D23" w14:paraId="3DBD5864" w14:textId="77777777" w:rsidTr="00A51D23">
        <w:trPr>
          <w:trHeight w:val="523"/>
        </w:trPr>
        <w:tc>
          <w:tcPr>
            <w:tcW w:w="3560" w:type="dxa"/>
            <w:tcBorders>
              <w:top w:val="nil"/>
              <w:left w:val="nil"/>
              <w:bottom w:val="single" w:sz="8" w:space="0" w:color="95B3D7"/>
              <w:right w:val="nil"/>
            </w:tcBorders>
            <w:shd w:val="clear" w:color="000000" w:fill="DBE5F1"/>
            <w:vAlign w:val="center"/>
            <w:hideMark/>
          </w:tcPr>
          <w:p w14:paraId="6C16582A" w14:textId="77777777" w:rsidR="00A51D23" w:rsidRPr="00A51D23" w:rsidRDefault="00A51D23" w:rsidP="00A51D23">
            <w:pPr>
              <w:spacing w:after="0" w:line="240" w:lineRule="auto"/>
              <w:rPr>
                <w:rFonts w:ascii="Calibri" w:eastAsia="Times New Roman" w:hAnsi="Calibri" w:cs="Calibri"/>
                <w:color w:val="17365D"/>
                <w:lang w:eastAsia="en-AU"/>
              </w:rPr>
            </w:pPr>
            <w:r w:rsidRPr="00A51D23">
              <w:rPr>
                <w:rFonts w:ascii="Calibri" w:eastAsia="Times New Roman" w:hAnsi="Calibri" w:cs="Calibri"/>
                <w:color w:val="17365D"/>
                <w:lang w:eastAsia="en-AU"/>
              </w:rPr>
              <w:t>Cash-bid petroleum exploration permit (per title)</w:t>
            </w:r>
          </w:p>
        </w:tc>
        <w:tc>
          <w:tcPr>
            <w:tcW w:w="680" w:type="dxa"/>
            <w:tcBorders>
              <w:top w:val="nil"/>
              <w:left w:val="nil"/>
              <w:bottom w:val="single" w:sz="8" w:space="0" w:color="95B3D7"/>
              <w:right w:val="nil"/>
            </w:tcBorders>
            <w:shd w:val="clear" w:color="000000" w:fill="DBE5F1"/>
            <w:vAlign w:val="center"/>
            <w:hideMark/>
          </w:tcPr>
          <w:p w14:paraId="304132E7"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580" w:type="dxa"/>
            <w:tcBorders>
              <w:top w:val="nil"/>
              <w:left w:val="nil"/>
              <w:bottom w:val="single" w:sz="8" w:space="0" w:color="95B3D7"/>
              <w:right w:val="nil"/>
            </w:tcBorders>
            <w:shd w:val="clear" w:color="000000" w:fill="DBE5F1"/>
            <w:vAlign w:val="center"/>
            <w:hideMark/>
          </w:tcPr>
          <w:p w14:paraId="504A9445"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640" w:type="dxa"/>
            <w:tcBorders>
              <w:top w:val="nil"/>
              <w:left w:val="nil"/>
              <w:bottom w:val="single" w:sz="8" w:space="0" w:color="95B3D7"/>
              <w:right w:val="nil"/>
            </w:tcBorders>
            <w:shd w:val="clear" w:color="000000" w:fill="DBE5F1"/>
            <w:vAlign w:val="center"/>
            <w:hideMark/>
          </w:tcPr>
          <w:p w14:paraId="5826F86D"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1100" w:type="dxa"/>
            <w:tcBorders>
              <w:top w:val="nil"/>
              <w:left w:val="nil"/>
              <w:bottom w:val="single" w:sz="8" w:space="0" w:color="95B3D7"/>
              <w:right w:val="nil"/>
            </w:tcBorders>
            <w:shd w:val="clear" w:color="000000" w:fill="DBE5F1"/>
            <w:vAlign w:val="center"/>
            <w:hideMark/>
          </w:tcPr>
          <w:p w14:paraId="6A1553DF"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12,000 </w:t>
            </w:r>
          </w:p>
        </w:tc>
        <w:tc>
          <w:tcPr>
            <w:tcW w:w="1100" w:type="dxa"/>
            <w:tcBorders>
              <w:top w:val="nil"/>
              <w:left w:val="nil"/>
              <w:bottom w:val="single" w:sz="8" w:space="0" w:color="95B3D7"/>
              <w:right w:val="nil"/>
            </w:tcBorders>
            <w:shd w:val="clear" w:color="000000" w:fill="DBE5F1"/>
            <w:vAlign w:val="center"/>
            <w:hideMark/>
          </w:tcPr>
          <w:p w14:paraId="4F3F8FE4"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12,000 </w:t>
            </w:r>
          </w:p>
        </w:tc>
        <w:tc>
          <w:tcPr>
            <w:tcW w:w="1100" w:type="dxa"/>
            <w:tcBorders>
              <w:top w:val="nil"/>
              <w:left w:val="nil"/>
              <w:bottom w:val="single" w:sz="8" w:space="0" w:color="95B3D7"/>
              <w:right w:val="nil"/>
            </w:tcBorders>
            <w:shd w:val="clear" w:color="000000" w:fill="DBE5F1"/>
            <w:vAlign w:val="center"/>
            <w:hideMark/>
          </w:tcPr>
          <w:p w14:paraId="547FFDA9"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640" w:type="dxa"/>
            <w:tcBorders>
              <w:top w:val="nil"/>
              <w:left w:val="nil"/>
              <w:bottom w:val="single" w:sz="8" w:space="0" w:color="95B3D7"/>
              <w:right w:val="nil"/>
            </w:tcBorders>
            <w:shd w:val="clear" w:color="000000" w:fill="DBE5F1"/>
            <w:vAlign w:val="center"/>
            <w:hideMark/>
          </w:tcPr>
          <w:p w14:paraId="4D332272" w14:textId="77777777" w:rsidR="00A51D23" w:rsidRPr="00A51D23" w:rsidRDefault="00A51D23" w:rsidP="00A51D23">
            <w:pPr>
              <w:spacing w:after="0" w:line="240" w:lineRule="auto"/>
              <w:jc w:val="right"/>
              <w:rPr>
                <w:rFonts w:ascii="Calibri" w:eastAsia="Times New Roman" w:hAnsi="Calibri" w:cs="Calibri"/>
                <w:color w:val="17365D"/>
                <w:lang w:eastAsia="en-AU"/>
              </w:rPr>
            </w:pPr>
            <w:r w:rsidRPr="00A51D23">
              <w:rPr>
                <w:rFonts w:ascii="Calibri" w:eastAsia="Times New Roman" w:hAnsi="Calibri" w:cs="Calibri"/>
                <w:color w:val="17365D"/>
                <w:lang w:eastAsia="en-AU"/>
              </w:rPr>
              <w:t>1,2</w:t>
            </w:r>
          </w:p>
        </w:tc>
      </w:tr>
      <w:tr w:rsidR="00A51D23" w:rsidRPr="00A51D23" w14:paraId="05FE3A6A" w14:textId="77777777" w:rsidTr="00A51D23">
        <w:trPr>
          <w:trHeight w:val="429"/>
        </w:trPr>
        <w:tc>
          <w:tcPr>
            <w:tcW w:w="3560" w:type="dxa"/>
            <w:tcBorders>
              <w:top w:val="nil"/>
              <w:left w:val="nil"/>
              <w:bottom w:val="single" w:sz="8" w:space="0" w:color="95B3D7"/>
              <w:right w:val="nil"/>
            </w:tcBorders>
            <w:vAlign w:val="center"/>
            <w:hideMark/>
          </w:tcPr>
          <w:p w14:paraId="23F4BA2A" w14:textId="77777777" w:rsidR="00A51D23" w:rsidRPr="00A51D23" w:rsidRDefault="00A51D23" w:rsidP="00A51D23">
            <w:pPr>
              <w:spacing w:after="0" w:line="240" w:lineRule="auto"/>
              <w:rPr>
                <w:rFonts w:ascii="Calibri" w:eastAsia="Times New Roman" w:hAnsi="Calibri" w:cs="Calibri"/>
                <w:color w:val="17365D"/>
                <w:lang w:eastAsia="en-AU"/>
              </w:rPr>
            </w:pPr>
            <w:r w:rsidRPr="00A51D23">
              <w:rPr>
                <w:rFonts w:ascii="Calibri" w:eastAsia="Times New Roman" w:hAnsi="Calibri" w:cs="Calibri"/>
                <w:color w:val="17365D"/>
                <w:lang w:eastAsia="en-AU"/>
              </w:rPr>
              <w:t>Special exploration permit (per title)</w:t>
            </w:r>
          </w:p>
        </w:tc>
        <w:tc>
          <w:tcPr>
            <w:tcW w:w="680" w:type="dxa"/>
            <w:tcBorders>
              <w:top w:val="nil"/>
              <w:left w:val="nil"/>
              <w:bottom w:val="single" w:sz="8" w:space="0" w:color="95B3D7"/>
              <w:right w:val="nil"/>
            </w:tcBorders>
            <w:vAlign w:val="center"/>
            <w:hideMark/>
          </w:tcPr>
          <w:p w14:paraId="7E969BD2"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580" w:type="dxa"/>
            <w:tcBorders>
              <w:top w:val="nil"/>
              <w:left w:val="nil"/>
              <w:bottom w:val="single" w:sz="8" w:space="0" w:color="95B3D7"/>
              <w:right w:val="nil"/>
            </w:tcBorders>
            <w:vAlign w:val="center"/>
            <w:hideMark/>
          </w:tcPr>
          <w:p w14:paraId="72E4BAD3"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640" w:type="dxa"/>
            <w:tcBorders>
              <w:top w:val="nil"/>
              <w:left w:val="nil"/>
              <w:bottom w:val="single" w:sz="8" w:space="0" w:color="95B3D7"/>
              <w:right w:val="nil"/>
            </w:tcBorders>
            <w:vAlign w:val="center"/>
            <w:hideMark/>
          </w:tcPr>
          <w:p w14:paraId="4BE03473"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1100" w:type="dxa"/>
            <w:tcBorders>
              <w:top w:val="nil"/>
              <w:left w:val="nil"/>
              <w:bottom w:val="single" w:sz="8" w:space="0" w:color="95B3D7"/>
              <w:right w:val="nil"/>
            </w:tcBorders>
            <w:vAlign w:val="center"/>
            <w:hideMark/>
          </w:tcPr>
          <w:p w14:paraId="73490D18"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12,000 </w:t>
            </w:r>
          </w:p>
        </w:tc>
        <w:tc>
          <w:tcPr>
            <w:tcW w:w="1100" w:type="dxa"/>
            <w:tcBorders>
              <w:top w:val="nil"/>
              <w:left w:val="nil"/>
              <w:bottom w:val="single" w:sz="8" w:space="0" w:color="95B3D7"/>
              <w:right w:val="nil"/>
            </w:tcBorders>
            <w:vAlign w:val="center"/>
            <w:hideMark/>
          </w:tcPr>
          <w:p w14:paraId="54885272"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12,000 </w:t>
            </w:r>
          </w:p>
        </w:tc>
        <w:tc>
          <w:tcPr>
            <w:tcW w:w="1100" w:type="dxa"/>
            <w:tcBorders>
              <w:top w:val="nil"/>
              <w:left w:val="nil"/>
              <w:bottom w:val="single" w:sz="8" w:space="0" w:color="95B3D7"/>
              <w:right w:val="nil"/>
            </w:tcBorders>
            <w:vAlign w:val="center"/>
            <w:hideMark/>
          </w:tcPr>
          <w:p w14:paraId="0CCFBBA7"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640" w:type="dxa"/>
            <w:tcBorders>
              <w:top w:val="nil"/>
              <w:left w:val="nil"/>
              <w:bottom w:val="single" w:sz="8" w:space="0" w:color="95B3D7"/>
              <w:right w:val="nil"/>
            </w:tcBorders>
            <w:vAlign w:val="center"/>
            <w:hideMark/>
          </w:tcPr>
          <w:p w14:paraId="185EC026" w14:textId="77777777" w:rsidR="00A51D23" w:rsidRPr="00A51D23" w:rsidRDefault="00A51D23" w:rsidP="00A51D23">
            <w:pPr>
              <w:spacing w:after="0" w:line="240" w:lineRule="auto"/>
              <w:jc w:val="right"/>
              <w:rPr>
                <w:rFonts w:ascii="Calibri" w:eastAsia="Times New Roman" w:hAnsi="Calibri" w:cs="Calibri"/>
                <w:color w:val="17365D"/>
                <w:lang w:eastAsia="en-AU"/>
              </w:rPr>
            </w:pPr>
            <w:r w:rsidRPr="00A51D23">
              <w:rPr>
                <w:rFonts w:ascii="Calibri" w:eastAsia="Times New Roman" w:hAnsi="Calibri" w:cs="Calibri"/>
                <w:color w:val="17365D"/>
                <w:lang w:eastAsia="en-AU"/>
              </w:rPr>
              <w:t>1,2</w:t>
            </w:r>
          </w:p>
        </w:tc>
      </w:tr>
      <w:tr w:rsidR="00A51D23" w:rsidRPr="00A51D23" w14:paraId="07D6F0CB" w14:textId="77777777" w:rsidTr="00A51D23">
        <w:trPr>
          <w:trHeight w:val="688"/>
        </w:trPr>
        <w:tc>
          <w:tcPr>
            <w:tcW w:w="3560" w:type="dxa"/>
            <w:tcBorders>
              <w:top w:val="nil"/>
              <w:left w:val="nil"/>
              <w:bottom w:val="single" w:sz="8" w:space="0" w:color="95B3D7"/>
              <w:right w:val="nil"/>
            </w:tcBorders>
            <w:shd w:val="clear" w:color="000000" w:fill="DBE5F1"/>
            <w:vAlign w:val="center"/>
            <w:hideMark/>
          </w:tcPr>
          <w:p w14:paraId="0513A85D" w14:textId="77777777" w:rsidR="00A51D23" w:rsidRPr="00A51D23" w:rsidRDefault="00A51D23" w:rsidP="00A51D23">
            <w:pPr>
              <w:spacing w:after="0" w:line="240" w:lineRule="auto"/>
              <w:rPr>
                <w:rFonts w:ascii="Calibri" w:eastAsia="Times New Roman" w:hAnsi="Calibri" w:cs="Calibri"/>
                <w:color w:val="17365D"/>
                <w:lang w:eastAsia="en-AU"/>
              </w:rPr>
            </w:pPr>
            <w:r w:rsidRPr="00A51D23">
              <w:rPr>
                <w:rFonts w:ascii="Calibri" w:eastAsia="Times New Roman" w:hAnsi="Calibri" w:cs="Calibri"/>
                <w:color w:val="17365D"/>
                <w:lang w:eastAsia="en-AU"/>
              </w:rPr>
              <w:t>Boundary-change petroleum exploration permit (per title)</w:t>
            </w:r>
          </w:p>
        </w:tc>
        <w:tc>
          <w:tcPr>
            <w:tcW w:w="680" w:type="dxa"/>
            <w:tcBorders>
              <w:top w:val="nil"/>
              <w:left w:val="nil"/>
              <w:bottom w:val="single" w:sz="8" w:space="0" w:color="95B3D7"/>
              <w:right w:val="nil"/>
            </w:tcBorders>
            <w:shd w:val="clear" w:color="000000" w:fill="DBE5F1"/>
            <w:vAlign w:val="center"/>
            <w:hideMark/>
          </w:tcPr>
          <w:p w14:paraId="5E2E9F92"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580" w:type="dxa"/>
            <w:tcBorders>
              <w:top w:val="nil"/>
              <w:left w:val="nil"/>
              <w:bottom w:val="single" w:sz="8" w:space="0" w:color="95B3D7"/>
              <w:right w:val="nil"/>
            </w:tcBorders>
            <w:shd w:val="clear" w:color="000000" w:fill="DBE5F1"/>
            <w:vAlign w:val="center"/>
            <w:hideMark/>
          </w:tcPr>
          <w:p w14:paraId="3DAC8F30"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640" w:type="dxa"/>
            <w:tcBorders>
              <w:top w:val="nil"/>
              <w:left w:val="nil"/>
              <w:bottom w:val="single" w:sz="8" w:space="0" w:color="95B3D7"/>
              <w:right w:val="nil"/>
            </w:tcBorders>
            <w:shd w:val="clear" w:color="000000" w:fill="DBE5F1"/>
            <w:vAlign w:val="center"/>
            <w:hideMark/>
          </w:tcPr>
          <w:p w14:paraId="1FFDF48A"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1100" w:type="dxa"/>
            <w:tcBorders>
              <w:top w:val="nil"/>
              <w:left w:val="nil"/>
              <w:bottom w:val="single" w:sz="8" w:space="0" w:color="95B3D7"/>
              <w:right w:val="nil"/>
            </w:tcBorders>
            <w:shd w:val="clear" w:color="000000" w:fill="DBE5F1"/>
            <w:vAlign w:val="center"/>
            <w:hideMark/>
          </w:tcPr>
          <w:p w14:paraId="6C9B0C46"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12,000 </w:t>
            </w:r>
          </w:p>
        </w:tc>
        <w:tc>
          <w:tcPr>
            <w:tcW w:w="1100" w:type="dxa"/>
            <w:tcBorders>
              <w:top w:val="nil"/>
              <w:left w:val="nil"/>
              <w:bottom w:val="single" w:sz="8" w:space="0" w:color="95B3D7"/>
              <w:right w:val="nil"/>
            </w:tcBorders>
            <w:shd w:val="clear" w:color="000000" w:fill="DBE5F1"/>
            <w:vAlign w:val="center"/>
            <w:hideMark/>
          </w:tcPr>
          <w:p w14:paraId="1332D7D6"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12,000 </w:t>
            </w:r>
          </w:p>
        </w:tc>
        <w:tc>
          <w:tcPr>
            <w:tcW w:w="1100" w:type="dxa"/>
            <w:tcBorders>
              <w:top w:val="nil"/>
              <w:left w:val="nil"/>
              <w:bottom w:val="single" w:sz="8" w:space="0" w:color="95B3D7"/>
              <w:right w:val="nil"/>
            </w:tcBorders>
            <w:shd w:val="clear" w:color="000000" w:fill="DBE5F1"/>
            <w:vAlign w:val="center"/>
            <w:hideMark/>
          </w:tcPr>
          <w:p w14:paraId="208EF0B4"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640" w:type="dxa"/>
            <w:tcBorders>
              <w:top w:val="nil"/>
              <w:left w:val="nil"/>
              <w:bottom w:val="single" w:sz="8" w:space="0" w:color="95B3D7"/>
              <w:right w:val="nil"/>
            </w:tcBorders>
            <w:shd w:val="clear" w:color="000000" w:fill="DBE5F1"/>
            <w:vAlign w:val="center"/>
            <w:hideMark/>
          </w:tcPr>
          <w:p w14:paraId="26B4F991" w14:textId="77777777" w:rsidR="00A51D23" w:rsidRPr="00A51D23" w:rsidRDefault="00A51D23" w:rsidP="00A51D23">
            <w:pPr>
              <w:spacing w:after="0" w:line="240" w:lineRule="auto"/>
              <w:jc w:val="right"/>
              <w:rPr>
                <w:rFonts w:ascii="Calibri" w:eastAsia="Times New Roman" w:hAnsi="Calibri" w:cs="Calibri"/>
                <w:color w:val="17365D"/>
                <w:lang w:eastAsia="en-AU"/>
              </w:rPr>
            </w:pPr>
            <w:r w:rsidRPr="00A51D23">
              <w:rPr>
                <w:rFonts w:ascii="Calibri" w:eastAsia="Times New Roman" w:hAnsi="Calibri" w:cs="Calibri"/>
                <w:color w:val="17365D"/>
                <w:lang w:eastAsia="en-AU"/>
              </w:rPr>
              <w:t>1,2</w:t>
            </w:r>
          </w:p>
        </w:tc>
      </w:tr>
      <w:tr w:rsidR="00A51D23" w:rsidRPr="00A51D23" w14:paraId="661AC551" w14:textId="77777777" w:rsidTr="00A51D23">
        <w:trPr>
          <w:trHeight w:val="318"/>
        </w:trPr>
        <w:tc>
          <w:tcPr>
            <w:tcW w:w="3560" w:type="dxa"/>
            <w:tcBorders>
              <w:top w:val="nil"/>
              <w:left w:val="nil"/>
              <w:bottom w:val="single" w:sz="8" w:space="0" w:color="95B3D7"/>
              <w:right w:val="nil"/>
            </w:tcBorders>
            <w:vAlign w:val="center"/>
            <w:hideMark/>
          </w:tcPr>
          <w:p w14:paraId="5BE0494D" w14:textId="77777777" w:rsidR="00A51D23" w:rsidRPr="00A51D23" w:rsidRDefault="00A51D23" w:rsidP="00A51D23">
            <w:pPr>
              <w:spacing w:after="0" w:line="240" w:lineRule="auto"/>
              <w:rPr>
                <w:rFonts w:ascii="Calibri" w:eastAsia="Times New Roman" w:hAnsi="Calibri" w:cs="Calibri"/>
                <w:color w:val="17365D"/>
                <w:lang w:eastAsia="en-AU"/>
              </w:rPr>
            </w:pPr>
            <w:r w:rsidRPr="00A51D23">
              <w:rPr>
                <w:rFonts w:ascii="Calibri" w:eastAsia="Times New Roman" w:hAnsi="Calibri" w:cs="Calibri"/>
                <w:color w:val="17365D"/>
                <w:lang w:eastAsia="en-AU"/>
              </w:rPr>
              <w:t>Petroleum retention lease (per block)</w:t>
            </w:r>
          </w:p>
        </w:tc>
        <w:tc>
          <w:tcPr>
            <w:tcW w:w="680" w:type="dxa"/>
            <w:tcBorders>
              <w:top w:val="nil"/>
              <w:left w:val="nil"/>
              <w:bottom w:val="single" w:sz="8" w:space="0" w:color="95B3D7"/>
              <w:right w:val="nil"/>
            </w:tcBorders>
            <w:vAlign w:val="center"/>
            <w:hideMark/>
          </w:tcPr>
          <w:p w14:paraId="4668F998"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580" w:type="dxa"/>
            <w:tcBorders>
              <w:top w:val="nil"/>
              <w:left w:val="nil"/>
              <w:bottom w:val="single" w:sz="8" w:space="0" w:color="95B3D7"/>
              <w:right w:val="nil"/>
            </w:tcBorders>
            <w:vAlign w:val="center"/>
            <w:hideMark/>
          </w:tcPr>
          <w:p w14:paraId="443C2844"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301 </w:t>
            </w:r>
          </w:p>
        </w:tc>
        <w:tc>
          <w:tcPr>
            <w:tcW w:w="640" w:type="dxa"/>
            <w:tcBorders>
              <w:top w:val="nil"/>
              <w:left w:val="nil"/>
              <w:bottom w:val="single" w:sz="8" w:space="0" w:color="95B3D7"/>
              <w:right w:val="nil"/>
            </w:tcBorders>
            <w:vAlign w:val="center"/>
            <w:hideMark/>
          </w:tcPr>
          <w:p w14:paraId="52E18FB2"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1100" w:type="dxa"/>
            <w:tcBorders>
              <w:top w:val="nil"/>
              <w:left w:val="nil"/>
              <w:bottom w:val="single" w:sz="8" w:space="0" w:color="95B3D7"/>
              <w:right w:val="nil"/>
            </w:tcBorders>
            <w:vAlign w:val="center"/>
            <w:hideMark/>
          </w:tcPr>
          <w:p w14:paraId="32527515"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24,500 </w:t>
            </w:r>
          </w:p>
        </w:tc>
        <w:tc>
          <w:tcPr>
            <w:tcW w:w="1100" w:type="dxa"/>
            <w:tcBorders>
              <w:top w:val="nil"/>
              <w:left w:val="nil"/>
              <w:bottom w:val="single" w:sz="8" w:space="0" w:color="95B3D7"/>
              <w:right w:val="nil"/>
            </w:tcBorders>
            <w:vAlign w:val="center"/>
            <w:hideMark/>
          </w:tcPr>
          <w:p w14:paraId="2062832B"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29,000 </w:t>
            </w:r>
          </w:p>
        </w:tc>
        <w:tc>
          <w:tcPr>
            <w:tcW w:w="1100" w:type="dxa"/>
            <w:tcBorders>
              <w:top w:val="nil"/>
              <w:left w:val="nil"/>
              <w:bottom w:val="single" w:sz="8" w:space="0" w:color="95B3D7"/>
              <w:right w:val="nil"/>
            </w:tcBorders>
            <w:vAlign w:val="center"/>
            <w:hideMark/>
          </w:tcPr>
          <w:p w14:paraId="7E4EC89B"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8,729,000 </w:t>
            </w:r>
          </w:p>
        </w:tc>
        <w:tc>
          <w:tcPr>
            <w:tcW w:w="640" w:type="dxa"/>
            <w:tcBorders>
              <w:top w:val="nil"/>
              <w:left w:val="nil"/>
              <w:bottom w:val="single" w:sz="8" w:space="0" w:color="95B3D7"/>
              <w:right w:val="nil"/>
            </w:tcBorders>
            <w:vAlign w:val="center"/>
            <w:hideMark/>
          </w:tcPr>
          <w:p w14:paraId="2F72E728" w14:textId="77777777" w:rsidR="00A51D23" w:rsidRPr="00A51D23" w:rsidRDefault="00A51D23" w:rsidP="00A51D23">
            <w:pPr>
              <w:spacing w:after="0" w:line="240" w:lineRule="auto"/>
              <w:jc w:val="right"/>
              <w:rPr>
                <w:rFonts w:ascii="Calibri" w:eastAsia="Times New Roman" w:hAnsi="Calibri" w:cs="Calibri"/>
                <w:color w:val="17365D"/>
                <w:lang w:eastAsia="en-AU"/>
              </w:rPr>
            </w:pPr>
            <w:r w:rsidRPr="00A51D23">
              <w:rPr>
                <w:rFonts w:ascii="Calibri" w:eastAsia="Times New Roman" w:hAnsi="Calibri" w:cs="Calibri"/>
                <w:color w:val="17365D"/>
                <w:lang w:eastAsia="en-AU"/>
              </w:rPr>
              <w:t>5</w:t>
            </w:r>
          </w:p>
        </w:tc>
      </w:tr>
      <w:tr w:rsidR="00A51D23" w:rsidRPr="00A51D23" w14:paraId="24D7E66D" w14:textId="77777777" w:rsidTr="00A51D23">
        <w:trPr>
          <w:trHeight w:val="318"/>
        </w:trPr>
        <w:tc>
          <w:tcPr>
            <w:tcW w:w="3560" w:type="dxa"/>
            <w:tcBorders>
              <w:top w:val="nil"/>
              <w:left w:val="nil"/>
              <w:bottom w:val="single" w:sz="8" w:space="0" w:color="95B3D7"/>
              <w:right w:val="nil"/>
            </w:tcBorders>
            <w:shd w:val="clear" w:color="000000" w:fill="DBE5F1"/>
            <w:vAlign w:val="center"/>
            <w:hideMark/>
          </w:tcPr>
          <w:p w14:paraId="2C10A1D3" w14:textId="77777777" w:rsidR="00A51D23" w:rsidRPr="00A51D23" w:rsidRDefault="00A51D23" w:rsidP="00A51D23">
            <w:pPr>
              <w:spacing w:after="0" w:line="240" w:lineRule="auto"/>
              <w:rPr>
                <w:rFonts w:ascii="Calibri" w:eastAsia="Times New Roman" w:hAnsi="Calibri" w:cs="Calibri"/>
                <w:color w:val="17365D"/>
                <w:lang w:eastAsia="en-AU"/>
              </w:rPr>
            </w:pPr>
            <w:r w:rsidRPr="00A51D23">
              <w:rPr>
                <w:rFonts w:ascii="Calibri" w:eastAsia="Times New Roman" w:hAnsi="Calibri" w:cs="Calibri"/>
                <w:color w:val="17365D"/>
                <w:lang w:eastAsia="en-AU"/>
              </w:rPr>
              <w:t>Petroleum production licence (per block)</w:t>
            </w:r>
          </w:p>
        </w:tc>
        <w:tc>
          <w:tcPr>
            <w:tcW w:w="680" w:type="dxa"/>
            <w:tcBorders>
              <w:top w:val="nil"/>
              <w:left w:val="nil"/>
              <w:bottom w:val="single" w:sz="8" w:space="0" w:color="95B3D7"/>
              <w:right w:val="nil"/>
            </w:tcBorders>
            <w:shd w:val="clear" w:color="000000" w:fill="DBE5F1"/>
            <w:vAlign w:val="center"/>
            <w:hideMark/>
          </w:tcPr>
          <w:p w14:paraId="151CD6A0"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580" w:type="dxa"/>
            <w:tcBorders>
              <w:top w:val="nil"/>
              <w:left w:val="nil"/>
              <w:bottom w:val="single" w:sz="8" w:space="0" w:color="95B3D7"/>
              <w:right w:val="nil"/>
            </w:tcBorders>
            <w:shd w:val="clear" w:color="000000" w:fill="DBE5F1"/>
            <w:vAlign w:val="center"/>
            <w:hideMark/>
          </w:tcPr>
          <w:p w14:paraId="0E6269BB"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312 </w:t>
            </w:r>
          </w:p>
        </w:tc>
        <w:tc>
          <w:tcPr>
            <w:tcW w:w="640" w:type="dxa"/>
            <w:tcBorders>
              <w:top w:val="nil"/>
              <w:left w:val="nil"/>
              <w:bottom w:val="single" w:sz="8" w:space="0" w:color="95B3D7"/>
              <w:right w:val="nil"/>
            </w:tcBorders>
            <w:shd w:val="clear" w:color="000000" w:fill="DBE5F1"/>
            <w:vAlign w:val="center"/>
            <w:hideMark/>
          </w:tcPr>
          <w:p w14:paraId="707EE7D9"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1100" w:type="dxa"/>
            <w:tcBorders>
              <w:top w:val="nil"/>
              <w:left w:val="nil"/>
              <w:bottom w:val="single" w:sz="8" w:space="0" w:color="95B3D7"/>
              <w:right w:val="nil"/>
            </w:tcBorders>
            <w:shd w:val="clear" w:color="000000" w:fill="DBE5F1"/>
            <w:vAlign w:val="center"/>
            <w:hideMark/>
          </w:tcPr>
          <w:p w14:paraId="4F916385"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24,500 </w:t>
            </w:r>
          </w:p>
        </w:tc>
        <w:tc>
          <w:tcPr>
            <w:tcW w:w="1100" w:type="dxa"/>
            <w:tcBorders>
              <w:top w:val="nil"/>
              <w:left w:val="nil"/>
              <w:bottom w:val="single" w:sz="8" w:space="0" w:color="95B3D7"/>
              <w:right w:val="nil"/>
            </w:tcBorders>
            <w:shd w:val="clear" w:color="000000" w:fill="DBE5F1"/>
            <w:vAlign w:val="center"/>
            <w:hideMark/>
          </w:tcPr>
          <w:p w14:paraId="17A3D08B"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29,000 </w:t>
            </w:r>
          </w:p>
        </w:tc>
        <w:tc>
          <w:tcPr>
            <w:tcW w:w="1100" w:type="dxa"/>
            <w:tcBorders>
              <w:top w:val="nil"/>
              <w:left w:val="nil"/>
              <w:bottom w:val="single" w:sz="8" w:space="0" w:color="95B3D7"/>
              <w:right w:val="nil"/>
            </w:tcBorders>
            <w:shd w:val="clear" w:color="000000" w:fill="DBE5F1"/>
            <w:vAlign w:val="center"/>
            <w:hideMark/>
          </w:tcPr>
          <w:p w14:paraId="02841534"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9,048,000 </w:t>
            </w:r>
          </w:p>
        </w:tc>
        <w:tc>
          <w:tcPr>
            <w:tcW w:w="640" w:type="dxa"/>
            <w:tcBorders>
              <w:top w:val="nil"/>
              <w:left w:val="nil"/>
              <w:bottom w:val="single" w:sz="8" w:space="0" w:color="95B3D7"/>
              <w:right w:val="nil"/>
            </w:tcBorders>
            <w:shd w:val="clear" w:color="000000" w:fill="DBE5F1"/>
            <w:vAlign w:val="center"/>
            <w:hideMark/>
          </w:tcPr>
          <w:p w14:paraId="202E21EB" w14:textId="77777777" w:rsidR="00A51D23" w:rsidRPr="00A51D23" w:rsidRDefault="00A51D23" w:rsidP="00A51D23">
            <w:pPr>
              <w:spacing w:after="0" w:line="240" w:lineRule="auto"/>
              <w:jc w:val="right"/>
              <w:rPr>
                <w:rFonts w:ascii="Calibri" w:eastAsia="Times New Roman" w:hAnsi="Calibri" w:cs="Calibri"/>
                <w:color w:val="17365D"/>
                <w:lang w:eastAsia="en-AU"/>
              </w:rPr>
            </w:pPr>
            <w:r w:rsidRPr="00A51D23">
              <w:rPr>
                <w:rFonts w:ascii="Calibri" w:eastAsia="Times New Roman" w:hAnsi="Calibri" w:cs="Calibri"/>
                <w:color w:val="17365D"/>
                <w:lang w:eastAsia="en-AU"/>
              </w:rPr>
              <w:t>6</w:t>
            </w:r>
          </w:p>
        </w:tc>
      </w:tr>
      <w:tr w:rsidR="00A51D23" w:rsidRPr="00A51D23" w14:paraId="1BFE9FE8" w14:textId="77777777" w:rsidTr="00A51D23">
        <w:trPr>
          <w:trHeight w:val="318"/>
        </w:trPr>
        <w:tc>
          <w:tcPr>
            <w:tcW w:w="3560" w:type="dxa"/>
            <w:tcBorders>
              <w:top w:val="nil"/>
              <w:left w:val="nil"/>
              <w:bottom w:val="single" w:sz="8" w:space="0" w:color="95B3D7"/>
              <w:right w:val="nil"/>
            </w:tcBorders>
            <w:vAlign w:val="center"/>
            <w:hideMark/>
          </w:tcPr>
          <w:p w14:paraId="09AFBAF8" w14:textId="77777777" w:rsidR="00A51D23" w:rsidRPr="00A51D23" w:rsidRDefault="00A51D23" w:rsidP="00A51D23">
            <w:pPr>
              <w:spacing w:after="0" w:line="240" w:lineRule="auto"/>
              <w:rPr>
                <w:rFonts w:ascii="Calibri" w:eastAsia="Times New Roman" w:hAnsi="Calibri" w:cs="Calibri"/>
                <w:color w:val="17365D"/>
                <w:lang w:eastAsia="en-AU"/>
              </w:rPr>
            </w:pPr>
            <w:r w:rsidRPr="00A51D23">
              <w:rPr>
                <w:rFonts w:ascii="Calibri" w:eastAsia="Times New Roman" w:hAnsi="Calibri" w:cs="Calibri"/>
                <w:color w:val="17365D"/>
                <w:lang w:eastAsia="en-AU"/>
              </w:rPr>
              <w:t>Infrastructure licence (per title)</w:t>
            </w:r>
          </w:p>
        </w:tc>
        <w:tc>
          <w:tcPr>
            <w:tcW w:w="680" w:type="dxa"/>
            <w:tcBorders>
              <w:top w:val="nil"/>
              <w:left w:val="nil"/>
              <w:bottom w:val="single" w:sz="8" w:space="0" w:color="95B3D7"/>
              <w:right w:val="nil"/>
            </w:tcBorders>
            <w:vAlign w:val="center"/>
            <w:hideMark/>
          </w:tcPr>
          <w:p w14:paraId="35A467A1"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3 </w:t>
            </w:r>
          </w:p>
        </w:tc>
        <w:tc>
          <w:tcPr>
            <w:tcW w:w="580" w:type="dxa"/>
            <w:tcBorders>
              <w:top w:val="nil"/>
              <w:left w:val="nil"/>
              <w:bottom w:val="single" w:sz="8" w:space="0" w:color="95B3D7"/>
              <w:right w:val="nil"/>
            </w:tcBorders>
            <w:vAlign w:val="center"/>
            <w:hideMark/>
          </w:tcPr>
          <w:p w14:paraId="7F28536A"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640" w:type="dxa"/>
            <w:tcBorders>
              <w:top w:val="nil"/>
              <w:left w:val="nil"/>
              <w:bottom w:val="single" w:sz="8" w:space="0" w:color="95B3D7"/>
              <w:right w:val="nil"/>
            </w:tcBorders>
            <w:vAlign w:val="center"/>
            <w:hideMark/>
          </w:tcPr>
          <w:p w14:paraId="49151819"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1100" w:type="dxa"/>
            <w:tcBorders>
              <w:top w:val="nil"/>
              <w:left w:val="nil"/>
              <w:bottom w:val="single" w:sz="8" w:space="0" w:color="95B3D7"/>
              <w:right w:val="nil"/>
            </w:tcBorders>
            <w:vAlign w:val="center"/>
            <w:hideMark/>
          </w:tcPr>
          <w:p w14:paraId="494A4408"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30,500 </w:t>
            </w:r>
          </w:p>
        </w:tc>
        <w:tc>
          <w:tcPr>
            <w:tcW w:w="1100" w:type="dxa"/>
            <w:tcBorders>
              <w:top w:val="nil"/>
              <w:left w:val="nil"/>
              <w:bottom w:val="single" w:sz="8" w:space="0" w:color="95B3D7"/>
              <w:right w:val="nil"/>
            </w:tcBorders>
            <w:vAlign w:val="center"/>
            <w:hideMark/>
          </w:tcPr>
          <w:p w14:paraId="4120D5A7"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36,500 </w:t>
            </w:r>
          </w:p>
        </w:tc>
        <w:tc>
          <w:tcPr>
            <w:tcW w:w="1100" w:type="dxa"/>
            <w:tcBorders>
              <w:top w:val="nil"/>
              <w:left w:val="nil"/>
              <w:bottom w:val="single" w:sz="8" w:space="0" w:color="95B3D7"/>
              <w:right w:val="nil"/>
            </w:tcBorders>
            <w:vAlign w:val="center"/>
            <w:hideMark/>
          </w:tcPr>
          <w:p w14:paraId="23B12CFB"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109,500 </w:t>
            </w:r>
          </w:p>
        </w:tc>
        <w:tc>
          <w:tcPr>
            <w:tcW w:w="640" w:type="dxa"/>
            <w:tcBorders>
              <w:top w:val="nil"/>
              <w:left w:val="nil"/>
              <w:bottom w:val="single" w:sz="8" w:space="0" w:color="95B3D7"/>
              <w:right w:val="nil"/>
            </w:tcBorders>
            <w:vAlign w:val="center"/>
            <w:hideMark/>
          </w:tcPr>
          <w:p w14:paraId="5F174D55" w14:textId="77777777" w:rsidR="00A51D23" w:rsidRPr="00A51D23" w:rsidRDefault="00A51D23" w:rsidP="00A51D23">
            <w:pPr>
              <w:spacing w:after="0" w:line="240" w:lineRule="auto"/>
              <w:jc w:val="right"/>
              <w:rPr>
                <w:rFonts w:ascii="Calibri" w:eastAsia="Times New Roman" w:hAnsi="Calibri" w:cs="Calibri"/>
                <w:color w:val="17365D"/>
                <w:lang w:eastAsia="en-AU"/>
              </w:rPr>
            </w:pPr>
            <w:r w:rsidRPr="00A51D23">
              <w:rPr>
                <w:rFonts w:ascii="Calibri" w:eastAsia="Times New Roman" w:hAnsi="Calibri" w:cs="Calibri"/>
                <w:color w:val="17365D"/>
                <w:lang w:eastAsia="en-AU"/>
              </w:rPr>
              <w:t>7</w:t>
            </w:r>
          </w:p>
        </w:tc>
      </w:tr>
      <w:tr w:rsidR="00A51D23" w:rsidRPr="00A51D23" w14:paraId="2F1C4836" w14:textId="77777777" w:rsidTr="00A51D23">
        <w:trPr>
          <w:trHeight w:val="318"/>
        </w:trPr>
        <w:tc>
          <w:tcPr>
            <w:tcW w:w="3560" w:type="dxa"/>
            <w:tcBorders>
              <w:top w:val="nil"/>
              <w:left w:val="nil"/>
              <w:bottom w:val="single" w:sz="8" w:space="0" w:color="95B3D7"/>
              <w:right w:val="nil"/>
            </w:tcBorders>
            <w:shd w:val="clear" w:color="000000" w:fill="DBE5F1"/>
            <w:vAlign w:val="center"/>
            <w:hideMark/>
          </w:tcPr>
          <w:p w14:paraId="12493B96" w14:textId="77777777" w:rsidR="00A51D23" w:rsidRPr="00A51D23" w:rsidRDefault="00A51D23" w:rsidP="00A51D23">
            <w:pPr>
              <w:spacing w:after="0" w:line="240" w:lineRule="auto"/>
              <w:rPr>
                <w:rFonts w:ascii="Calibri" w:eastAsia="Times New Roman" w:hAnsi="Calibri" w:cs="Calibri"/>
                <w:color w:val="17365D"/>
                <w:lang w:eastAsia="en-AU"/>
              </w:rPr>
            </w:pPr>
            <w:r w:rsidRPr="00A51D23">
              <w:rPr>
                <w:rFonts w:ascii="Calibri" w:eastAsia="Times New Roman" w:hAnsi="Calibri" w:cs="Calibri"/>
                <w:color w:val="17365D"/>
                <w:lang w:eastAsia="en-AU"/>
              </w:rPr>
              <w:t>Pipeline licence (per km or part thereof)</w:t>
            </w:r>
          </w:p>
        </w:tc>
        <w:tc>
          <w:tcPr>
            <w:tcW w:w="680" w:type="dxa"/>
            <w:tcBorders>
              <w:top w:val="nil"/>
              <w:left w:val="nil"/>
              <w:bottom w:val="single" w:sz="8" w:space="0" w:color="95B3D7"/>
              <w:right w:val="nil"/>
            </w:tcBorders>
            <w:shd w:val="clear" w:color="000000" w:fill="DBE5F1"/>
            <w:vAlign w:val="center"/>
            <w:hideMark/>
          </w:tcPr>
          <w:p w14:paraId="1E7F94BA"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580" w:type="dxa"/>
            <w:tcBorders>
              <w:top w:val="nil"/>
              <w:left w:val="nil"/>
              <w:bottom w:val="single" w:sz="8" w:space="0" w:color="95B3D7"/>
              <w:right w:val="nil"/>
            </w:tcBorders>
            <w:shd w:val="clear" w:color="000000" w:fill="DBE5F1"/>
            <w:vAlign w:val="center"/>
            <w:hideMark/>
          </w:tcPr>
          <w:p w14:paraId="1F7975FE"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640" w:type="dxa"/>
            <w:tcBorders>
              <w:top w:val="nil"/>
              <w:left w:val="nil"/>
              <w:bottom w:val="single" w:sz="8" w:space="0" w:color="95B3D7"/>
              <w:right w:val="nil"/>
            </w:tcBorders>
            <w:shd w:val="clear" w:color="000000" w:fill="DBE5F1"/>
            <w:vAlign w:val="center"/>
            <w:hideMark/>
          </w:tcPr>
          <w:p w14:paraId="11B0639F"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4,786 </w:t>
            </w:r>
          </w:p>
        </w:tc>
        <w:tc>
          <w:tcPr>
            <w:tcW w:w="1100" w:type="dxa"/>
            <w:tcBorders>
              <w:top w:val="nil"/>
              <w:left w:val="nil"/>
              <w:bottom w:val="single" w:sz="8" w:space="0" w:color="95B3D7"/>
              <w:right w:val="nil"/>
            </w:tcBorders>
            <w:shd w:val="clear" w:color="000000" w:fill="DBE5F1"/>
            <w:vAlign w:val="center"/>
            <w:hideMark/>
          </w:tcPr>
          <w:p w14:paraId="36EA9624"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122 </w:t>
            </w:r>
          </w:p>
        </w:tc>
        <w:tc>
          <w:tcPr>
            <w:tcW w:w="1100" w:type="dxa"/>
            <w:tcBorders>
              <w:top w:val="nil"/>
              <w:left w:val="nil"/>
              <w:bottom w:val="single" w:sz="8" w:space="0" w:color="95B3D7"/>
              <w:right w:val="nil"/>
            </w:tcBorders>
            <w:shd w:val="clear" w:color="000000" w:fill="DBE5F1"/>
            <w:vAlign w:val="center"/>
            <w:hideMark/>
          </w:tcPr>
          <w:p w14:paraId="608EB293"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145 </w:t>
            </w:r>
          </w:p>
        </w:tc>
        <w:tc>
          <w:tcPr>
            <w:tcW w:w="1100" w:type="dxa"/>
            <w:tcBorders>
              <w:top w:val="nil"/>
              <w:left w:val="nil"/>
              <w:bottom w:val="single" w:sz="8" w:space="0" w:color="95B3D7"/>
              <w:right w:val="nil"/>
            </w:tcBorders>
            <w:shd w:val="clear" w:color="000000" w:fill="DBE5F1"/>
            <w:vAlign w:val="center"/>
            <w:hideMark/>
          </w:tcPr>
          <w:p w14:paraId="5D65A6E3"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693,970 </w:t>
            </w:r>
          </w:p>
        </w:tc>
        <w:tc>
          <w:tcPr>
            <w:tcW w:w="640" w:type="dxa"/>
            <w:tcBorders>
              <w:top w:val="nil"/>
              <w:left w:val="nil"/>
              <w:bottom w:val="single" w:sz="8" w:space="0" w:color="95B3D7"/>
              <w:right w:val="nil"/>
            </w:tcBorders>
            <w:shd w:val="clear" w:color="000000" w:fill="DBE5F1"/>
            <w:vAlign w:val="center"/>
            <w:hideMark/>
          </w:tcPr>
          <w:p w14:paraId="1FC04B7A" w14:textId="77777777" w:rsidR="00A51D23" w:rsidRPr="00A51D23" w:rsidRDefault="00A51D23" w:rsidP="00A51D23">
            <w:pPr>
              <w:spacing w:after="0" w:line="240" w:lineRule="auto"/>
              <w:jc w:val="right"/>
              <w:rPr>
                <w:rFonts w:ascii="Calibri" w:eastAsia="Times New Roman" w:hAnsi="Calibri" w:cs="Calibri"/>
                <w:color w:val="17365D"/>
                <w:lang w:eastAsia="en-AU"/>
              </w:rPr>
            </w:pPr>
            <w:r w:rsidRPr="00A51D23">
              <w:rPr>
                <w:rFonts w:ascii="Calibri" w:eastAsia="Times New Roman" w:hAnsi="Calibri" w:cs="Calibri"/>
                <w:color w:val="17365D"/>
                <w:lang w:eastAsia="en-AU"/>
              </w:rPr>
              <w:t>8</w:t>
            </w:r>
          </w:p>
        </w:tc>
      </w:tr>
      <w:tr w:rsidR="00A51D23" w:rsidRPr="00A51D23" w14:paraId="139073AA" w14:textId="77777777" w:rsidTr="00A51D23">
        <w:trPr>
          <w:trHeight w:val="1295"/>
        </w:trPr>
        <w:tc>
          <w:tcPr>
            <w:tcW w:w="3560" w:type="dxa"/>
            <w:tcBorders>
              <w:top w:val="nil"/>
              <w:left w:val="nil"/>
              <w:bottom w:val="single" w:sz="8" w:space="0" w:color="95B3D7"/>
              <w:right w:val="nil"/>
            </w:tcBorders>
            <w:vAlign w:val="center"/>
            <w:hideMark/>
          </w:tcPr>
          <w:p w14:paraId="6B0AFEA1" w14:textId="77777777" w:rsidR="00A51D23" w:rsidRPr="00A51D23" w:rsidRDefault="00A51D23" w:rsidP="00A51D23">
            <w:pPr>
              <w:spacing w:after="0" w:line="240" w:lineRule="auto"/>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Work-bid greenhouse gas assessment permit </w:t>
            </w:r>
            <w:r w:rsidRPr="00A51D23">
              <w:rPr>
                <w:rFonts w:ascii="Calibri" w:eastAsia="Times New Roman" w:hAnsi="Calibri" w:cs="Calibri"/>
                <w:color w:val="17365D"/>
                <w:lang w:eastAsia="en-AU"/>
              </w:rPr>
              <w:br/>
              <w:t xml:space="preserve">Consolidated work-bid greenhouse gas assessment permit </w:t>
            </w:r>
            <w:r w:rsidRPr="00A51D23">
              <w:rPr>
                <w:rFonts w:ascii="Calibri" w:eastAsia="Times New Roman" w:hAnsi="Calibri" w:cs="Calibri"/>
                <w:color w:val="17365D"/>
                <w:lang w:eastAsia="en-AU"/>
              </w:rPr>
              <w:br/>
              <w:t>(per title)</w:t>
            </w:r>
          </w:p>
        </w:tc>
        <w:tc>
          <w:tcPr>
            <w:tcW w:w="680" w:type="dxa"/>
            <w:tcBorders>
              <w:top w:val="nil"/>
              <w:left w:val="nil"/>
              <w:bottom w:val="single" w:sz="8" w:space="0" w:color="95B3D7"/>
              <w:right w:val="nil"/>
            </w:tcBorders>
            <w:vAlign w:val="center"/>
            <w:hideMark/>
          </w:tcPr>
          <w:p w14:paraId="1FD75D7A"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16 </w:t>
            </w:r>
          </w:p>
        </w:tc>
        <w:tc>
          <w:tcPr>
            <w:tcW w:w="580" w:type="dxa"/>
            <w:tcBorders>
              <w:top w:val="nil"/>
              <w:left w:val="nil"/>
              <w:bottom w:val="single" w:sz="8" w:space="0" w:color="95B3D7"/>
              <w:right w:val="nil"/>
            </w:tcBorders>
            <w:vAlign w:val="center"/>
            <w:hideMark/>
          </w:tcPr>
          <w:p w14:paraId="2429D5E2"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640" w:type="dxa"/>
            <w:tcBorders>
              <w:top w:val="nil"/>
              <w:left w:val="nil"/>
              <w:bottom w:val="single" w:sz="8" w:space="0" w:color="95B3D7"/>
              <w:right w:val="nil"/>
            </w:tcBorders>
            <w:vAlign w:val="center"/>
            <w:hideMark/>
          </w:tcPr>
          <w:p w14:paraId="73FEFA4B"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1100" w:type="dxa"/>
            <w:tcBorders>
              <w:top w:val="nil"/>
              <w:left w:val="nil"/>
              <w:bottom w:val="single" w:sz="8" w:space="0" w:color="95B3D7"/>
              <w:right w:val="nil"/>
            </w:tcBorders>
            <w:vAlign w:val="center"/>
            <w:hideMark/>
          </w:tcPr>
          <w:p w14:paraId="17D4FC1F"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26,500 </w:t>
            </w:r>
          </w:p>
        </w:tc>
        <w:tc>
          <w:tcPr>
            <w:tcW w:w="1100" w:type="dxa"/>
            <w:tcBorders>
              <w:top w:val="nil"/>
              <w:left w:val="nil"/>
              <w:bottom w:val="single" w:sz="8" w:space="0" w:color="95B3D7"/>
              <w:right w:val="nil"/>
            </w:tcBorders>
            <w:vAlign w:val="center"/>
            <w:hideMark/>
          </w:tcPr>
          <w:p w14:paraId="60D8E1E3"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29,150 </w:t>
            </w:r>
          </w:p>
        </w:tc>
        <w:tc>
          <w:tcPr>
            <w:tcW w:w="1100" w:type="dxa"/>
            <w:tcBorders>
              <w:top w:val="nil"/>
              <w:left w:val="nil"/>
              <w:bottom w:val="single" w:sz="8" w:space="0" w:color="95B3D7"/>
              <w:right w:val="nil"/>
            </w:tcBorders>
            <w:vAlign w:val="center"/>
            <w:hideMark/>
          </w:tcPr>
          <w:p w14:paraId="7B5EBD3E"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466,400 </w:t>
            </w:r>
          </w:p>
        </w:tc>
        <w:tc>
          <w:tcPr>
            <w:tcW w:w="640" w:type="dxa"/>
            <w:tcBorders>
              <w:top w:val="nil"/>
              <w:left w:val="nil"/>
              <w:bottom w:val="single" w:sz="8" w:space="0" w:color="95B3D7"/>
              <w:right w:val="nil"/>
            </w:tcBorders>
            <w:vAlign w:val="center"/>
            <w:hideMark/>
          </w:tcPr>
          <w:p w14:paraId="7C8EF66B" w14:textId="77777777" w:rsidR="00A51D23" w:rsidRPr="00A51D23" w:rsidRDefault="00A51D23" w:rsidP="00A51D23">
            <w:pPr>
              <w:spacing w:after="0" w:line="240" w:lineRule="auto"/>
              <w:jc w:val="right"/>
              <w:rPr>
                <w:rFonts w:ascii="Calibri" w:eastAsia="Times New Roman" w:hAnsi="Calibri" w:cs="Calibri"/>
                <w:color w:val="17365D"/>
                <w:lang w:eastAsia="en-AU"/>
              </w:rPr>
            </w:pPr>
            <w:r w:rsidRPr="00A51D23">
              <w:rPr>
                <w:rFonts w:ascii="Calibri" w:eastAsia="Times New Roman" w:hAnsi="Calibri" w:cs="Calibri"/>
                <w:color w:val="17365D"/>
                <w:lang w:eastAsia="en-AU"/>
              </w:rPr>
              <w:t>13,14</w:t>
            </w:r>
          </w:p>
        </w:tc>
      </w:tr>
      <w:tr w:rsidR="00A51D23" w:rsidRPr="00A51D23" w14:paraId="5F8720E5" w14:textId="77777777" w:rsidTr="00A51D23">
        <w:trPr>
          <w:trHeight w:val="523"/>
        </w:trPr>
        <w:tc>
          <w:tcPr>
            <w:tcW w:w="3560" w:type="dxa"/>
            <w:tcBorders>
              <w:top w:val="nil"/>
              <w:left w:val="nil"/>
              <w:bottom w:val="single" w:sz="8" w:space="0" w:color="95B3D7"/>
              <w:right w:val="nil"/>
            </w:tcBorders>
            <w:shd w:val="clear" w:color="000000" w:fill="DBE5F1"/>
            <w:vAlign w:val="center"/>
            <w:hideMark/>
          </w:tcPr>
          <w:p w14:paraId="27B1FFED" w14:textId="77777777" w:rsidR="00A51D23" w:rsidRPr="00A51D23" w:rsidRDefault="00A51D23" w:rsidP="00A51D23">
            <w:pPr>
              <w:spacing w:after="0" w:line="240" w:lineRule="auto"/>
              <w:rPr>
                <w:rFonts w:ascii="Calibri" w:eastAsia="Times New Roman" w:hAnsi="Calibri" w:cs="Calibri"/>
                <w:color w:val="17365D"/>
                <w:lang w:eastAsia="en-AU"/>
              </w:rPr>
            </w:pPr>
            <w:r w:rsidRPr="00A51D23">
              <w:rPr>
                <w:rFonts w:ascii="Calibri" w:eastAsia="Times New Roman" w:hAnsi="Calibri" w:cs="Calibri"/>
                <w:color w:val="17365D"/>
                <w:lang w:eastAsia="en-AU"/>
              </w:rPr>
              <w:t>Cross-boundary work-bid greenhouse gas assessment permit (per title)</w:t>
            </w:r>
          </w:p>
        </w:tc>
        <w:tc>
          <w:tcPr>
            <w:tcW w:w="680" w:type="dxa"/>
            <w:tcBorders>
              <w:top w:val="nil"/>
              <w:left w:val="nil"/>
              <w:bottom w:val="single" w:sz="8" w:space="0" w:color="95B3D7"/>
              <w:right w:val="nil"/>
            </w:tcBorders>
            <w:shd w:val="clear" w:color="000000" w:fill="DBE5F1"/>
            <w:vAlign w:val="center"/>
            <w:hideMark/>
          </w:tcPr>
          <w:p w14:paraId="72B3DF4B"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1 </w:t>
            </w:r>
          </w:p>
        </w:tc>
        <w:tc>
          <w:tcPr>
            <w:tcW w:w="580" w:type="dxa"/>
            <w:tcBorders>
              <w:top w:val="nil"/>
              <w:left w:val="nil"/>
              <w:bottom w:val="single" w:sz="8" w:space="0" w:color="95B3D7"/>
              <w:right w:val="nil"/>
            </w:tcBorders>
            <w:shd w:val="clear" w:color="000000" w:fill="DBE5F1"/>
            <w:vAlign w:val="center"/>
            <w:hideMark/>
          </w:tcPr>
          <w:p w14:paraId="798A22EC"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640" w:type="dxa"/>
            <w:tcBorders>
              <w:top w:val="nil"/>
              <w:left w:val="nil"/>
              <w:bottom w:val="single" w:sz="8" w:space="0" w:color="95B3D7"/>
              <w:right w:val="nil"/>
            </w:tcBorders>
            <w:shd w:val="clear" w:color="000000" w:fill="DBE5F1"/>
            <w:vAlign w:val="center"/>
            <w:hideMark/>
          </w:tcPr>
          <w:p w14:paraId="436AC07B"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1100" w:type="dxa"/>
            <w:tcBorders>
              <w:top w:val="nil"/>
              <w:left w:val="nil"/>
              <w:bottom w:val="single" w:sz="8" w:space="0" w:color="95B3D7"/>
              <w:right w:val="nil"/>
            </w:tcBorders>
            <w:shd w:val="clear" w:color="000000" w:fill="DBE5F1"/>
            <w:vAlign w:val="center"/>
            <w:hideMark/>
          </w:tcPr>
          <w:p w14:paraId="7166F530"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26,500 </w:t>
            </w:r>
          </w:p>
        </w:tc>
        <w:tc>
          <w:tcPr>
            <w:tcW w:w="1100" w:type="dxa"/>
            <w:tcBorders>
              <w:top w:val="nil"/>
              <w:left w:val="nil"/>
              <w:bottom w:val="single" w:sz="8" w:space="0" w:color="95B3D7"/>
              <w:right w:val="nil"/>
            </w:tcBorders>
            <w:shd w:val="clear" w:color="000000" w:fill="DBE5F1"/>
            <w:vAlign w:val="center"/>
            <w:hideMark/>
          </w:tcPr>
          <w:p w14:paraId="15D92FB8"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29,150 </w:t>
            </w:r>
          </w:p>
        </w:tc>
        <w:tc>
          <w:tcPr>
            <w:tcW w:w="1100" w:type="dxa"/>
            <w:tcBorders>
              <w:top w:val="nil"/>
              <w:left w:val="nil"/>
              <w:bottom w:val="single" w:sz="8" w:space="0" w:color="95B3D7"/>
              <w:right w:val="nil"/>
            </w:tcBorders>
            <w:shd w:val="clear" w:color="000000" w:fill="DBE5F1"/>
            <w:vAlign w:val="center"/>
            <w:hideMark/>
          </w:tcPr>
          <w:p w14:paraId="4808744B"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29,150 </w:t>
            </w:r>
          </w:p>
        </w:tc>
        <w:tc>
          <w:tcPr>
            <w:tcW w:w="640" w:type="dxa"/>
            <w:tcBorders>
              <w:top w:val="nil"/>
              <w:left w:val="nil"/>
              <w:bottom w:val="single" w:sz="8" w:space="0" w:color="95B3D7"/>
              <w:right w:val="nil"/>
            </w:tcBorders>
            <w:shd w:val="clear" w:color="000000" w:fill="DBE5F1"/>
            <w:vAlign w:val="center"/>
            <w:hideMark/>
          </w:tcPr>
          <w:p w14:paraId="076241E8" w14:textId="77777777" w:rsidR="00A51D23" w:rsidRPr="00A51D23" w:rsidRDefault="00A51D23" w:rsidP="00A51D23">
            <w:pPr>
              <w:spacing w:after="0" w:line="240" w:lineRule="auto"/>
              <w:jc w:val="right"/>
              <w:rPr>
                <w:rFonts w:ascii="Calibri" w:eastAsia="Times New Roman" w:hAnsi="Calibri" w:cs="Calibri"/>
                <w:color w:val="17365D"/>
                <w:lang w:eastAsia="en-AU"/>
              </w:rPr>
            </w:pPr>
            <w:r w:rsidRPr="00A51D23">
              <w:rPr>
                <w:rFonts w:ascii="Calibri" w:eastAsia="Times New Roman" w:hAnsi="Calibri" w:cs="Calibri"/>
                <w:color w:val="17365D"/>
                <w:lang w:eastAsia="en-AU"/>
              </w:rPr>
              <w:t>13,14</w:t>
            </w:r>
          </w:p>
        </w:tc>
      </w:tr>
      <w:tr w:rsidR="00A51D23" w:rsidRPr="00A51D23" w14:paraId="60540C6B" w14:textId="77777777" w:rsidTr="00A51D23">
        <w:trPr>
          <w:trHeight w:val="1809"/>
        </w:trPr>
        <w:tc>
          <w:tcPr>
            <w:tcW w:w="3560" w:type="dxa"/>
            <w:tcBorders>
              <w:top w:val="nil"/>
              <w:left w:val="nil"/>
              <w:bottom w:val="single" w:sz="8" w:space="0" w:color="95B3D7"/>
              <w:right w:val="nil"/>
            </w:tcBorders>
            <w:vAlign w:val="center"/>
            <w:hideMark/>
          </w:tcPr>
          <w:p w14:paraId="5E05D332" w14:textId="77777777" w:rsidR="00A51D23" w:rsidRPr="00A51D23" w:rsidRDefault="00A51D23" w:rsidP="00A51D23">
            <w:pPr>
              <w:spacing w:after="0" w:line="240" w:lineRule="auto"/>
              <w:rPr>
                <w:rFonts w:ascii="Calibri" w:eastAsia="Times New Roman" w:hAnsi="Calibri" w:cs="Calibri"/>
                <w:color w:val="17365D"/>
                <w:lang w:eastAsia="en-AU"/>
              </w:rPr>
            </w:pPr>
            <w:r w:rsidRPr="00A51D23">
              <w:rPr>
                <w:rFonts w:ascii="Calibri" w:eastAsia="Times New Roman" w:hAnsi="Calibri" w:cs="Calibri"/>
                <w:color w:val="17365D"/>
                <w:lang w:eastAsia="en-AU"/>
              </w:rPr>
              <w:t>Greenhouse gas holding lease</w:t>
            </w:r>
            <w:r w:rsidRPr="00A51D23">
              <w:rPr>
                <w:rFonts w:ascii="Calibri" w:eastAsia="Times New Roman" w:hAnsi="Calibri" w:cs="Calibri"/>
                <w:color w:val="17365D"/>
                <w:lang w:eastAsia="en-AU"/>
              </w:rPr>
              <w:br/>
              <w:t>Special greenhouse gas holding lease</w:t>
            </w:r>
            <w:r w:rsidRPr="00A51D23">
              <w:rPr>
                <w:rFonts w:ascii="Calibri" w:eastAsia="Times New Roman" w:hAnsi="Calibri" w:cs="Calibri"/>
                <w:color w:val="17365D"/>
                <w:lang w:eastAsia="en-AU"/>
              </w:rPr>
              <w:br/>
              <w:t>Special cross-boundary greenhouse gas holding lease</w:t>
            </w:r>
            <w:r w:rsidRPr="00A51D23">
              <w:rPr>
                <w:rFonts w:ascii="Calibri" w:eastAsia="Times New Roman" w:hAnsi="Calibri" w:cs="Calibri"/>
                <w:color w:val="17365D"/>
                <w:lang w:eastAsia="en-AU"/>
              </w:rPr>
              <w:br/>
              <w:t>Cross-boundary greenhouse gas holding lease</w:t>
            </w:r>
            <w:r w:rsidRPr="00A51D23">
              <w:rPr>
                <w:rFonts w:ascii="Calibri" w:eastAsia="Times New Roman" w:hAnsi="Calibri" w:cs="Calibri"/>
                <w:color w:val="17365D"/>
                <w:lang w:eastAsia="en-AU"/>
              </w:rPr>
              <w:br/>
              <w:t>(per title)</w:t>
            </w:r>
          </w:p>
        </w:tc>
        <w:tc>
          <w:tcPr>
            <w:tcW w:w="680" w:type="dxa"/>
            <w:tcBorders>
              <w:top w:val="nil"/>
              <w:left w:val="nil"/>
              <w:bottom w:val="single" w:sz="8" w:space="0" w:color="95B3D7"/>
              <w:right w:val="nil"/>
            </w:tcBorders>
            <w:vAlign w:val="center"/>
            <w:hideMark/>
          </w:tcPr>
          <w:p w14:paraId="2084157C"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1 </w:t>
            </w:r>
          </w:p>
        </w:tc>
        <w:tc>
          <w:tcPr>
            <w:tcW w:w="580" w:type="dxa"/>
            <w:tcBorders>
              <w:top w:val="nil"/>
              <w:left w:val="nil"/>
              <w:bottom w:val="single" w:sz="8" w:space="0" w:color="95B3D7"/>
              <w:right w:val="nil"/>
            </w:tcBorders>
            <w:vAlign w:val="center"/>
            <w:hideMark/>
          </w:tcPr>
          <w:p w14:paraId="0638F43E"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640" w:type="dxa"/>
            <w:tcBorders>
              <w:top w:val="nil"/>
              <w:left w:val="nil"/>
              <w:bottom w:val="single" w:sz="8" w:space="0" w:color="95B3D7"/>
              <w:right w:val="nil"/>
            </w:tcBorders>
            <w:vAlign w:val="center"/>
            <w:hideMark/>
          </w:tcPr>
          <w:p w14:paraId="51FE98DB"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1100" w:type="dxa"/>
            <w:tcBorders>
              <w:top w:val="nil"/>
              <w:left w:val="nil"/>
              <w:bottom w:val="single" w:sz="8" w:space="0" w:color="95B3D7"/>
              <w:right w:val="nil"/>
            </w:tcBorders>
            <w:vAlign w:val="center"/>
            <w:hideMark/>
          </w:tcPr>
          <w:p w14:paraId="2F3AFB73"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106,000 </w:t>
            </w:r>
          </w:p>
        </w:tc>
        <w:tc>
          <w:tcPr>
            <w:tcW w:w="1100" w:type="dxa"/>
            <w:tcBorders>
              <w:top w:val="nil"/>
              <w:left w:val="nil"/>
              <w:bottom w:val="single" w:sz="8" w:space="0" w:color="95B3D7"/>
              <w:right w:val="nil"/>
            </w:tcBorders>
            <w:vAlign w:val="center"/>
            <w:hideMark/>
          </w:tcPr>
          <w:p w14:paraId="04CD4838"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116,600 </w:t>
            </w:r>
          </w:p>
        </w:tc>
        <w:tc>
          <w:tcPr>
            <w:tcW w:w="1100" w:type="dxa"/>
            <w:tcBorders>
              <w:top w:val="nil"/>
              <w:left w:val="nil"/>
              <w:bottom w:val="single" w:sz="8" w:space="0" w:color="95B3D7"/>
              <w:right w:val="nil"/>
            </w:tcBorders>
            <w:vAlign w:val="center"/>
            <w:hideMark/>
          </w:tcPr>
          <w:p w14:paraId="52582CDD"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116,600 </w:t>
            </w:r>
          </w:p>
        </w:tc>
        <w:tc>
          <w:tcPr>
            <w:tcW w:w="640" w:type="dxa"/>
            <w:tcBorders>
              <w:top w:val="nil"/>
              <w:left w:val="nil"/>
              <w:bottom w:val="single" w:sz="8" w:space="0" w:color="95B3D7"/>
              <w:right w:val="nil"/>
            </w:tcBorders>
            <w:vAlign w:val="center"/>
            <w:hideMark/>
          </w:tcPr>
          <w:p w14:paraId="1BBDEDAF" w14:textId="77777777" w:rsidR="00A51D23" w:rsidRPr="00A51D23" w:rsidRDefault="00A51D23" w:rsidP="00A51D23">
            <w:pPr>
              <w:spacing w:after="0" w:line="240" w:lineRule="auto"/>
              <w:jc w:val="right"/>
              <w:rPr>
                <w:rFonts w:ascii="Calibri" w:eastAsia="Times New Roman" w:hAnsi="Calibri" w:cs="Calibri"/>
                <w:color w:val="17365D"/>
                <w:lang w:eastAsia="en-AU"/>
              </w:rPr>
            </w:pPr>
            <w:r w:rsidRPr="00A51D23">
              <w:rPr>
                <w:rFonts w:ascii="Calibri" w:eastAsia="Times New Roman" w:hAnsi="Calibri" w:cs="Calibri"/>
                <w:color w:val="17365D"/>
                <w:lang w:eastAsia="en-AU"/>
              </w:rPr>
              <w:t>18</w:t>
            </w:r>
          </w:p>
        </w:tc>
      </w:tr>
      <w:tr w:rsidR="00A51D23" w:rsidRPr="00A51D23" w14:paraId="3406E56F" w14:textId="77777777" w:rsidTr="00A51D23">
        <w:trPr>
          <w:trHeight w:val="1038"/>
        </w:trPr>
        <w:tc>
          <w:tcPr>
            <w:tcW w:w="3560" w:type="dxa"/>
            <w:tcBorders>
              <w:top w:val="nil"/>
              <w:left w:val="nil"/>
              <w:bottom w:val="single" w:sz="8" w:space="0" w:color="95B3D7"/>
              <w:right w:val="nil"/>
            </w:tcBorders>
            <w:shd w:val="clear" w:color="000000" w:fill="DBE5F1"/>
            <w:vAlign w:val="center"/>
            <w:hideMark/>
          </w:tcPr>
          <w:p w14:paraId="136D4768" w14:textId="77777777" w:rsidR="00A51D23" w:rsidRPr="00A51D23" w:rsidRDefault="00A51D23" w:rsidP="00A51D23">
            <w:pPr>
              <w:spacing w:after="0" w:line="240" w:lineRule="auto"/>
              <w:rPr>
                <w:rFonts w:ascii="Calibri" w:eastAsia="Times New Roman" w:hAnsi="Calibri" w:cs="Calibri"/>
                <w:color w:val="17365D"/>
                <w:lang w:eastAsia="en-AU"/>
              </w:rPr>
            </w:pPr>
            <w:r w:rsidRPr="00A51D23">
              <w:rPr>
                <w:rFonts w:ascii="Calibri" w:eastAsia="Times New Roman" w:hAnsi="Calibri" w:cs="Calibri"/>
                <w:color w:val="17365D"/>
                <w:lang w:eastAsia="en-AU"/>
              </w:rPr>
              <w:t>Greenhouse gas injection licence</w:t>
            </w:r>
            <w:r w:rsidRPr="00A51D23">
              <w:rPr>
                <w:rFonts w:ascii="Calibri" w:eastAsia="Times New Roman" w:hAnsi="Calibri" w:cs="Calibri"/>
                <w:color w:val="17365D"/>
                <w:lang w:eastAsia="en-AU"/>
              </w:rPr>
              <w:br/>
              <w:t>Cross-boundary greenhouse gas injection licence</w:t>
            </w:r>
            <w:r w:rsidRPr="00A51D23">
              <w:rPr>
                <w:rFonts w:ascii="Calibri" w:eastAsia="Times New Roman" w:hAnsi="Calibri" w:cs="Calibri"/>
                <w:color w:val="17365D"/>
                <w:lang w:eastAsia="en-AU"/>
              </w:rPr>
              <w:br/>
              <w:t>(per title)</w:t>
            </w:r>
          </w:p>
        </w:tc>
        <w:tc>
          <w:tcPr>
            <w:tcW w:w="680" w:type="dxa"/>
            <w:tcBorders>
              <w:top w:val="nil"/>
              <w:left w:val="nil"/>
              <w:bottom w:val="single" w:sz="8" w:space="0" w:color="95B3D7"/>
              <w:right w:val="nil"/>
            </w:tcBorders>
            <w:shd w:val="clear" w:color="000000" w:fill="DBE5F1"/>
            <w:vAlign w:val="center"/>
            <w:hideMark/>
          </w:tcPr>
          <w:p w14:paraId="62590EC9"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1 </w:t>
            </w:r>
          </w:p>
        </w:tc>
        <w:tc>
          <w:tcPr>
            <w:tcW w:w="580" w:type="dxa"/>
            <w:tcBorders>
              <w:top w:val="nil"/>
              <w:left w:val="nil"/>
              <w:bottom w:val="single" w:sz="8" w:space="0" w:color="95B3D7"/>
              <w:right w:val="nil"/>
            </w:tcBorders>
            <w:shd w:val="clear" w:color="000000" w:fill="DBE5F1"/>
            <w:vAlign w:val="center"/>
            <w:hideMark/>
          </w:tcPr>
          <w:p w14:paraId="0D992318"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640" w:type="dxa"/>
            <w:tcBorders>
              <w:top w:val="nil"/>
              <w:left w:val="nil"/>
              <w:bottom w:val="single" w:sz="8" w:space="0" w:color="95B3D7"/>
              <w:right w:val="nil"/>
            </w:tcBorders>
            <w:shd w:val="clear" w:color="000000" w:fill="DBE5F1"/>
            <w:vAlign w:val="center"/>
            <w:hideMark/>
          </w:tcPr>
          <w:p w14:paraId="46E3FCAD"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1100" w:type="dxa"/>
            <w:tcBorders>
              <w:top w:val="nil"/>
              <w:left w:val="nil"/>
              <w:bottom w:val="single" w:sz="8" w:space="0" w:color="95B3D7"/>
              <w:right w:val="nil"/>
            </w:tcBorders>
            <w:shd w:val="clear" w:color="000000" w:fill="DBE5F1"/>
            <w:vAlign w:val="center"/>
            <w:hideMark/>
          </w:tcPr>
          <w:p w14:paraId="33615217"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106,000 </w:t>
            </w:r>
          </w:p>
        </w:tc>
        <w:tc>
          <w:tcPr>
            <w:tcW w:w="1100" w:type="dxa"/>
            <w:tcBorders>
              <w:top w:val="nil"/>
              <w:left w:val="nil"/>
              <w:bottom w:val="single" w:sz="8" w:space="0" w:color="95B3D7"/>
              <w:right w:val="nil"/>
            </w:tcBorders>
            <w:shd w:val="clear" w:color="000000" w:fill="DBE5F1"/>
            <w:vAlign w:val="center"/>
            <w:hideMark/>
          </w:tcPr>
          <w:p w14:paraId="3796FCA5"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116,600 </w:t>
            </w:r>
          </w:p>
        </w:tc>
        <w:tc>
          <w:tcPr>
            <w:tcW w:w="1100" w:type="dxa"/>
            <w:tcBorders>
              <w:top w:val="nil"/>
              <w:left w:val="nil"/>
              <w:bottom w:val="single" w:sz="8" w:space="0" w:color="95B3D7"/>
              <w:right w:val="nil"/>
            </w:tcBorders>
            <w:shd w:val="clear" w:color="000000" w:fill="DBE5F1"/>
            <w:vAlign w:val="center"/>
            <w:hideMark/>
          </w:tcPr>
          <w:p w14:paraId="366719F0"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xml:space="preserve">       116,600 </w:t>
            </w:r>
          </w:p>
        </w:tc>
        <w:tc>
          <w:tcPr>
            <w:tcW w:w="640" w:type="dxa"/>
            <w:tcBorders>
              <w:top w:val="nil"/>
              <w:left w:val="nil"/>
              <w:bottom w:val="single" w:sz="8" w:space="0" w:color="95B3D7"/>
              <w:right w:val="nil"/>
            </w:tcBorders>
            <w:shd w:val="clear" w:color="000000" w:fill="DBE5F1"/>
            <w:vAlign w:val="center"/>
            <w:hideMark/>
          </w:tcPr>
          <w:p w14:paraId="2C5AD76B" w14:textId="77777777" w:rsidR="00A51D23" w:rsidRPr="00A51D23" w:rsidRDefault="00A51D23" w:rsidP="00A51D23">
            <w:pPr>
              <w:spacing w:after="0" w:line="240" w:lineRule="auto"/>
              <w:jc w:val="right"/>
              <w:rPr>
                <w:rFonts w:ascii="Calibri" w:eastAsia="Times New Roman" w:hAnsi="Calibri" w:cs="Calibri"/>
                <w:color w:val="17365D"/>
                <w:lang w:eastAsia="en-AU"/>
              </w:rPr>
            </w:pPr>
            <w:r w:rsidRPr="00A51D23">
              <w:rPr>
                <w:rFonts w:ascii="Calibri" w:eastAsia="Times New Roman" w:hAnsi="Calibri" w:cs="Calibri"/>
                <w:color w:val="17365D"/>
                <w:lang w:eastAsia="en-AU"/>
              </w:rPr>
              <w:t>19</w:t>
            </w:r>
          </w:p>
        </w:tc>
      </w:tr>
      <w:tr w:rsidR="00A51D23" w:rsidRPr="00A51D23" w14:paraId="0F4F7C83" w14:textId="77777777" w:rsidTr="00A51D23">
        <w:trPr>
          <w:trHeight w:val="318"/>
        </w:trPr>
        <w:tc>
          <w:tcPr>
            <w:tcW w:w="3560" w:type="dxa"/>
            <w:tcBorders>
              <w:top w:val="nil"/>
              <w:left w:val="nil"/>
              <w:bottom w:val="single" w:sz="8" w:space="0" w:color="95B3D7"/>
              <w:right w:val="nil"/>
            </w:tcBorders>
            <w:vAlign w:val="center"/>
            <w:hideMark/>
          </w:tcPr>
          <w:p w14:paraId="079CAAB2" w14:textId="77777777" w:rsidR="00A51D23" w:rsidRPr="00A51D23" w:rsidRDefault="00A51D23" w:rsidP="00A51D23">
            <w:pPr>
              <w:spacing w:after="0" w:line="240" w:lineRule="auto"/>
              <w:rPr>
                <w:rFonts w:ascii="Calibri" w:eastAsia="Times New Roman" w:hAnsi="Calibri" w:cs="Calibri"/>
                <w:b/>
                <w:bCs/>
                <w:color w:val="17365D"/>
                <w:lang w:eastAsia="en-AU"/>
              </w:rPr>
            </w:pPr>
            <w:r w:rsidRPr="00A51D23">
              <w:rPr>
                <w:rFonts w:ascii="Calibri" w:eastAsia="Times New Roman" w:hAnsi="Calibri" w:cs="Calibri"/>
                <w:b/>
                <w:bCs/>
                <w:color w:val="17365D"/>
                <w:lang w:eastAsia="en-AU"/>
              </w:rPr>
              <w:t>Levy Estimate</w:t>
            </w:r>
          </w:p>
        </w:tc>
        <w:tc>
          <w:tcPr>
            <w:tcW w:w="680" w:type="dxa"/>
            <w:tcBorders>
              <w:top w:val="nil"/>
              <w:left w:val="nil"/>
              <w:bottom w:val="single" w:sz="8" w:space="0" w:color="95B3D7"/>
              <w:right w:val="nil"/>
            </w:tcBorders>
            <w:vAlign w:val="center"/>
            <w:hideMark/>
          </w:tcPr>
          <w:p w14:paraId="204D1A33"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580" w:type="dxa"/>
            <w:tcBorders>
              <w:top w:val="nil"/>
              <w:left w:val="nil"/>
              <w:bottom w:val="single" w:sz="8" w:space="0" w:color="95B3D7"/>
              <w:right w:val="nil"/>
            </w:tcBorders>
            <w:vAlign w:val="center"/>
            <w:hideMark/>
          </w:tcPr>
          <w:p w14:paraId="48F2DE75"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640" w:type="dxa"/>
            <w:tcBorders>
              <w:top w:val="nil"/>
              <w:left w:val="nil"/>
              <w:bottom w:val="single" w:sz="8" w:space="0" w:color="95B3D7"/>
              <w:right w:val="nil"/>
            </w:tcBorders>
            <w:vAlign w:val="center"/>
            <w:hideMark/>
          </w:tcPr>
          <w:p w14:paraId="284D16BB"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1100" w:type="dxa"/>
            <w:tcBorders>
              <w:top w:val="nil"/>
              <w:left w:val="nil"/>
              <w:bottom w:val="single" w:sz="8" w:space="0" w:color="95B3D7"/>
              <w:right w:val="nil"/>
            </w:tcBorders>
            <w:vAlign w:val="center"/>
            <w:hideMark/>
          </w:tcPr>
          <w:p w14:paraId="306DD0D0"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1100" w:type="dxa"/>
            <w:tcBorders>
              <w:top w:val="nil"/>
              <w:left w:val="nil"/>
              <w:bottom w:val="single" w:sz="8" w:space="0" w:color="95B3D7"/>
              <w:right w:val="nil"/>
            </w:tcBorders>
            <w:vAlign w:val="center"/>
            <w:hideMark/>
          </w:tcPr>
          <w:p w14:paraId="7FF07CF9" w14:textId="77777777" w:rsidR="00A51D23" w:rsidRPr="00A51D23" w:rsidRDefault="00A51D23" w:rsidP="00A51D23">
            <w:pPr>
              <w:spacing w:after="0" w:line="240" w:lineRule="auto"/>
              <w:jc w:val="center"/>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c>
          <w:tcPr>
            <w:tcW w:w="1100" w:type="dxa"/>
            <w:tcBorders>
              <w:top w:val="nil"/>
              <w:left w:val="nil"/>
              <w:bottom w:val="single" w:sz="8" w:space="0" w:color="95B3D7"/>
              <w:right w:val="nil"/>
            </w:tcBorders>
            <w:vAlign w:val="center"/>
            <w:hideMark/>
          </w:tcPr>
          <w:p w14:paraId="47F74C40" w14:textId="77777777" w:rsidR="00A51D23" w:rsidRPr="00A51D23" w:rsidRDefault="00A51D23" w:rsidP="00A51D23">
            <w:pPr>
              <w:spacing w:after="0" w:line="240" w:lineRule="auto"/>
              <w:jc w:val="center"/>
              <w:rPr>
                <w:rFonts w:ascii="Calibri" w:eastAsia="Times New Roman" w:hAnsi="Calibri" w:cs="Calibri"/>
                <w:b/>
                <w:bCs/>
                <w:color w:val="17365D"/>
                <w:lang w:eastAsia="en-AU"/>
              </w:rPr>
            </w:pPr>
            <w:r w:rsidRPr="00A51D23">
              <w:rPr>
                <w:rFonts w:ascii="Calibri" w:eastAsia="Times New Roman" w:hAnsi="Calibri" w:cs="Calibri"/>
                <w:b/>
                <w:bCs/>
                <w:color w:val="17365D"/>
                <w:lang w:eastAsia="en-AU"/>
              </w:rPr>
              <w:t xml:space="preserve"> 20,509,220 </w:t>
            </w:r>
          </w:p>
        </w:tc>
        <w:tc>
          <w:tcPr>
            <w:tcW w:w="640" w:type="dxa"/>
            <w:tcBorders>
              <w:top w:val="nil"/>
              <w:left w:val="nil"/>
              <w:bottom w:val="single" w:sz="8" w:space="0" w:color="95B3D7"/>
              <w:right w:val="nil"/>
            </w:tcBorders>
            <w:vAlign w:val="center"/>
            <w:hideMark/>
          </w:tcPr>
          <w:p w14:paraId="75350D63" w14:textId="77777777" w:rsidR="00A51D23" w:rsidRPr="00A51D23" w:rsidRDefault="00A51D23" w:rsidP="00A51D23">
            <w:pPr>
              <w:spacing w:after="0" w:line="240" w:lineRule="auto"/>
              <w:rPr>
                <w:rFonts w:ascii="Calibri" w:eastAsia="Times New Roman" w:hAnsi="Calibri" w:cs="Calibri"/>
                <w:color w:val="17365D"/>
                <w:lang w:eastAsia="en-AU"/>
              </w:rPr>
            </w:pPr>
            <w:r w:rsidRPr="00A51D23">
              <w:rPr>
                <w:rFonts w:ascii="Calibri" w:eastAsia="Times New Roman" w:hAnsi="Calibri" w:cs="Calibri"/>
                <w:color w:val="17365D"/>
                <w:lang w:eastAsia="en-AU"/>
              </w:rPr>
              <w:t> </w:t>
            </w:r>
          </w:p>
        </w:tc>
      </w:tr>
    </w:tbl>
    <w:p w14:paraId="0B17F5BE" w14:textId="77777777" w:rsidR="003E292F" w:rsidRDefault="003E292F">
      <w:pPr>
        <w:rPr>
          <w:rFonts w:cstheme="minorHAnsi"/>
          <w:iCs/>
        </w:rPr>
      </w:pPr>
    </w:p>
    <w:p w14:paraId="67AEAB92" w14:textId="77777777" w:rsidR="00F72847" w:rsidRDefault="00F72847">
      <w:pPr>
        <w:rPr>
          <w:rFonts w:cstheme="minorHAnsi"/>
          <w:iCs/>
        </w:rPr>
      </w:pPr>
    </w:p>
    <w:p w14:paraId="49A032E4" w14:textId="37018605" w:rsidR="003E292F" w:rsidRDefault="003E292F">
      <w:pPr>
        <w:rPr>
          <w:rFonts w:cstheme="minorHAnsi"/>
          <w:iCs/>
        </w:rPr>
      </w:pPr>
      <w:r w:rsidRPr="003E292F">
        <w:rPr>
          <w:rFonts w:cstheme="minorHAnsi"/>
          <w:i/>
        </w:rPr>
        <w:t>Cost recovery</w:t>
      </w:r>
      <w:r w:rsidR="009A7053">
        <w:rPr>
          <w:rFonts w:cstheme="minorHAnsi"/>
          <w:i/>
        </w:rPr>
        <w:t xml:space="preserve"> application</w:t>
      </w:r>
      <w:r w:rsidRPr="003E292F">
        <w:rPr>
          <w:rFonts w:cstheme="minorHAnsi"/>
          <w:i/>
        </w:rPr>
        <w:t xml:space="preserve"> fees</w:t>
      </w:r>
    </w:p>
    <w:p w14:paraId="17685BC1" w14:textId="1F6EDAC5" w:rsidR="00F2005F" w:rsidRPr="00BE4D82" w:rsidRDefault="00F2005F" w:rsidP="00F2005F">
      <w:pPr>
        <w:rPr>
          <w:rFonts w:cstheme="minorHAnsi"/>
        </w:rPr>
      </w:pPr>
      <w:r w:rsidRPr="00BE4D82">
        <w:rPr>
          <w:rFonts w:cstheme="minorHAnsi"/>
        </w:rPr>
        <w:t>Revenue from</w:t>
      </w:r>
      <w:r w:rsidR="00381BD9">
        <w:rPr>
          <w:rFonts w:cstheme="minorHAnsi"/>
        </w:rPr>
        <w:t xml:space="preserve"> application</w:t>
      </w:r>
      <w:r w:rsidRPr="00BE4D82">
        <w:rPr>
          <w:rFonts w:cstheme="minorHAnsi"/>
        </w:rPr>
        <w:t xml:space="preserve"> fees fluctuates from year to year as they are dependent on the timing, type and number of applications lodged by titleholders. </w:t>
      </w:r>
    </w:p>
    <w:p w14:paraId="1994B20A" w14:textId="176E7EA9" w:rsidR="00F2005F" w:rsidRPr="00F32E63" w:rsidRDefault="00F2005F" w:rsidP="00F2005F">
      <w:pPr>
        <w:rPr>
          <w:rFonts w:cstheme="minorHAnsi"/>
        </w:rPr>
      </w:pPr>
      <w:r w:rsidRPr="00BE4D82">
        <w:rPr>
          <w:rFonts w:cstheme="minorHAnsi"/>
        </w:rPr>
        <w:t xml:space="preserve">In </w:t>
      </w:r>
      <w:r>
        <w:rPr>
          <w:rFonts w:cstheme="minorHAnsi"/>
        </w:rPr>
        <w:t>202</w:t>
      </w:r>
      <w:r w:rsidR="0016624E">
        <w:rPr>
          <w:rFonts w:cstheme="minorHAnsi"/>
        </w:rPr>
        <w:t>4</w:t>
      </w:r>
      <w:r w:rsidR="00141B9F">
        <w:rPr>
          <w:rFonts w:cstheme="minorHAnsi"/>
        </w:rPr>
        <w:t>-2</w:t>
      </w:r>
      <w:r w:rsidR="0016624E">
        <w:rPr>
          <w:rFonts w:cstheme="minorHAnsi"/>
        </w:rPr>
        <w:t>5</w:t>
      </w:r>
      <w:r w:rsidRPr="00BE4D82">
        <w:rPr>
          <w:rFonts w:cstheme="minorHAnsi"/>
        </w:rPr>
        <w:t xml:space="preserve">, the revenue from </w:t>
      </w:r>
      <w:r w:rsidRPr="00F32E63">
        <w:rPr>
          <w:rFonts w:cstheme="minorHAnsi"/>
        </w:rPr>
        <w:t>application fees accounted for approximately 1</w:t>
      </w:r>
      <w:r w:rsidR="0016624E">
        <w:rPr>
          <w:rFonts w:cstheme="minorHAnsi"/>
        </w:rPr>
        <w:t>5</w:t>
      </w:r>
      <w:r w:rsidRPr="00F32E63">
        <w:rPr>
          <w:rFonts w:cstheme="minorHAnsi"/>
        </w:rPr>
        <w:t xml:space="preserve">% of NOPTA’s </w:t>
      </w:r>
      <w:r w:rsidR="005845B4">
        <w:rPr>
          <w:rFonts w:cstheme="minorHAnsi"/>
        </w:rPr>
        <w:t>revenue</w:t>
      </w:r>
      <w:r w:rsidRPr="00F32E63">
        <w:rPr>
          <w:rFonts w:cstheme="minorHAnsi"/>
        </w:rPr>
        <w:t xml:space="preserve">. The focus of NOPTA’s activities in relation to title specific applications is on assessing compliance with the OPGGS Act, relevant legislation and guidelines, as well as the technical and financial ability of applicants to carry out title related activities. </w:t>
      </w:r>
    </w:p>
    <w:p w14:paraId="787EE293" w14:textId="44587383" w:rsidR="00F2005F" w:rsidRPr="006321CF" w:rsidRDefault="00F2005F" w:rsidP="00F2005F">
      <w:pPr>
        <w:rPr>
          <w:rFonts w:cstheme="minorHAnsi"/>
        </w:rPr>
      </w:pPr>
      <w:r w:rsidRPr="006321CF">
        <w:rPr>
          <w:rFonts w:cstheme="minorHAnsi"/>
        </w:rPr>
        <w:t xml:space="preserve">The application fees are calculated by applying a fixed rate to the type of application submitted. </w:t>
      </w:r>
    </w:p>
    <w:p w14:paraId="5B0D3B4A" w14:textId="7A66E28A" w:rsidR="00067503" w:rsidRDefault="00F7232E" w:rsidP="00067503">
      <w:pPr>
        <w:rPr>
          <w:rFonts w:cstheme="minorHAnsi"/>
        </w:rPr>
      </w:pPr>
      <w:r w:rsidRPr="00156019">
        <w:rPr>
          <w:rFonts w:cstheme="minorHAnsi"/>
        </w:rPr>
        <w:t xml:space="preserve">This CRIS </w:t>
      </w:r>
      <w:r>
        <w:rPr>
          <w:rFonts w:cstheme="minorHAnsi"/>
        </w:rPr>
        <w:t xml:space="preserve">does not </w:t>
      </w:r>
      <w:r w:rsidRPr="00156019">
        <w:rPr>
          <w:rFonts w:cstheme="minorHAnsi"/>
        </w:rPr>
        <w:t>propose</w:t>
      </w:r>
      <w:r>
        <w:rPr>
          <w:rFonts w:cstheme="minorHAnsi"/>
        </w:rPr>
        <w:t xml:space="preserve"> any increase to the application fee amounts but a reduction in the number of tiers from four to three.</w:t>
      </w:r>
      <w:r w:rsidRPr="00156019">
        <w:rPr>
          <w:rFonts w:cstheme="minorHAnsi"/>
        </w:rPr>
        <w:t xml:space="preserve"> </w:t>
      </w:r>
      <w:r w:rsidR="00A8115F">
        <w:rPr>
          <w:rFonts w:cstheme="minorHAnsi"/>
        </w:rPr>
        <w:t>The tiers are based</w:t>
      </w:r>
      <w:r w:rsidR="00FE1184">
        <w:rPr>
          <w:rFonts w:cstheme="minorHAnsi"/>
        </w:rPr>
        <w:t xml:space="preserve"> on the complexity of the application type and the average cost</w:t>
      </w:r>
      <w:r w:rsidR="00240471">
        <w:rPr>
          <w:rFonts w:cstheme="minorHAnsi"/>
        </w:rPr>
        <w:t xml:space="preserve"> to assess.</w:t>
      </w:r>
      <w:r w:rsidR="001C4FDB">
        <w:rPr>
          <w:rFonts w:cstheme="minorHAnsi"/>
        </w:rPr>
        <w:t xml:space="preserve"> </w:t>
      </w:r>
      <w:r w:rsidR="00B23AB6">
        <w:rPr>
          <w:rFonts w:cstheme="minorHAnsi"/>
        </w:rPr>
        <w:t>T</w:t>
      </w:r>
      <w:r w:rsidR="001C4FDB" w:rsidRPr="00BE4D82">
        <w:rPr>
          <w:rFonts w:cstheme="minorHAnsi"/>
        </w:rPr>
        <w:t xml:space="preserve">iered fees more closely </w:t>
      </w:r>
      <w:r w:rsidR="009F3A67" w:rsidRPr="00BE4D82">
        <w:rPr>
          <w:rFonts w:cstheme="minorHAnsi"/>
        </w:rPr>
        <w:t>reflect</w:t>
      </w:r>
      <w:r w:rsidR="001C4FDB" w:rsidRPr="00BE4D82">
        <w:rPr>
          <w:rFonts w:cstheme="minorHAnsi"/>
        </w:rPr>
        <w:t xml:space="preserve"> the </w:t>
      </w:r>
      <w:r w:rsidR="001C4FDB">
        <w:rPr>
          <w:rFonts w:cstheme="minorHAnsi"/>
        </w:rPr>
        <w:t xml:space="preserve">effort required for </w:t>
      </w:r>
      <w:r w:rsidR="001C4FDB" w:rsidRPr="00BE4D82">
        <w:rPr>
          <w:rFonts w:cstheme="minorHAnsi"/>
        </w:rPr>
        <w:t>each application activity</w:t>
      </w:r>
      <w:r w:rsidR="004B0959">
        <w:rPr>
          <w:rFonts w:cstheme="minorHAnsi"/>
        </w:rPr>
        <w:t xml:space="preserve"> and </w:t>
      </w:r>
      <w:r w:rsidR="009677B8" w:rsidRPr="00BE4D82">
        <w:rPr>
          <w:rFonts w:cstheme="minorHAnsi"/>
        </w:rPr>
        <w:t xml:space="preserve">does not add an unreasonable level of complexity for NOPTA to administer </w:t>
      </w:r>
      <w:r w:rsidR="009677B8" w:rsidRPr="00BE4D82" w:rsidDel="00764D9B">
        <w:rPr>
          <w:rFonts w:cstheme="minorHAnsi"/>
        </w:rPr>
        <w:t xml:space="preserve">and </w:t>
      </w:r>
      <w:r w:rsidR="009677B8" w:rsidRPr="00BE4D82">
        <w:rPr>
          <w:rFonts w:cstheme="minorHAnsi"/>
        </w:rPr>
        <w:t>businesses to understand.</w:t>
      </w:r>
    </w:p>
    <w:p w14:paraId="503842A5" w14:textId="00D54E56" w:rsidR="009D395E" w:rsidRDefault="00AF518C" w:rsidP="10C27DBB">
      <w:pPr>
        <w:rPr>
          <w:rFonts w:cstheme="minorHAnsi"/>
        </w:rPr>
      </w:pPr>
      <w:r>
        <w:rPr>
          <w:rFonts w:cstheme="minorHAnsi"/>
        </w:rPr>
        <w:t>S</w:t>
      </w:r>
      <w:r w:rsidR="00FC0137" w:rsidRPr="00156019">
        <w:rPr>
          <w:rFonts w:cstheme="minorHAnsi"/>
        </w:rPr>
        <w:t>everal application types have been</w:t>
      </w:r>
      <w:r w:rsidR="00E466DE" w:rsidRPr="00156019">
        <w:rPr>
          <w:rFonts w:cstheme="minorHAnsi"/>
        </w:rPr>
        <w:t xml:space="preserve"> moved up </w:t>
      </w:r>
      <w:r>
        <w:rPr>
          <w:rFonts w:cstheme="minorHAnsi"/>
        </w:rPr>
        <w:t xml:space="preserve">from </w:t>
      </w:r>
      <w:r w:rsidRPr="00321419">
        <w:rPr>
          <w:rFonts w:cstheme="minorHAnsi"/>
        </w:rPr>
        <w:t>$10,000</w:t>
      </w:r>
      <w:r w:rsidR="00643ACA" w:rsidRPr="00321419">
        <w:rPr>
          <w:rFonts w:cstheme="minorHAnsi"/>
        </w:rPr>
        <w:t xml:space="preserve"> or $18,000 to $25,500</w:t>
      </w:r>
      <w:r w:rsidR="00E466DE" w:rsidRPr="00321419">
        <w:rPr>
          <w:rFonts w:cstheme="minorHAnsi"/>
        </w:rPr>
        <w:t>.</w:t>
      </w:r>
      <w:r w:rsidR="00946AA7" w:rsidRPr="00321419">
        <w:rPr>
          <w:rFonts w:cstheme="minorHAnsi"/>
        </w:rPr>
        <w:t xml:space="preserve"> The proposed application fees</w:t>
      </w:r>
      <w:r w:rsidR="00142DBE" w:rsidRPr="00321419">
        <w:rPr>
          <w:rFonts w:cstheme="minorHAnsi"/>
        </w:rPr>
        <w:t xml:space="preserve"> reflect the actual cost</w:t>
      </w:r>
      <w:r w:rsidR="000332AB" w:rsidRPr="00321419">
        <w:rPr>
          <w:rFonts w:cstheme="minorHAnsi"/>
        </w:rPr>
        <w:t xml:space="preserve"> of processing applications and are impacted by the factors outlined in</w:t>
      </w:r>
      <w:r w:rsidR="00D56C22" w:rsidRPr="00321419">
        <w:rPr>
          <w:rFonts w:cstheme="minorHAnsi"/>
        </w:rPr>
        <w:t xml:space="preserve"> Section 3.2</w:t>
      </w:r>
      <w:r w:rsidR="00CB0CDF" w:rsidRPr="00321419">
        <w:rPr>
          <w:rFonts w:cstheme="minorHAnsi"/>
        </w:rPr>
        <w:t>.</w:t>
      </w:r>
      <w:r w:rsidR="00E466DE" w:rsidRPr="00321419">
        <w:rPr>
          <w:rFonts w:cstheme="minorHAnsi"/>
        </w:rPr>
        <w:t xml:space="preserve"> </w:t>
      </w:r>
      <w:r w:rsidR="00FA294B" w:rsidRPr="00321419">
        <w:rPr>
          <w:rFonts w:cstheme="minorHAnsi"/>
        </w:rPr>
        <w:t xml:space="preserve">Transfers and change </w:t>
      </w:r>
      <w:r w:rsidR="008A632B" w:rsidRPr="00321419">
        <w:rPr>
          <w:rFonts w:cstheme="minorHAnsi"/>
        </w:rPr>
        <w:t>of company control applications would increase from $10,000 to $</w:t>
      </w:r>
      <w:r w:rsidR="00782657" w:rsidRPr="00321419">
        <w:rPr>
          <w:rFonts w:cstheme="minorHAnsi"/>
        </w:rPr>
        <w:t>25,500</w:t>
      </w:r>
      <w:r w:rsidR="008A632B" w:rsidRPr="00321419">
        <w:rPr>
          <w:rFonts w:cstheme="minorHAnsi"/>
        </w:rPr>
        <w:t xml:space="preserve"> in</w:t>
      </w:r>
      <w:r w:rsidR="008A632B">
        <w:rPr>
          <w:rFonts w:cstheme="minorHAnsi"/>
        </w:rPr>
        <w:t xml:space="preserve"> recogni</w:t>
      </w:r>
      <w:r w:rsidR="00A11C03">
        <w:rPr>
          <w:rFonts w:cstheme="minorHAnsi"/>
        </w:rPr>
        <w:t xml:space="preserve">tion of the increasing complexity </w:t>
      </w:r>
      <w:r w:rsidR="00782657">
        <w:rPr>
          <w:rFonts w:cstheme="minorHAnsi"/>
        </w:rPr>
        <w:t xml:space="preserve">and cost </w:t>
      </w:r>
      <w:r w:rsidR="00A11C03">
        <w:rPr>
          <w:rFonts w:cstheme="minorHAnsi"/>
        </w:rPr>
        <w:t>of these application types</w:t>
      </w:r>
      <w:r w:rsidR="00C0117C">
        <w:rPr>
          <w:rFonts w:cstheme="minorHAnsi"/>
        </w:rPr>
        <w:t xml:space="preserve"> (See</w:t>
      </w:r>
      <w:r w:rsidR="00C75187">
        <w:rPr>
          <w:rFonts w:cstheme="minorHAnsi"/>
        </w:rPr>
        <w:t xml:space="preserve"> </w:t>
      </w:r>
      <w:r w:rsidR="00A03356">
        <w:rPr>
          <w:rFonts w:cstheme="minorHAnsi"/>
          <w:i/>
          <w:iCs/>
        </w:rPr>
        <w:t xml:space="preserve">Developing and maintaining a competent capacity to assess complex transactions and manage late life assets </w:t>
      </w:r>
      <w:r w:rsidR="00C75187">
        <w:rPr>
          <w:rFonts w:cstheme="minorHAnsi"/>
        </w:rPr>
        <w:t>in Section 3.2 for further detail)</w:t>
      </w:r>
      <w:r w:rsidR="00A11C03">
        <w:rPr>
          <w:rFonts w:cstheme="minorHAnsi"/>
        </w:rPr>
        <w:t xml:space="preserve">. </w:t>
      </w:r>
    </w:p>
    <w:p w14:paraId="7654B648" w14:textId="122AD99D" w:rsidR="00447AEA" w:rsidRDefault="001F3618" w:rsidP="10C27DBB">
      <w:pPr>
        <w:rPr>
          <w:rFonts w:cstheme="minorHAnsi"/>
        </w:rPr>
      </w:pPr>
      <w:r>
        <w:rPr>
          <w:rFonts w:cstheme="minorHAnsi"/>
        </w:rPr>
        <w:t>In addition,</w:t>
      </w:r>
      <w:r w:rsidR="00FF53A6">
        <w:rPr>
          <w:rFonts w:cstheme="minorHAnsi"/>
        </w:rPr>
        <w:t xml:space="preserve"> </w:t>
      </w:r>
      <w:r w:rsidR="00B50C2B">
        <w:rPr>
          <w:rFonts w:cstheme="minorHAnsi"/>
        </w:rPr>
        <w:t>suspension and extensions</w:t>
      </w:r>
      <w:r w:rsidR="00FB738E">
        <w:rPr>
          <w:rFonts w:cstheme="minorHAnsi"/>
        </w:rPr>
        <w:t xml:space="preserve"> (including exemptions and variation)</w:t>
      </w:r>
      <w:r w:rsidR="000640F4">
        <w:rPr>
          <w:rFonts w:cstheme="minorHAnsi"/>
        </w:rPr>
        <w:t>, key GHG operations</w:t>
      </w:r>
      <w:r w:rsidR="00C24889">
        <w:rPr>
          <w:rFonts w:cstheme="minorHAnsi"/>
        </w:rPr>
        <w:t xml:space="preserve"> (KGO)</w:t>
      </w:r>
      <w:r w:rsidR="00FB738E">
        <w:rPr>
          <w:rFonts w:cstheme="minorHAnsi"/>
        </w:rPr>
        <w:t xml:space="preserve"> </w:t>
      </w:r>
      <w:r w:rsidR="000C2816">
        <w:rPr>
          <w:rFonts w:cstheme="minorHAnsi"/>
        </w:rPr>
        <w:t xml:space="preserve">and pipeline licence </w:t>
      </w:r>
      <w:r w:rsidR="00FB738E">
        <w:rPr>
          <w:rFonts w:cstheme="minorHAnsi"/>
        </w:rPr>
        <w:t xml:space="preserve">applications would increase </w:t>
      </w:r>
      <w:r w:rsidR="00381396">
        <w:rPr>
          <w:rFonts w:cstheme="minorHAnsi"/>
        </w:rPr>
        <w:t xml:space="preserve">from </w:t>
      </w:r>
      <w:r w:rsidR="00381396" w:rsidRPr="00321419">
        <w:rPr>
          <w:rFonts w:cstheme="minorHAnsi"/>
        </w:rPr>
        <w:t>$18,000 to $25,500.</w:t>
      </w:r>
      <w:r w:rsidR="009D395E">
        <w:rPr>
          <w:rFonts w:cstheme="minorHAnsi"/>
        </w:rPr>
        <w:t xml:space="preserve"> </w:t>
      </w:r>
      <w:r w:rsidR="00D25B61" w:rsidRPr="002A5270">
        <w:rPr>
          <w:rFonts w:cstheme="minorHAnsi"/>
        </w:rPr>
        <w:t>Suspension, variation, exemption, and extensions application have been the subject of significant legal advice in regard of section 264 and 265 of the OPGGS Act because of proceedings related to PEP-11. This additional complexity has required NOPTA to continually revise process and procedures, train staff and increase the use of internal regulatory support to ensure that NOPTA is able to undertake its function under the OPGGS Act to provide technical information, assessments, advice, and recommendations to the relevant decision makers.</w:t>
      </w:r>
      <w:r w:rsidR="00D25B61" w:rsidRPr="00D25B61">
        <w:rPr>
          <w:rFonts w:cstheme="minorHAnsi"/>
        </w:rPr>
        <w:t> </w:t>
      </w:r>
      <w:r w:rsidR="00A0532F">
        <w:rPr>
          <w:rFonts w:cstheme="minorHAnsi"/>
        </w:rPr>
        <w:t>KGO applications require a highly</w:t>
      </w:r>
      <w:r w:rsidR="00C64D83" w:rsidRPr="00D72B04">
        <w:rPr>
          <w:rFonts w:ascii="Arial" w:hAnsi="Arial" w:cs="Arial"/>
        </w:rPr>
        <w:t xml:space="preserve"> </w:t>
      </w:r>
      <w:r w:rsidR="00C64D83" w:rsidRPr="002A5270">
        <w:rPr>
          <w:rFonts w:cstheme="minorHAnsi"/>
        </w:rPr>
        <w:t>technical assessment involving staff across NOPTA. With several projects now looking at simultaneous extraction and injection options NOPTA will be required to resource this assessment adequately.</w:t>
      </w:r>
      <w:r w:rsidR="00C64D83">
        <w:rPr>
          <w:rFonts w:cstheme="minorHAnsi"/>
        </w:rPr>
        <w:t xml:space="preserve"> </w:t>
      </w:r>
      <w:r w:rsidR="004608C2">
        <w:rPr>
          <w:rFonts w:cstheme="minorHAnsi"/>
        </w:rPr>
        <w:t xml:space="preserve">For </w:t>
      </w:r>
      <w:r w:rsidR="00D60771">
        <w:rPr>
          <w:rFonts w:cstheme="minorHAnsi"/>
        </w:rPr>
        <w:t xml:space="preserve">pipeline licences </w:t>
      </w:r>
      <w:r w:rsidR="00D60771" w:rsidRPr="002A5270">
        <w:rPr>
          <w:rFonts w:cstheme="minorHAnsi"/>
        </w:rPr>
        <w:t xml:space="preserve">the basis for the increase is due to the technical analysis that is required to assess that the application is not only reasonable and consistent with approved safety cases, but to ensure consistency with other approvals under the OPGGSA including field development plans and rate of recovery. </w:t>
      </w:r>
      <w:r w:rsidR="000A1403">
        <w:rPr>
          <w:rFonts w:cstheme="minorHAnsi"/>
        </w:rPr>
        <w:t>These changes will</w:t>
      </w:r>
      <w:r w:rsidR="00FA294B">
        <w:rPr>
          <w:rFonts w:cstheme="minorHAnsi"/>
        </w:rPr>
        <w:t xml:space="preserve"> help </w:t>
      </w:r>
      <w:r w:rsidR="00E466DE" w:rsidRPr="00156019">
        <w:rPr>
          <w:rFonts w:cstheme="minorHAnsi"/>
        </w:rPr>
        <w:t>ensure NOPTA is recovering its costs</w:t>
      </w:r>
      <w:r w:rsidR="001E69D0" w:rsidRPr="00156019">
        <w:rPr>
          <w:rFonts w:cstheme="minorHAnsi"/>
        </w:rPr>
        <w:t xml:space="preserve"> and that charging reflects the effort required to process applications</w:t>
      </w:r>
      <w:r w:rsidR="000F01D0" w:rsidRPr="00156019">
        <w:rPr>
          <w:rFonts w:cstheme="minorHAnsi"/>
        </w:rPr>
        <w:t>.</w:t>
      </w:r>
      <w:r w:rsidR="00E53AA3" w:rsidRPr="00156019">
        <w:rPr>
          <w:rFonts w:cstheme="minorHAnsi"/>
        </w:rPr>
        <w:t xml:space="preserve"> </w:t>
      </w:r>
    </w:p>
    <w:p w14:paraId="52F502A0" w14:textId="68934CD9" w:rsidR="00F2005F" w:rsidRDefault="00F2005F" w:rsidP="00F2005F">
      <w:pPr>
        <w:rPr>
          <w:rFonts w:cstheme="minorHAnsi"/>
        </w:rPr>
      </w:pPr>
      <w:r w:rsidRPr="000E4FC2">
        <w:rPr>
          <w:rFonts w:cstheme="minorHAnsi"/>
        </w:rPr>
        <w:t xml:space="preserve">Application fees have been estimated below in </w:t>
      </w:r>
      <w:r>
        <w:rPr>
          <w:rFonts w:cstheme="minorHAnsi"/>
          <w:highlight w:val="yellow"/>
        </w:rPr>
        <w:fldChar w:fldCharType="begin"/>
      </w:r>
      <w:r>
        <w:rPr>
          <w:rFonts w:cstheme="minorHAnsi"/>
        </w:rPr>
        <w:instrText xml:space="preserve"> REF _Ref148541334 \h </w:instrText>
      </w:r>
      <w:r>
        <w:rPr>
          <w:rFonts w:cstheme="minorHAnsi"/>
          <w:highlight w:val="yellow"/>
        </w:rPr>
      </w:r>
      <w:r>
        <w:rPr>
          <w:rFonts w:cstheme="minorHAnsi"/>
          <w:highlight w:val="yellow"/>
        </w:rPr>
        <w:fldChar w:fldCharType="separate"/>
      </w:r>
      <w:r w:rsidR="00516D17" w:rsidRPr="002A28EE">
        <w:t xml:space="preserve">Table </w:t>
      </w:r>
      <w:r>
        <w:rPr>
          <w:rFonts w:cstheme="minorHAnsi"/>
          <w:highlight w:val="yellow"/>
        </w:rPr>
        <w:fldChar w:fldCharType="end"/>
      </w:r>
      <w:r w:rsidR="00BC6246">
        <w:rPr>
          <w:rFonts w:cstheme="minorHAnsi"/>
        </w:rPr>
        <w:t>6</w:t>
      </w:r>
      <w:r>
        <w:rPr>
          <w:rFonts w:cstheme="minorHAnsi"/>
        </w:rPr>
        <w:t xml:space="preserve"> </w:t>
      </w:r>
      <w:r w:rsidRPr="000E4FC2">
        <w:rPr>
          <w:rFonts w:cstheme="minorHAnsi"/>
        </w:rPr>
        <w:t xml:space="preserve">based on </w:t>
      </w:r>
      <w:r>
        <w:rPr>
          <w:rFonts w:cstheme="minorHAnsi"/>
        </w:rPr>
        <w:t xml:space="preserve">forecast applications </w:t>
      </w:r>
      <w:r w:rsidRPr="000E4FC2">
        <w:rPr>
          <w:rFonts w:cstheme="minorHAnsi"/>
        </w:rPr>
        <w:t>and taking into consideration industry trends. The number of application fees fluctuates according to industry activity and is difficult to predict</w:t>
      </w:r>
      <w:r w:rsidR="00614894" w:rsidRPr="000E4FC2">
        <w:rPr>
          <w:rFonts w:cstheme="minorHAnsi"/>
        </w:rPr>
        <w:t xml:space="preserve">. </w:t>
      </w:r>
    </w:p>
    <w:p w14:paraId="1C728700" w14:textId="3ED1517E" w:rsidR="00F2005F" w:rsidRDefault="00F2005F" w:rsidP="00F2005F">
      <w:pPr>
        <w:pStyle w:val="Caption"/>
      </w:pPr>
      <w:bookmarkStart w:id="28" w:name="_Ref148541334"/>
      <w:bookmarkStart w:id="29" w:name="_Toc148552915"/>
      <w:r w:rsidRPr="002A28EE">
        <w:t xml:space="preserve">Table </w:t>
      </w:r>
      <w:bookmarkEnd w:id="28"/>
      <w:r w:rsidR="00AF228C">
        <w:t>6</w:t>
      </w:r>
      <w:r w:rsidRPr="002A28EE">
        <w:t xml:space="preserve"> Annual application fees revenue estimate from 1 </w:t>
      </w:r>
      <w:r w:rsidR="00E841E1">
        <w:t>May</w:t>
      </w:r>
      <w:r w:rsidR="0040289F" w:rsidRPr="002A28EE">
        <w:t xml:space="preserve"> </w:t>
      </w:r>
      <w:r w:rsidRPr="002A28EE">
        <w:t>202</w:t>
      </w:r>
      <w:bookmarkEnd w:id="29"/>
      <w:r w:rsidR="00D05510" w:rsidRPr="002A28EE">
        <w:t>6</w:t>
      </w:r>
    </w:p>
    <w:tbl>
      <w:tblPr>
        <w:tblW w:w="10220" w:type="dxa"/>
        <w:tblLook w:val="04A0" w:firstRow="1" w:lastRow="0" w:firstColumn="1" w:lastColumn="0" w:noHBand="0" w:noVBand="1"/>
      </w:tblPr>
      <w:tblGrid>
        <w:gridCol w:w="4929"/>
        <w:gridCol w:w="1099"/>
        <w:gridCol w:w="1116"/>
        <w:gridCol w:w="1098"/>
        <w:gridCol w:w="1099"/>
        <w:gridCol w:w="879"/>
      </w:tblGrid>
      <w:tr w:rsidR="005370C8" w:rsidRPr="005370C8" w14:paraId="5B3B92F1" w14:textId="77777777" w:rsidTr="216CB62F">
        <w:trPr>
          <w:trHeight w:val="660"/>
        </w:trPr>
        <w:tc>
          <w:tcPr>
            <w:tcW w:w="4929" w:type="dxa"/>
            <w:tcBorders>
              <w:top w:val="nil"/>
              <w:left w:val="nil"/>
              <w:bottom w:val="nil"/>
              <w:right w:val="nil"/>
            </w:tcBorders>
            <w:shd w:val="clear" w:color="auto" w:fill="2F75B5"/>
            <w:vAlign w:val="bottom"/>
            <w:hideMark/>
          </w:tcPr>
          <w:p w14:paraId="73B614C0" w14:textId="77777777" w:rsidR="005370C8" w:rsidRPr="005370C8" w:rsidRDefault="005370C8" w:rsidP="005370C8">
            <w:pPr>
              <w:spacing w:after="0" w:line="240" w:lineRule="auto"/>
              <w:jc w:val="center"/>
              <w:rPr>
                <w:rFonts w:ascii="Calibri" w:eastAsia="Times New Roman" w:hAnsi="Calibri" w:cs="Calibri"/>
                <w:b/>
                <w:bCs/>
                <w:color w:val="FFFFFF"/>
                <w:sz w:val="16"/>
                <w:szCs w:val="16"/>
                <w:lang w:eastAsia="en-AU"/>
              </w:rPr>
            </w:pPr>
            <w:r w:rsidRPr="005370C8">
              <w:rPr>
                <w:rFonts w:ascii="Calibri" w:eastAsia="Times New Roman" w:hAnsi="Calibri" w:cs="Calibri"/>
                <w:b/>
                <w:bCs/>
                <w:color w:val="FFFFFF"/>
                <w:sz w:val="16"/>
                <w:szCs w:val="16"/>
                <w:lang w:eastAsia="en-AU"/>
              </w:rPr>
              <w:t>Item and type of application</w:t>
            </w:r>
          </w:p>
        </w:tc>
        <w:tc>
          <w:tcPr>
            <w:tcW w:w="1099" w:type="dxa"/>
            <w:tcBorders>
              <w:top w:val="nil"/>
              <w:left w:val="nil"/>
              <w:bottom w:val="nil"/>
              <w:right w:val="nil"/>
            </w:tcBorders>
            <w:shd w:val="clear" w:color="auto" w:fill="2F75B5"/>
            <w:vAlign w:val="bottom"/>
            <w:hideMark/>
          </w:tcPr>
          <w:p w14:paraId="2B471053" w14:textId="77777777" w:rsidR="005370C8" w:rsidRPr="005370C8" w:rsidRDefault="005370C8" w:rsidP="005370C8">
            <w:pPr>
              <w:spacing w:after="0" w:line="240" w:lineRule="auto"/>
              <w:jc w:val="center"/>
              <w:rPr>
                <w:rFonts w:ascii="Calibri" w:eastAsia="Times New Roman" w:hAnsi="Calibri" w:cs="Calibri"/>
                <w:b/>
                <w:bCs/>
                <w:color w:val="FFFFFF"/>
                <w:sz w:val="16"/>
                <w:szCs w:val="16"/>
                <w:lang w:eastAsia="en-AU"/>
              </w:rPr>
            </w:pPr>
            <w:r w:rsidRPr="005370C8">
              <w:rPr>
                <w:rFonts w:ascii="Calibri" w:eastAsia="Times New Roman" w:hAnsi="Calibri" w:cs="Calibri"/>
                <w:b/>
                <w:bCs/>
                <w:color w:val="FFFFFF"/>
                <w:sz w:val="16"/>
                <w:szCs w:val="16"/>
                <w:lang w:eastAsia="en-AU"/>
              </w:rPr>
              <w:t>Estimated No. of applications</w:t>
            </w:r>
          </w:p>
        </w:tc>
        <w:tc>
          <w:tcPr>
            <w:tcW w:w="1116" w:type="dxa"/>
            <w:tcBorders>
              <w:top w:val="nil"/>
              <w:left w:val="nil"/>
              <w:bottom w:val="nil"/>
              <w:right w:val="nil"/>
            </w:tcBorders>
            <w:shd w:val="clear" w:color="auto" w:fill="2F75B5"/>
            <w:noWrap/>
            <w:vAlign w:val="bottom"/>
            <w:hideMark/>
          </w:tcPr>
          <w:p w14:paraId="6049FC51" w14:textId="77777777" w:rsidR="005370C8" w:rsidRPr="005370C8" w:rsidRDefault="005370C8" w:rsidP="005370C8">
            <w:pPr>
              <w:spacing w:after="0" w:line="240" w:lineRule="auto"/>
              <w:jc w:val="center"/>
              <w:rPr>
                <w:rFonts w:ascii="Calibri" w:eastAsia="Times New Roman" w:hAnsi="Calibri" w:cs="Calibri"/>
                <w:b/>
                <w:bCs/>
                <w:color w:val="FFFFFF"/>
                <w:sz w:val="16"/>
                <w:szCs w:val="16"/>
                <w:lang w:eastAsia="en-AU"/>
              </w:rPr>
            </w:pPr>
            <w:r w:rsidRPr="005370C8">
              <w:rPr>
                <w:rFonts w:ascii="Calibri" w:eastAsia="Times New Roman" w:hAnsi="Calibri" w:cs="Calibri"/>
                <w:b/>
                <w:bCs/>
                <w:color w:val="FFFFFF"/>
                <w:sz w:val="16"/>
                <w:szCs w:val="16"/>
                <w:lang w:eastAsia="en-AU"/>
              </w:rPr>
              <w:t>Current fee</w:t>
            </w:r>
          </w:p>
        </w:tc>
        <w:tc>
          <w:tcPr>
            <w:tcW w:w="1098" w:type="dxa"/>
            <w:tcBorders>
              <w:top w:val="nil"/>
              <w:left w:val="nil"/>
              <w:bottom w:val="nil"/>
              <w:right w:val="nil"/>
            </w:tcBorders>
            <w:shd w:val="clear" w:color="auto" w:fill="2F75B5"/>
            <w:vAlign w:val="bottom"/>
            <w:hideMark/>
          </w:tcPr>
          <w:p w14:paraId="1161AA29" w14:textId="3FCCC0CD" w:rsidR="005370C8" w:rsidRPr="005370C8" w:rsidRDefault="005370C8" w:rsidP="005370C8">
            <w:pPr>
              <w:spacing w:after="0" w:line="240" w:lineRule="auto"/>
              <w:jc w:val="center"/>
              <w:rPr>
                <w:rFonts w:ascii="Calibri" w:eastAsia="Times New Roman" w:hAnsi="Calibri" w:cs="Calibri"/>
                <w:b/>
                <w:bCs/>
                <w:color w:val="FFFFFF"/>
                <w:sz w:val="16"/>
                <w:szCs w:val="16"/>
                <w:lang w:eastAsia="en-AU"/>
              </w:rPr>
            </w:pPr>
            <w:r w:rsidRPr="005370C8">
              <w:rPr>
                <w:rFonts w:ascii="Calibri" w:eastAsia="Times New Roman" w:hAnsi="Calibri" w:cs="Calibri"/>
                <w:b/>
                <w:bCs/>
                <w:color w:val="FFFFFF"/>
                <w:sz w:val="16"/>
                <w:szCs w:val="16"/>
                <w:lang w:eastAsia="en-AU"/>
              </w:rPr>
              <w:t xml:space="preserve">Proposed fee from 1 </w:t>
            </w:r>
            <w:r w:rsidR="00E841E1">
              <w:rPr>
                <w:rFonts w:ascii="Calibri" w:eastAsia="Times New Roman" w:hAnsi="Calibri" w:cs="Calibri"/>
                <w:b/>
                <w:bCs/>
                <w:color w:val="FFFFFF"/>
                <w:sz w:val="16"/>
                <w:szCs w:val="16"/>
                <w:lang w:eastAsia="en-AU"/>
              </w:rPr>
              <w:t>May</w:t>
            </w:r>
            <w:r w:rsidRPr="005370C8">
              <w:rPr>
                <w:rFonts w:ascii="Calibri" w:eastAsia="Times New Roman" w:hAnsi="Calibri" w:cs="Calibri"/>
                <w:b/>
                <w:bCs/>
                <w:color w:val="FFFFFF"/>
                <w:sz w:val="16"/>
                <w:szCs w:val="16"/>
                <w:lang w:eastAsia="en-AU"/>
              </w:rPr>
              <w:t xml:space="preserve"> 2026</w:t>
            </w:r>
          </w:p>
        </w:tc>
        <w:tc>
          <w:tcPr>
            <w:tcW w:w="1099" w:type="dxa"/>
            <w:tcBorders>
              <w:top w:val="nil"/>
              <w:left w:val="nil"/>
              <w:bottom w:val="nil"/>
              <w:right w:val="nil"/>
            </w:tcBorders>
            <w:shd w:val="clear" w:color="auto" w:fill="2F75B5"/>
            <w:vAlign w:val="bottom"/>
            <w:hideMark/>
          </w:tcPr>
          <w:p w14:paraId="6AC9AE99" w14:textId="77777777" w:rsidR="005370C8" w:rsidRPr="005370C8" w:rsidRDefault="005370C8" w:rsidP="005370C8">
            <w:pPr>
              <w:spacing w:after="0" w:line="240" w:lineRule="auto"/>
              <w:jc w:val="center"/>
              <w:rPr>
                <w:rFonts w:ascii="Calibri" w:eastAsia="Times New Roman" w:hAnsi="Calibri" w:cs="Calibri"/>
                <w:b/>
                <w:bCs/>
                <w:color w:val="FFFFFF"/>
                <w:sz w:val="16"/>
                <w:szCs w:val="16"/>
                <w:lang w:eastAsia="en-AU"/>
              </w:rPr>
            </w:pPr>
            <w:r w:rsidRPr="005370C8">
              <w:rPr>
                <w:rFonts w:ascii="Calibri" w:eastAsia="Times New Roman" w:hAnsi="Calibri" w:cs="Calibri"/>
                <w:b/>
                <w:bCs/>
                <w:color w:val="FFFFFF"/>
                <w:sz w:val="16"/>
                <w:szCs w:val="16"/>
                <w:lang w:eastAsia="en-AU"/>
              </w:rPr>
              <w:t>Fee amount ($)</w:t>
            </w:r>
          </w:p>
        </w:tc>
        <w:tc>
          <w:tcPr>
            <w:tcW w:w="879" w:type="dxa"/>
            <w:tcBorders>
              <w:top w:val="nil"/>
              <w:left w:val="nil"/>
              <w:bottom w:val="nil"/>
              <w:right w:val="nil"/>
            </w:tcBorders>
            <w:shd w:val="clear" w:color="auto" w:fill="2F75B5"/>
            <w:vAlign w:val="center"/>
            <w:hideMark/>
          </w:tcPr>
          <w:p w14:paraId="563C1D44" w14:textId="77777777" w:rsidR="005370C8" w:rsidRPr="005370C8" w:rsidRDefault="005370C8" w:rsidP="005370C8">
            <w:pPr>
              <w:spacing w:after="0" w:line="240" w:lineRule="auto"/>
              <w:jc w:val="center"/>
              <w:rPr>
                <w:rFonts w:ascii="Calibri" w:eastAsia="Times New Roman" w:hAnsi="Calibri" w:cs="Calibri"/>
                <w:b/>
                <w:bCs/>
                <w:color w:val="FFFFFF"/>
                <w:sz w:val="16"/>
                <w:szCs w:val="16"/>
                <w:lang w:eastAsia="en-AU"/>
              </w:rPr>
            </w:pPr>
            <w:r w:rsidRPr="005370C8">
              <w:rPr>
                <w:rFonts w:ascii="Calibri" w:eastAsia="Times New Roman" w:hAnsi="Calibri" w:cs="Calibri"/>
                <w:b/>
                <w:bCs/>
                <w:color w:val="FFFFFF"/>
                <w:sz w:val="16"/>
                <w:szCs w:val="16"/>
                <w:lang w:eastAsia="en-AU"/>
              </w:rPr>
              <w:t>Outputs funded</w:t>
            </w:r>
          </w:p>
        </w:tc>
      </w:tr>
      <w:tr w:rsidR="005370C8" w:rsidRPr="005370C8" w14:paraId="685DC56C" w14:textId="77777777" w:rsidTr="216CB62F">
        <w:trPr>
          <w:trHeight w:val="318"/>
        </w:trPr>
        <w:tc>
          <w:tcPr>
            <w:tcW w:w="4929" w:type="dxa"/>
            <w:tcBorders>
              <w:top w:val="nil"/>
              <w:left w:val="nil"/>
              <w:bottom w:val="single" w:sz="8" w:space="0" w:color="95B3D7"/>
              <w:right w:val="nil"/>
            </w:tcBorders>
            <w:vAlign w:val="center"/>
            <w:hideMark/>
          </w:tcPr>
          <w:p w14:paraId="17810E35"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101 Work-bid petroleum exploration </w:t>
            </w:r>
            <w:proofErr w:type="gramStart"/>
            <w:r w:rsidRPr="005370C8">
              <w:rPr>
                <w:rFonts w:ascii="Calibri" w:eastAsia="Times New Roman" w:hAnsi="Calibri" w:cs="Calibri"/>
                <w:color w:val="17365D"/>
                <w:lang w:eastAsia="en-AU"/>
              </w:rPr>
              <w:t>permit</w:t>
            </w:r>
            <w:proofErr w:type="gramEnd"/>
            <w:r w:rsidRPr="005370C8">
              <w:rPr>
                <w:rFonts w:ascii="Calibri" w:eastAsia="Times New Roman" w:hAnsi="Calibri" w:cs="Calibri"/>
                <w:color w:val="17365D"/>
                <w:lang w:eastAsia="en-AU"/>
              </w:rPr>
              <w:t xml:space="preserve"> (s104)</w:t>
            </w:r>
          </w:p>
        </w:tc>
        <w:tc>
          <w:tcPr>
            <w:tcW w:w="1099" w:type="dxa"/>
            <w:tcBorders>
              <w:top w:val="nil"/>
              <w:left w:val="nil"/>
              <w:bottom w:val="single" w:sz="8" w:space="0" w:color="95B3D7"/>
              <w:right w:val="nil"/>
            </w:tcBorders>
            <w:vAlign w:val="bottom"/>
            <w:hideMark/>
          </w:tcPr>
          <w:p w14:paraId="4D0AB4E3"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w:t>
            </w:r>
          </w:p>
        </w:tc>
        <w:tc>
          <w:tcPr>
            <w:tcW w:w="1116" w:type="dxa"/>
            <w:tcBorders>
              <w:top w:val="nil"/>
              <w:left w:val="nil"/>
              <w:bottom w:val="single" w:sz="8" w:space="0" w:color="95B3D7"/>
              <w:right w:val="nil"/>
            </w:tcBorders>
            <w:vAlign w:val="bottom"/>
            <w:hideMark/>
          </w:tcPr>
          <w:p w14:paraId="2ECA33B2"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8" w:type="dxa"/>
            <w:tcBorders>
              <w:top w:val="nil"/>
              <w:left w:val="nil"/>
              <w:bottom w:val="single" w:sz="8" w:space="0" w:color="95B3D7"/>
              <w:right w:val="nil"/>
            </w:tcBorders>
            <w:vAlign w:val="bottom"/>
            <w:hideMark/>
          </w:tcPr>
          <w:p w14:paraId="1E2DF53B"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9" w:type="dxa"/>
            <w:tcBorders>
              <w:top w:val="nil"/>
              <w:left w:val="nil"/>
              <w:bottom w:val="single" w:sz="8" w:space="0" w:color="95B3D7"/>
              <w:right w:val="nil"/>
            </w:tcBorders>
            <w:vAlign w:val="bottom"/>
            <w:hideMark/>
          </w:tcPr>
          <w:p w14:paraId="6425896F"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   </w:t>
            </w:r>
          </w:p>
        </w:tc>
        <w:tc>
          <w:tcPr>
            <w:tcW w:w="879" w:type="dxa"/>
            <w:tcBorders>
              <w:top w:val="nil"/>
              <w:left w:val="nil"/>
              <w:bottom w:val="single" w:sz="8" w:space="0" w:color="95B3D7"/>
              <w:right w:val="nil"/>
            </w:tcBorders>
            <w:vAlign w:val="bottom"/>
            <w:hideMark/>
          </w:tcPr>
          <w:p w14:paraId="0F165F96"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1,2</w:t>
            </w:r>
          </w:p>
        </w:tc>
      </w:tr>
      <w:tr w:rsidR="005370C8" w:rsidRPr="005370C8" w14:paraId="23876071" w14:textId="77777777" w:rsidTr="216CB62F">
        <w:trPr>
          <w:trHeight w:val="318"/>
        </w:trPr>
        <w:tc>
          <w:tcPr>
            <w:tcW w:w="4929" w:type="dxa"/>
            <w:tcBorders>
              <w:top w:val="nil"/>
              <w:left w:val="nil"/>
              <w:bottom w:val="single" w:sz="8" w:space="0" w:color="95B3D7"/>
              <w:right w:val="nil"/>
            </w:tcBorders>
            <w:shd w:val="clear" w:color="auto" w:fill="DBE5F1"/>
            <w:vAlign w:val="center"/>
            <w:hideMark/>
          </w:tcPr>
          <w:p w14:paraId="706BA875"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102 Special petroleum exploration </w:t>
            </w:r>
            <w:proofErr w:type="gramStart"/>
            <w:r w:rsidRPr="005370C8">
              <w:rPr>
                <w:rFonts w:ascii="Calibri" w:eastAsia="Times New Roman" w:hAnsi="Calibri" w:cs="Calibri"/>
                <w:color w:val="17365D"/>
                <w:lang w:eastAsia="en-AU"/>
              </w:rPr>
              <w:t>permit</w:t>
            </w:r>
            <w:proofErr w:type="gramEnd"/>
            <w:r w:rsidRPr="005370C8">
              <w:rPr>
                <w:rFonts w:ascii="Calibri" w:eastAsia="Times New Roman" w:hAnsi="Calibri" w:cs="Calibri"/>
                <w:color w:val="17365D"/>
                <w:lang w:eastAsia="en-AU"/>
              </w:rPr>
              <w:t xml:space="preserve"> (s115)</w:t>
            </w:r>
          </w:p>
        </w:tc>
        <w:tc>
          <w:tcPr>
            <w:tcW w:w="1099" w:type="dxa"/>
            <w:tcBorders>
              <w:top w:val="nil"/>
              <w:left w:val="nil"/>
              <w:bottom w:val="single" w:sz="8" w:space="0" w:color="95B3D7"/>
              <w:right w:val="nil"/>
            </w:tcBorders>
            <w:shd w:val="clear" w:color="auto" w:fill="DBE5F1"/>
            <w:vAlign w:val="bottom"/>
            <w:hideMark/>
          </w:tcPr>
          <w:p w14:paraId="6D2A83BE"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w:t>
            </w:r>
          </w:p>
        </w:tc>
        <w:tc>
          <w:tcPr>
            <w:tcW w:w="1116" w:type="dxa"/>
            <w:tcBorders>
              <w:top w:val="nil"/>
              <w:left w:val="nil"/>
              <w:bottom w:val="single" w:sz="8" w:space="0" w:color="95B3D7"/>
              <w:right w:val="nil"/>
            </w:tcBorders>
            <w:shd w:val="clear" w:color="auto" w:fill="DBE5F1"/>
            <w:vAlign w:val="bottom"/>
            <w:hideMark/>
          </w:tcPr>
          <w:p w14:paraId="130CF7F4"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8" w:type="dxa"/>
            <w:tcBorders>
              <w:top w:val="nil"/>
              <w:left w:val="nil"/>
              <w:bottom w:val="single" w:sz="8" w:space="0" w:color="95B3D7"/>
              <w:right w:val="nil"/>
            </w:tcBorders>
            <w:shd w:val="clear" w:color="auto" w:fill="DBE5F1"/>
            <w:vAlign w:val="bottom"/>
            <w:hideMark/>
          </w:tcPr>
          <w:p w14:paraId="7390FCB7"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9" w:type="dxa"/>
            <w:tcBorders>
              <w:top w:val="nil"/>
              <w:left w:val="nil"/>
              <w:bottom w:val="single" w:sz="8" w:space="0" w:color="95B3D7"/>
              <w:right w:val="nil"/>
            </w:tcBorders>
            <w:shd w:val="clear" w:color="auto" w:fill="DBE5F1"/>
            <w:vAlign w:val="bottom"/>
            <w:hideMark/>
          </w:tcPr>
          <w:p w14:paraId="1C3BF7B6"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   </w:t>
            </w:r>
          </w:p>
        </w:tc>
        <w:tc>
          <w:tcPr>
            <w:tcW w:w="879" w:type="dxa"/>
            <w:tcBorders>
              <w:top w:val="nil"/>
              <w:left w:val="nil"/>
              <w:bottom w:val="single" w:sz="8" w:space="0" w:color="95B3D7"/>
              <w:right w:val="nil"/>
            </w:tcBorders>
            <w:shd w:val="clear" w:color="auto" w:fill="DBE5F1"/>
            <w:vAlign w:val="bottom"/>
            <w:hideMark/>
          </w:tcPr>
          <w:p w14:paraId="439AC514"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1,2</w:t>
            </w:r>
          </w:p>
        </w:tc>
      </w:tr>
      <w:tr w:rsidR="005370C8" w:rsidRPr="005370C8" w14:paraId="1B64138B" w14:textId="77777777" w:rsidTr="216CB62F">
        <w:trPr>
          <w:trHeight w:val="318"/>
        </w:trPr>
        <w:tc>
          <w:tcPr>
            <w:tcW w:w="4929" w:type="dxa"/>
            <w:tcBorders>
              <w:top w:val="nil"/>
              <w:left w:val="nil"/>
              <w:bottom w:val="single" w:sz="8" w:space="0" w:color="95B3D7"/>
              <w:right w:val="nil"/>
            </w:tcBorders>
            <w:vAlign w:val="center"/>
            <w:hideMark/>
          </w:tcPr>
          <w:p w14:paraId="1B8B902B"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103 Cash-bid petroleum exploration </w:t>
            </w:r>
            <w:proofErr w:type="gramStart"/>
            <w:r w:rsidRPr="005370C8">
              <w:rPr>
                <w:rFonts w:ascii="Calibri" w:eastAsia="Times New Roman" w:hAnsi="Calibri" w:cs="Calibri"/>
                <w:color w:val="17365D"/>
                <w:lang w:eastAsia="en-AU"/>
              </w:rPr>
              <w:t>permit</w:t>
            </w:r>
            <w:proofErr w:type="gramEnd"/>
            <w:r w:rsidRPr="005370C8">
              <w:rPr>
                <w:rFonts w:ascii="Calibri" w:eastAsia="Times New Roman" w:hAnsi="Calibri" w:cs="Calibri"/>
                <w:color w:val="17365D"/>
                <w:lang w:eastAsia="en-AU"/>
              </w:rPr>
              <w:t xml:space="preserve"> (s</w:t>
            </w:r>
            <w:proofErr w:type="gramStart"/>
            <w:r w:rsidRPr="005370C8">
              <w:rPr>
                <w:rFonts w:ascii="Calibri" w:eastAsia="Times New Roman" w:hAnsi="Calibri" w:cs="Calibri"/>
                <w:color w:val="17365D"/>
                <w:lang w:eastAsia="en-AU"/>
              </w:rPr>
              <w:t>110)*</w:t>
            </w:r>
            <w:proofErr w:type="gramEnd"/>
          </w:p>
        </w:tc>
        <w:tc>
          <w:tcPr>
            <w:tcW w:w="1099" w:type="dxa"/>
            <w:tcBorders>
              <w:top w:val="nil"/>
              <w:left w:val="nil"/>
              <w:bottom w:val="single" w:sz="8" w:space="0" w:color="95B3D7"/>
              <w:right w:val="nil"/>
            </w:tcBorders>
            <w:vAlign w:val="bottom"/>
            <w:hideMark/>
          </w:tcPr>
          <w:p w14:paraId="54266F2D"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w:t>
            </w:r>
          </w:p>
        </w:tc>
        <w:tc>
          <w:tcPr>
            <w:tcW w:w="1116" w:type="dxa"/>
            <w:tcBorders>
              <w:top w:val="nil"/>
              <w:left w:val="nil"/>
              <w:bottom w:val="single" w:sz="8" w:space="0" w:color="95B3D7"/>
              <w:right w:val="nil"/>
            </w:tcBorders>
            <w:vAlign w:val="bottom"/>
            <w:hideMark/>
          </w:tcPr>
          <w:p w14:paraId="6183FBF8"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8" w:type="dxa"/>
            <w:tcBorders>
              <w:top w:val="nil"/>
              <w:left w:val="nil"/>
              <w:bottom w:val="single" w:sz="8" w:space="0" w:color="95B3D7"/>
              <w:right w:val="nil"/>
            </w:tcBorders>
            <w:vAlign w:val="bottom"/>
            <w:hideMark/>
          </w:tcPr>
          <w:p w14:paraId="1F664525"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9" w:type="dxa"/>
            <w:tcBorders>
              <w:top w:val="nil"/>
              <w:left w:val="nil"/>
              <w:bottom w:val="single" w:sz="8" w:space="0" w:color="95B3D7"/>
              <w:right w:val="nil"/>
            </w:tcBorders>
            <w:vAlign w:val="bottom"/>
            <w:hideMark/>
          </w:tcPr>
          <w:p w14:paraId="31774D12"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   </w:t>
            </w:r>
          </w:p>
        </w:tc>
        <w:tc>
          <w:tcPr>
            <w:tcW w:w="879" w:type="dxa"/>
            <w:tcBorders>
              <w:top w:val="nil"/>
              <w:left w:val="nil"/>
              <w:bottom w:val="single" w:sz="8" w:space="0" w:color="95B3D7"/>
              <w:right w:val="nil"/>
            </w:tcBorders>
            <w:vAlign w:val="bottom"/>
            <w:hideMark/>
          </w:tcPr>
          <w:p w14:paraId="48D480F5"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1,2</w:t>
            </w:r>
          </w:p>
        </w:tc>
      </w:tr>
      <w:tr w:rsidR="005370C8" w:rsidRPr="005370C8" w14:paraId="3D368379" w14:textId="77777777" w:rsidTr="216CB62F">
        <w:trPr>
          <w:trHeight w:val="523"/>
        </w:trPr>
        <w:tc>
          <w:tcPr>
            <w:tcW w:w="4929" w:type="dxa"/>
            <w:tcBorders>
              <w:top w:val="nil"/>
              <w:left w:val="nil"/>
              <w:bottom w:val="single" w:sz="8" w:space="0" w:color="95B3D7"/>
              <w:right w:val="nil"/>
            </w:tcBorders>
            <w:shd w:val="clear" w:color="auto" w:fill="DBE5F1"/>
            <w:vAlign w:val="center"/>
            <w:hideMark/>
          </w:tcPr>
          <w:p w14:paraId="694E7B7C"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104 Renewal of petroleum exploration permit (all types, s119)) </w:t>
            </w:r>
          </w:p>
        </w:tc>
        <w:tc>
          <w:tcPr>
            <w:tcW w:w="1099" w:type="dxa"/>
            <w:tcBorders>
              <w:top w:val="nil"/>
              <w:left w:val="nil"/>
              <w:bottom w:val="single" w:sz="8" w:space="0" w:color="95B3D7"/>
              <w:right w:val="nil"/>
            </w:tcBorders>
            <w:shd w:val="clear" w:color="auto" w:fill="DBE5F1"/>
            <w:vAlign w:val="bottom"/>
            <w:hideMark/>
          </w:tcPr>
          <w:p w14:paraId="02E42289"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2</w:t>
            </w:r>
          </w:p>
        </w:tc>
        <w:tc>
          <w:tcPr>
            <w:tcW w:w="1116" w:type="dxa"/>
            <w:tcBorders>
              <w:top w:val="nil"/>
              <w:left w:val="nil"/>
              <w:bottom w:val="single" w:sz="8" w:space="0" w:color="95B3D7"/>
              <w:right w:val="nil"/>
            </w:tcBorders>
            <w:shd w:val="clear" w:color="auto" w:fill="DBE5F1"/>
            <w:vAlign w:val="bottom"/>
            <w:hideMark/>
          </w:tcPr>
          <w:p w14:paraId="050D971F"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8" w:type="dxa"/>
            <w:tcBorders>
              <w:top w:val="nil"/>
              <w:left w:val="nil"/>
              <w:bottom w:val="single" w:sz="8" w:space="0" w:color="95B3D7"/>
              <w:right w:val="nil"/>
            </w:tcBorders>
            <w:shd w:val="clear" w:color="auto" w:fill="DBE5F1"/>
            <w:vAlign w:val="bottom"/>
            <w:hideMark/>
          </w:tcPr>
          <w:p w14:paraId="756B4053"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9" w:type="dxa"/>
            <w:tcBorders>
              <w:top w:val="nil"/>
              <w:left w:val="nil"/>
              <w:bottom w:val="single" w:sz="8" w:space="0" w:color="95B3D7"/>
              <w:right w:val="nil"/>
            </w:tcBorders>
            <w:shd w:val="clear" w:color="auto" w:fill="DBE5F1"/>
            <w:vAlign w:val="bottom"/>
            <w:hideMark/>
          </w:tcPr>
          <w:p w14:paraId="2E8FAC9A"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36,000 </w:t>
            </w:r>
          </w:p>
        </w:tc>
        <w:tc>
          <w:tcPr>
            <w:tcW w:w="879" w:type="dxa"/>
            <w:tcBorders>
              <w:top w:val="nil"/>
              <w:left w:val="nil"/>
              <w:bottom w:val="single" w:sz="8" w:space="0" w:color="95B3D7"/>
              <w:right w:val="nil"/>
            </w:tcBorders>
            <w:shd w:val="clear" w:color="auto" w:fill="DBE5F1"/>
            <w:vAlign w:val="bottom"/>
            <w:hideMark/>
          </w:tcPr>
          <w:p w14:paraId="58DD4F42"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2</w:t>
            </w:r>
          </w:p>
        </w:tc>
      </w:tr>
      <w:tr w:rsidR="005370C8" w:rsidRPr="005370C8" w14:paraId="1D38CE25" w14:textId="77777777" w:rsidTr="216CB62F">
        <w:trPr>
          <w:trHeight w:val="318"/>
        </w:trPr>
        <w:tc>
          <w:tcPr>
            <w:tcW w:w="4929" w:type="dxa"/>
            <w:tcBorders>
              <w:top w:val="nil"/>
              <w:left w:val="nil"/>
              <w:bottom w:val="single" w:sz="8" w:space="0" w:color="95B3D7"/>
              <w:right w:val="nil"/>
            </w:tcBorders>
            <w:vAlign w:val="center"/>
            <w:hideMark/>
          </w:tcPr>
          <w:p w14:paraId="6F5E9365"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105 Petroleum retention lease (all types, s141 or 147)</w:t>
            </w:r>
          </w:p>
        </w:tc>
        <w:tc>
          <w:tcPr>
            <w:tcW w:w="1099" w:type="dxa"/>
            <w:tcBorders>
              <w:top w:val="nil"/>
              <w:left w:val="nil"/>
              <w:bottom w:val="single" w:sz="8" w:space="0" w:color="95B3D7"/>
              <w:right w:val="nil"/>
            </w:tcBorders>
            <w:vAlign w:val="bottom"/>
            <w:hideMark/>
          </w:tcPr>
          <w:p w14:paraId="1A496CC0"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3</w:t>
            </w:r>
          </w:p>
        </w:tc>
        <w:tc>
          <w:tcPr>
            <w:tcW w:w="1116" w:type="dxa"/>
            <w:tcBorders>
              <w:top w:val="nil"/>
              <w:left w:val="nil"/>
              <w:bottom w:val="single" w:sz="8" w:space="0" w:color="95B3D7"/>
              <w:right w:val="nil"/>
            </w:tcBorders>
            <w:vAlign w:val="bottom"/>
            <w:hideMark/>
          </w:tcPr>
          <w:p w14:paraId="0DDDBA53"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8" w:type="dxa"/>
            <w:tcBorders>
              <w:top w:val="nil"/>
              <w:left w:val="nil"/>
              <w:bottom w:val="single" w:sz="8" w:space="0" w:color="95B3D7"/>
              <w:right w:val="nil"/>
            </w:tcBorders>
            <w:vAlign w:val="bottom"/>
            <w:hideMark/>
          </w:tcPr>
          <w:p w14:paraId="0E41BAF4"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vAlign w:val="bottom"/>
            <w:hideMark/>
          </w:tcPr>
          <w:p w14:paraId="0AADC9FB"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76,500 </w:t>
            </w:r>
          </w:p>
        </w:tc>
        <w:tc>
          <w:tcPr>
            <w:tcW w:w="879" w:type="dxa"/>
            <w:tcBorders>
              <w:top w:val="nil"/>
              <w:left w:val="nil"/>
              <w:bottom w:val="single" w:sz="8" w:space="0" w:color="95B3D7"/>
              <w:right w:val="nil"/>
            </w:tcBorders>
            <w:vAlign w:val="bottom"/>
            <w:hideMark/>
          </w:tcPr>
          <w:p w14:paraId="482A6385"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5</w:t>
            </w:r>
          </w:p>
        </w:tc>
      </w:tr>
      <w:tr w:rsidR="005370C8" w:rsidRPr="005370C8" w14:paraId="62D44C4E" w14:textId="77777777" w:rsidTr="216CB62F">
        <w:trPr>
          <w:trHeight w:val="318"/>
        </w:trPr>
        <w:tc>
          <w:tcPr>
            <w:tcW w:w="4929" w:type="dxa"/>
            <w:tcBorders>
              <w:top w:val="nil"/>
              <w:left w:val="nil"/>
              <w:bottom w:val="single" w:sz="8" w:space="0" w:color="95B3D7"/>
              <w:right w:val="nil"/>
            </w:tcBorders>
            <w:shd w:val="clear" w:color="auto" w:fill="DBE5F1"/>
            <w:vAlign w:val="center"/>
            <w:hideMark/>
          </w:tcPr>
          <w:p w14:paraId="27491957"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106 Renewal of petroleum retention lease (all types, s153))</w:t>
            </w:r>
          </w:p>
        </w:tc>
        <w:tc>
          <w:tcPr>
            <w:tcW w:w="1099" w:type="dxa"/>
            <w:tcBorders>
              <w:top w:val="nil"/>
              <w:left w:val="nil"/>
              <w:bottom w:val="single" w:sz="8" w:space="0" w:color="95B3D7"/>
              <w:right w:val="nil"/>
            </w:tcBorders>
            <w:shd w:val="clear" w:color="auto" w:fill="DBE5F1"/>
            <w:vAlign w:val="bottom"/>
            <w:hideMark/>
          </w:tcPr>
          <w:p w14:paraId="3A5DE56A"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27</w:t>
            </w:r>
          </w:p>
        </w:tc>
        <w:tc>
          <w:tcPr>
            <w:tcW w:w="1116" w:type="dxa"/>
            <w:tcBorders>
              <w:top w:val="nil"/>
              <w:left w:val="nil"/>
              <w:bottom w:val="single" w:sz="8" w:space="0" w:color="95B3D7"/>
              <w:right w:val="nil"/>
            </w:tcBorders>
            <w:shd w:val="clear" w:color="auto" w:fill="DBE5F1"/>
            <w:vAlign w:val="bottom"/>
            <w:hideMark/>
          </w:tcPr>
          <w:p w14:paraId="3F36DFEF"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8" w:type="dxa"/>
            <w:tcBorders>
              <w:top w:val="nil"/>
              <w:left w:val="nil"/>
              <w:bottom w:val="single" w:sz="8" w:space="0" w:color="95B3D7"/>
              <w:right w:val="nil"/>
            </w:tcBorders>
            <w:shd w:val="clear" w:color="auto" w:fill="DBE5F1"/>
            <w:vAlign w:val="bottom"/>
            <w:hideMark/>
          </w:tcPr>
          <w:p w14:paraId="3739B827"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shd w:val="clear" w:color="auto" w:fill="DBE5F1"/>
            <w:vAlign w:val="bottom"/>
            <w:hideMark/>
          </w:tcPr>
          <w:p w14:paraId="3C5A9253"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688,500 </w:t>
            </w:r>
          </w:p>
        </w:tc>
        <w:tc>
          <w:tcPr>
            <w:tcW w:w="879" w:type="dxa"/>
            <w:tcBorders>
              <w:top w:val="nil"/>
              <w:left w:val="nil"/>
              <w:bottom w:val="single" w:sz="8" w:space="0" w:color="95B3D7"/>
              <w:right w:val="nil"/>
            </w:tcBorders>
            <w:shd w:val="clear" w:color="auto" w:fill="DBE5F1"/>
            <w:vAlign w:val="bottom"/>
            <w:hideMark/>
          </w:tcPr>
          <w:p w14:paraId="79AC520A"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5</w:t>
            </w:r>
          </w:p>
        </w:tc>
      </w:tr>
      <w:tr w:rsidR="005370C8" w:rsidRPr="005370C8" w14:paraId="5628906C" w14:textId="77777777" w:rsidTr="216CB62F">
        <w:trPr>
          <w:trHeight w:val="523"/>
        </w:trPr>
        <w:tc>
          <w:tcPr>
            <w:tcW w:w="4929" w:type="dxa"/>
            <w:tcBorders>
              <w:top w:val="nil"/>
              <w:left w:val="nil"/>
              <w:bottom w:val="single" w:sz="8" w:space="0" w:color="95B3D7"/>
              <w:right w:val="nil"/>
            </w:tcBorders>
            <w:vAlign w:val="center"/>
            <w:hideMark/>
          </w:tcPr>
          <w:p w14:paraId="05804426"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107 Petroleum production licence over a surrendered block (s178)</w:t>
            </w:r>
          </w:p>
        </w:tc>
        <w:tc>
          <w:tcPr>
            <w:tcW w:w="1099" w:type="dxa"/>
            <w:tcBorders>
              <w:top w:val="nil"/>
              <w:left w:val="nil"/>
              <w:bottom w:val="single" w:sz="8" w:space="0" w:color="95B3D7"/>
              <w:right w:val="nil"/>
            </w:tcBorders>
            <w:vAlign w:val="bottom"/>
            <w:hideMark/>
          </w:tcPr>
          <w:p w14:paraId="24C32A4B"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w:t>
            </w:r>
          </w:p>
        </w:tc>
        <w:tc>
          <w:tcPr>
            <w:tcW w:w="1116" w:type="dxa"/>
            <w:tcBorders>
              <w:top w:val="nil"/>
              <w:left w:val="nil"/>
              <w:bottom w:val="single" w:sz="8" w:space="0" w:color="95B3D7"/>
              <w:right w:val="nil"/>
            </w:tcBorders>
            <w:vAlign w:val="bottom"/>
            <w:hideMark/>
          </w:tcPr>
          <w:p w14:paraId="6E3A3378"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8" w:type="dxa"/>
            <w:tcBorders>
              <w:top w:val="nil"/>
              <w:left w:val="nil"/>
              <w:bottom w:val="single" w:sz="8" w:space="0" w:color="95B3D7"/>
              <w:right w:val="nil"/>
            </w:tcBorders>
            <w:vAlign w:val="bottom"/>
            <w:hideMark/>
          </w:tcPr>
          <w:p w14:paraId="49D57396"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vAlign w:val="bottom"/>
            <w:hideMark/>
          </w:tcPr>
          <w:p w14:paraId="1CC01809"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   </w:t>
            </w:r>
          </w:p>
        </w:tc>
        <w:tc>
          <w:tcPr>
            <w:tcW w:w="879" w:type="dxa"/>
            <w:tcBorders>
              <w:top w:val="nil"/>
              <w:left w:val="nil"/>
              <w:bottom w:val="single" w:sz="8" w:space="0" w:color="95B3D7"/>
              <w:right w:val="nil"/>
            </w:tcBorders>
            <w:vAlign w:val="bottom"/>
            <w:hideMark/>
          </w:tcPr>
          <w:p w14:paraId="1066E33F"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6</w:t>
            </w:r>
          </w:p>
        </w:tc>
      </w:tr>
      <w:tr w:rsidR="005370C8" w:rsidRPr="005370C8" w14:paraId="3E66D7A2" w14:textId="77777777" w:rsidTr="216CB62F">
        <w:trPr>
          <w:trHeight w:val="523"/>
        </w:trPr>
        <w:tc>
          <w:tcPr>
            <w:tcW w:w="4929" w:type="dxa"/>
            <w:tcBorders>
              <w:top w:val="nil"/>
              <w:left w:val="nil"/>
              <w:bottom w:val="single" w:sz="8" w:space="0" w:color="95B3D7"/>
              <w:right w:val="nil"/>
            </w:tcBorders>
            <w:shd w:val="clear" w:color="auto" w:fill="DBE5F1"/>
            <w:vAlign w:val="center"/>
            <w:hideMark/>
          </w:tcPr>
          <w:p w14:paraId="6D396356"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108 Petroleum production licence over an individual block (s182)</w:t>
            </w:r>
          </w:p>
        </w:tc>
        <w:tc>
          <w:tcPr>
            <w:tcW w:w="1099" w:type="dxa"/>
            <w:tcBorders>
              <w:top w:val="nil"/>
              <w:left w:val="nil"/>
              <w:bottom w:val="single" w:sz="8" w:space="0" w:color="95B3D7"/>
              <w:right w:val="nil"/>
            </w:tcBorders>
            <w:shd w:val="clear" w:color="auto" w:fill="DBE5F1"/>
            <w:vAlign w:val="bottom"/>
            <w:hideMark/>
          </w:tcPr>
          <w:p w14:paraId="4DA4CDDB"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w:t>
            </w:r>
          </w:p>
        </w:tc>
        <w:tc>
          <w:tcPr>
            <w:tcW w:w="1116" w:type="dxa"/>
            <w:tcBorders>
              <w:top w:val="nil"/>
              <w:left w:val="nil"/>
              <w:bottom w:val="single" w:sz="8" w:space="0" w:color="95B3D7"/>
              <w:right w:val="nil"/>
            </w:tcBorders>
            <w:shd w:val="clear" w:color="auto" w:fill="DBE5F1"/>
            <w:vAlign w:val="bottom"/>
            <w:hideMark/>
          </w:tcPr>
          <w:p w14:paraId="467A2EE3"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8" w:type="dxa"/>
            <w:tcBorders>
              <w:top w:val="nil"/>
              <w:left w:val="nil"/>
              <w:bottom w:val="single" w:sz="8" w:space="0" w:color="95B3D7"/>
              <w:right w:val="nil"/>
            </w:tcBorders>
            <w:shd w:val="clear" w:color="auto" w:fill="DBE5F1"/>
            <w:vAlign w:val="bottom"/>
            <w:hideMark/>
          </w:tcPr>
          <w:p w14:paraId="58659C9F"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shd w:val="clear" w:color="auto" w:fill="DBE5F1"/>
            <w:vAlign w:val="bottom"/>
            <w:hideMark/>
          </w:tcPr>
          <w:p w14:paraId="4D3657A7"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   </w:t>
            </w:r>
          </w:p>
        </w:tc>
        <w:tc>
          <w:tcPr>
            <w:tcW w:w="879" w:type="dxa"/>
            <w:tcBorders>
              <w:top w:val="nil"/>
              <w:left w:val="nil"/>
              <w:bottom w:val="single" w:sz="8" w:space="0" w:color="95B3D7"/>
              <w:right w:val="nil"/>
            </w:tcBorders>
            <w:shd w:val="clear" w:color="auto" w:fill="DBE5F1"/>
            <w:vAlign w:val="bottom"/>
            <w:hideMark/>
          </w:tcPr>
          <w:p w14:paraId="38CD7DFB"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6</w:t>
            </w:r>
          </w:p>
        </w:tc>
      </w:tr>
      <w:tr w:rsidR="005370C8" w:rsidRPr="005370C8" w14:paraId="59A6C082" w14:textId="77777777" w:rsidTr="216CB62F">
        <w:trPr>
          <w:trHeight w:val="523"/>
        </w:trPr>
        <w:tc>
          <w:tcPr>
            <w:tcW w:w="4929" w:type="dxa"/>
            <w:tcBorders>
              <w:top w:val="nil"/>
              <w:left w:val="nil"/>
              <w:bottom w:val="single" w:sz="8" w:space="0" w:color="95B3D7"/>
              <w:right w:val="nil"/>
            </w:tcBorders>
            <w:vAlign w:val="center"/>
            <w:hideMark/>
          </w:tcPr>
          <w:p w14:paraId="0A6B2657"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109 Petroleum production licence (other than in items 107 and 108)</w:t>
            </w:r>
          </w:p>
        </w:tc>
        <w:tc>
          <w:tcPr>
            <w:tcW w:w="1099" w:type="dxa"/>
            <w:tcBorders>
              <w:top w:val="nil"/>
              <w:left w:val="nil"/>
              <w:bottom w:val="single" w:sz="8" w:space="0" w:color="95B3D7"/>
              <w:right w:val="nil"/>
            </w:tcBorders>
            <w:vAlign w:val="bottom"/>
            <w:hideMark/>
          </w:tcPr>
          <w:p w14:paraId="4BAA8BD5"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w:t>
            </w:r>
          </w:p>
        </w:tc>
        <w:tc>
          <w:tcPr>
            <w:tcW w:w="1116" w:type="dxa"/>
            <w:tcBorders>
              <w:top w:val="nil"/>
              <w:left w:val="nil"/>
              <w:bottom w:val="single" w:sz="8" w:space="0" w:color="95B3D7"/>
              <w:right w:val="nil"/>
            </w:tcBorders>
            <w:vAlign w:val="bottom"/>
            <w:hideMark/>
          </w:tcPr>
          <w:p w14:paraId="68C33501"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8" w:type="dxa"/>
            <w:tcBorders>
              <w:top w:val="nil"/>
              <w:left w:val="nil"/>
              <w:bottom w:val="single" w:sz="8" w:space="0" w:color="95B3D7"/>
              <w:right w:val="nil"/>
            </w:tcBorders>
            <w:vAlign w:val="bottom"/>
            <w:hideMark/>
          </w:tcPr>
          <w:p w14:paraId="23D56445"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vAlign w:val="bottom"/>
            <w:hideMark/>
          </w:tcPr>
          <w:p w14:paraId="4C747D0A"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   </w:t>
            </w:r>
          </w:p>
        </w:tc>
        <w:tc>
          <w:tcPr>
            <w:tcW w:w="879" w:type="dxa"/>
            <w:tcBorders>
              <w:top w:val="nil"/>
              <w:left w:val="nil"/>
              <w:bottom w:val="single" w:sz="8" w:space="0" w:color="95B3D7"/>
              <w:right w:val="nil"/>
            </w:tcBorders>
            <w:vAlign w:val="bottom"/>
            <w:hideMark/>
          </w:tcPr>
          <w:p w14:paraId="2BEDB789"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6</w:t>
            </w:r>
          </w:p>
        </w:tc>
      </w:tr>
      <w:tr w:rsidR="005370C8" w:rsidRPr="005370C8" w14:paraId="15FFCAC8" w14:textId="77777777" w:rsidTr="216CB62F">
        <w:trPr>
          <w:trHeight w:val="523"/>
        </w:trPr>
        <w:tc>
          <w:tcPr>
            <w:tcW w:w="4929" w:type="dxa"/>
            <w:tcBorders>
              <w:top w:val="nil"/>
              <w:left w:val="nil"/>
              <w:bottom w:val="single" w:sz="8" w:space="0" w:color="95B3D7"/>
              <w:right w:val="nil"/>
            </w:tcBorders>
            <w:shd w:val="clear" w:color="auto" w:fill="DBE5F1"/>
            <w:vAlign w:val="center"/>
            <w:hideMark/>
          </w:tcPr>
          <w:p w14:paraId="6D342ED7"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110 Renewal of petroleum production licence (all types, s184)) </w:t>
            </w:r>
          </w:p>
        </w:tc>
        <w:tc>
          <w:tcPr>
            <w:tcW w:w="1099" w:type="dxa"/>
            <w:tcBorders>
              <w:top w:val="nil"/>
              <w:left w:val="nil"/>
              <w:bottom w:val="single" w:sz="8" w:space="0" w:color="95B3D7"/>
              <w:right w:val="nil"/>
            </w:tcBorders>
            <w:shd w:val="clear" w:color="auto" w:fill="DBE5F1"/>
            <w:vAlign w:val="bottom"/>
            <w:hideMark/>
          </w:tcPr>
          <w:p w14:paraId="05F5D25D"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w:t>
            </w:r>
          </w:p>
        </w:tc>
        <w:tc>
          <w:tcPr>
            <w:tcW w:w="1116" w:type="dxa"/>
            <w:tcBorders>
              <w:top w:val="nil"/>
              <w:left w:val="nil"/>
              <w:bottom w:val="single" w:sz="8" w:space="0" w:color="95B3D7"/>
              <w:right w:val="nil"/>
            </w:tcBorders>
            <w:shd w:val="clear" w:color="auto" w:fill="DBE5F1"/>
            <w:vAlign w:val="bottom"/>
            <w:hideMark/>
          </w:tcPr>
          <w:p w14:paraId="4293EEC2"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8" w:type="dxa"/>
            <w:tcBorders>
              <w:top w:val="nil"/>
              <w:left w:val="nil"/>
              <w:bottom w:val="single" w:sz="8" w:space="0" w:color="95B3D7"/>
              <w:right w:val="nil"/>
            </w:tcBorders>
            <w:shd w:val="clear" w:color="auto" w:fill="DBE5F1"/>
            <w:vAlign w:val="bottom"/>
            <w:hideMark/>
          </w:tcPr>
          <w:p w14:paraId="403B726D"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shd w:val="clear" w:color="auto" w:fill="DBE5F1"/>
            <w:vAlign w:val="bottom"/>
            <w:hideMark/>
          </w:tcPr>
          <w:p w14:paraId="43A1934B"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   </w:t>
            </w:r>
          </w:p>
        </w:tc>
        <w:tc>
          <w:tcPr>
            <w:tcW w:w="879" w:type="dxa"/>
            <w:tcBorders>
              <w:top w:val="nil"/>
              <w:left w:val="nil"/>
              <w:bottom w:val="single" w:sz="8" w:space="0" w:color="95B3D7"/>
              <w:right w:val="nil"/>
            </w:tcBorders>
            <w:shd w:val="clear" w:color="auto" w:fill="DBE5F1"/>
            <w:vAlign w:val="bottom"/>
            <w:hideMark/>
          </w:tcPr>
          <w:p w14:paraId="289C79F7"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6</w:t>
            </w:r>
          </w:p>
        </w:tc>
      </w:tr>
      <w:tr w:rsidR="005370C8" w:rsidRPr="005370C8" w14:paraId="46894161" w14:textId="77777777" w:rsidTr="216CB62F">
        <w:trPr>
          <w:trHeight w:val="318"/>
        </w:trPr>
        <w:tc>
          <w:tcPr>
            <w:tcW w:w="4929" w:type="dxa"/>
            <w:tcBorders>
              <w:top w:val="nil"/>
              <w:left w:val="nil"/>
              <w:bottom w:val="single" w:sz="8" w:space="0" w:color="95B3D7"/>
              <w:right w:val="nil"/>
            </w:tcBorders>
            <w:vAlign w:val="center"/>
            <w:hideMark/>
          </w:tcPr>
          <w:p w14:paraId="11130A2A"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111 Infrastructure licence (s198)</w:t>
            </w:r>
          </w:p>
        </w:tc>
        <w:tc>
          <w:tcPr>
            <w:tcW w:w="1099" w:type="dxa"/>
            <w:tcBorders>
              <w:top w:val="nil"/>
              <w:left w:val="nil"/>
              <w:bottom w:val="single" w:sz="8" w:space="0" w:color="95B3D7"/>
              <w:right w:val="nil"/>
            </w:tcBorders>
            <w:vAlign w:val="bottom"/>
            <w:hideMark/>
          </w:tcPr>
          <w:p w14:paraId="2279A6E1"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w:t>
            </w:r>
          </w:p>
        </w:tc>
        <w:tc>
          <w:tcPr>
            <w:tcW w:w="1116" w:type="dxa"/>
            <w:tcBorders>
              <w:top w:val="nil"/>
              <w:left w:val="nil"/>
              <w:bottom w:val="single" w:sz="8" w:space="0" w:color="95B3D7"/>
              <w:right w:val="nil"/>
            </w:tcBorders>
            <w:vAlign w:val="bottom"/>
            <w:hideMark/>
          </w:tcPr>
          <w:p w14:paraId="3003D35E"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8" w:type="dxa"/>
            <w:tcBorders>
              <w:top w:val="nil"/>
              <w:left w:val="nil"/>
              <w:bottom w:val="single" w:sz="8" w:space="0" w:color="95B3D7"/>
              <w:right w:val="nil"/>
            </w:tcBorders>
            <w:vAlign w:val="bottom"/>
            <w:hideMark/>
          </w:tcPr>
          <w:p w14:paraId="1DD07785"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vAlign w:val="bottom"/>
            <w:hideMark/>
          </w:tcPr>
          <w:p w14:paraId="6185EFE6"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   </w:t>
            </w:r>
          </w:p>
        </w:tc>
        <w:tc>
          <w:tcPr>
            <w:tcW w:w="879" w:type="dxa"/>
            <w:tcBorders>
              <w:top w:val="nil"/>
              <w:left w:val="nil"/>
              <w:bottom w:val="single" w:sz="8" w:space="0" w:color="95B3D7"/>
              <w:right w:val="nil"/>
            </w:tcBorders>
            <w:vAlign w:val="bottom"/>
            <w:hideMark/>
          </w:tcPr>
          <w:p w14:paraId="6A512870"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7</w:t>
            </w:r>
          </w:p>
        </w:tc>
      </w:tr>
      <w:tr w:rsidR="005370C8" w:rsidRPr="005370C8" w14:paraId="477D5907" w14:textId="77777777" w:rsidTr="216CB62F">
        <w:trPr>
          <w:trHeight w:val="318"/>
        </w:trPr>
        <w:tc>
          <w:tcPr>
            <w:tcW w:w="4929" w:type="dxa"/>
            <w:tcBorders>
              <w:top w:val="nil"/>
              <w:left w:val="nil"/>
              <w:bottom w:val="single" w:sz="8" w:space="0" w:color="95B3D7"/>
              <w:right w:val="nil"/>
            </w:tcBorders>
            <w:shd w:val="clear" w:color="auto" w:fill="DBE5F1"/>
            <w:vAlign w:val="center"/>
            <w:hideMark/>
          </w:tcPr>
          <w:p w14:paraId="1A9E0746"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111A Variation of infrastructure licence (s204)</w:t>
            </w:r>
          </w:p>
        </w:tc>
        <w:tc>
          <w:tcPr>
            <w:tcW w:w="1099" w:type="dxa"/>
            <w:tcBorders>
              <w:top w:val="nil"/>
              <w:left w:val="nil"/>
              <w:bottom w:val="single" w:sz="8" w:space="0" w:color="95B3D7"/>
              <w:right w:val="nil"/>
            </w:tcBorders>
            <w:shd w:val="clear" w:color="auto" w:fill="DBE5F1"/>
            <w:vAlign w:val="bottom"/>
            <w:hideMark/>
          </w:tcPr>
          <w:p w14:paraId="3B89C486"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w:t>
            </w:r>
          </w:p>
        </w:tc>
        <w:tc>
          <w:tcPr>
            <w:tcW w:w="1116" w:type="dxa"/>
            <w:tcBorders>
              <w:top w:val="nil"/>
              <w:left w:val="nil"/>
              <w:bottom w:val="single" w:sz="8" w:space="0" w:color="95B3D7"/>
              <w:right w:val="nil"/>
            </w:tcBorders>
            <w:shd w:val="clear" w:color="auto" w:fill="DBE5F1"/>
            <w:vAlign w:val="bottom"/>
            <w:hideMark/>
          </w:tcPr>
          <w:p w14:paraId="2F451615"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8" w:type="dxa"/>
            <w:tcBorders>
              <w:top w:val="nil"/>
              <w:left w:val="nil"/>
              <w:bottom w:val="single" w:sz="8" w:space="0" w:color="95B3D7"/>
              <w:right w:val="nil"/>
            </w:tcBorders>
            <w:shd w:val="clear" w:color="auto" w:fill="DBE5F1"/>
            <w:vAlign w:val="bottom"/>
            <w:hideMark/>
          </w:tcPr>
          <w:p w14:paraId="086CEF76"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shd w:val="clear" w:color="auto" w:fill="DBE5F1"/>
            <w:vAlign w:val="bottom"/>
            <w:hideMark/>
          </w:tcPr>
          <w:p w14:paraId="562B2E73"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   </w:t>
            </w:r>
          </w:p>
        </w:tc>
        <w:tc>
          <w:tcPr>
            <w:tcW w:w="879" w:type="dxa"/>
            <w:tcBorders>
              <w:top w:val="nil"/>
              <w:left w:val="nil"/>
              <w:bottom w:val="single" w:sz="8" w:space="0" w:color="95B3D7"/>
              <w:right w:val="nil"/>
            </w:tcBorders>
            <w:shd w:val="clear" w:color="auto" w:fill="DBE5F1"/>
            <w:vAlign w:val="bottom"/>
            <w:hideMark/>
          </w:tcPr>
          <w:p w14:paraId="51A1CE8A"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7</w:t>
            </w:r>
          </w:p>
        </w:tc>
      </w:tr>
      <w:tr w:rsidR="005370C8" w:rsidRPr="005370C8" w14:paraId="58F48ECC" w14:textId="77777777" w:rsidTr="216CB62F">
        <w:trPr>
          <w:trHeight w:val="318"/>
        </w:trPr>
        <w:tc>
          <w:tcPr>
            <w:tcW w:w="4929" w:type="dxa"/>
            <w:tcBorders>
              <w:top w:val="nil"/>
              <w:left w:val="nil"/>
              <w:bottom w:val="single" w:sz="8" w:space="0" w:color="95B3D7"/>
              <w:right w:val="nil"/>
            </w:tcBorders>
            <w:vAlign w:val="center"/>
            <w:hideMark/>
          </w:tcPr>
          <w:p w14:paraId="2ECD33AA"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112 Pipeline licence (s217)</w:t>
            </w:r>
          </w:p>
        </w:tc>
        <w:tc>
          <w:tcPr>
            <w:tcW w:w="1099" w:type="dxa"/>
            <w:tcBorders>
              <w:top w:val="nil"/>
              <w:left w:val="nil"/>
              <w:bottom w:val="single" w:sz="8" w:space="0" w:color="95B3D7"/>
              <w:right w:val="nil"/>
            </w:tcBorders>
            <w:vAlign w:val="bottom"/>
            <w:hideMark/>
          </w:tcPr>
          <w:p w14:paraId="1143DD99"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3</w:t>
            </w:r>
          </w:p>
        </w:tc>
        <w:tc>
          <w:tcPr>
            <w:tcW w:w="1116" w:type="dxa"/>
            <w:tcBorders>
              <w:top w:val="nil"/>
              <w:left w:val="nil"/>
              <w:bottom w:val="single" w:sz="8" w:space="0" w:color="95B3D7"/>
              <w:right w:val="nil"/>
            </w:tcBorders>
            <w:vAlign w:val="bottom"/>
            <w:hideMark/>
          </w:tcPr>
          <w:p w14:paraId="7398EC14"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8" w:type="dxa"/>
            <w:tcBorders>
              <w:top w:val="nil"/>
              <w:left w:val="nil"/>
              <w:bottom w:val="single" w:sz="8" w:space="0" w:color="95B3D7"/>
              <w:right w:val="nil"/>
            </w:tcBorders>
            <w:vAlign w:val="bottom"/>
            <w:hideMark/>
          </w:tcPr>
          <w:p w14:paraId="4CA5AFA1"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vAlign w:val="bottom"/>
            <w:hideMark/>
          </w:tcPr>
          <w:p w14:paraId="0B4F90C7"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76,500 </w:t>
            </w:r>
          </w:p>
        </w:tc>
        <w:tc>
          <w:tcPr>
            <w:tcW w:w="879" w:type="dxa"/>
            <w:tcBorders>
              <w:top w:val="nil"/>
              <w:left w:val="nil"/>
              <w:bottom w:val="single" w:sz="8" w:space="0" w:color="95B3D7"/>
              <w:right w:val="nil"/>
            </w:tcBorders>
            <w:vAlign w:val="bottom"/>
            <w:hideMark/>
          </w:tcPr>
          <w:p w14:paraId="0671DB3E"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8</w:t>
            </w:r>
          </w:p>
        </w:tc>
      </w:tr>
      <w:tr w:rsidR="005370C8" w:rsidRPr="005370C8" w14:paraId="26FAF4A3" w14:textId="77777777" w:rsidTr="216CB62F">
        <w:trPr>
          <w:trHeight w:val="318"/>
        </w:trPr>
        <w:tc>
          <w:tcPr>
            <w:tcW w:w="4929" w:type="dxa"/>
            <w:tcBorders>
              <w:top w:val="nil"/>
              <w:left w:val="nil"/>
              <w:bottom w:val="single" w:sz="8" w:space="0" w:color="95B3D7"/>
              <w:right w:val="nil"/>
            </w:tcBorders>
            <w:shd w:val="clear" w:color="auto" w:fill="DBE5F1"/>
            <w:vAlign w:val="center"/>
            <w:hideMark/>
          </w:tcPr>
          <w:p w14:paraId="39170792"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113 Variation of pipeline licence (s226)</w:t>
            </w:r>
          </w:p>
        </w:tc>
        <w:tc>
          <w:tcPr>
            <w:tcW w:w="1099" w:type="dxa"/>
            <w:tcBorders>
              <w:top w:val="nil"/>
              <w:left w:val="nil"/>
              <w:bottom w:val="single" w:sz="8" w:space="0" w:color="95B3D7"/>
              <w:right w:val="nil"/>
            </w:tcBorders>
            <w:shd w:val="clear" w:color="auto" w:fill="DBE5F1"/>
            <w:vAlign w:val="bottom"/>
            <w:hideMark/>
          </w:tcPr>
          <w:p w14:paraId="438A2F40"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19</w:t>
            </w:r>
          </w:p>
        </w:tc>
        <w:tc>
          <w:tcPr>
            <w:tcW w:w="1116" w:type="dxa"/>
            <w:tcBorders>
              <w:top w:val="nil"/>
              <w:left w:val="nil"/>
              <w:bottom w:val="single" w:sz="8" w:space="0" w:color="95B3D7"/>
              <w:right w:val="nil"/>
            </w:tcBorders>
            <w:shd w:val="clear" w:color="auto" w:fill="DBE5F1"/>
            <w:vAlign w:val="bottom"/>
            <w:hideMark/>
          </w:tcPr>
          <w:p w14:paraId="27438178"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8" w:type="dxa"/>
            <w:tcBorders>
              <w:top w:val="nil"/>
              <w:left w:val="nil"/>
              <w:bottom w:val="single" w:sz="8" w:space="0" w:color="95B3D7"/>
              <w:right w:val="nil"/>
            </w:tcBorders>
            <w:shd w:val="clear" w:color="auto" w:fill="DBE5F1"/>
            <w:vAlign w:val="bottom"/>
            <w:hideMark/>
          </w:tcPr>
          <w:p w14:paraId="63CA9C8D"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shd w:val="clear" w:color="auto" w:fill="DBE5F1"/>
            <w:vAlign w:val="bottom"/>
            <w:hideMark/>
          </w:tcPr>
          <w:p w14:paraId="6EE4C3C2"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484,500 </w:t>
            </w:r>
          </w:p>
        </w:tc>
        <w:tc>
          <w:tcPr>
            <w:tcW w:w="879" w:type="dxa"/>
            <w:tcBorders>
              <w:top w:val="nil"/>
              <w:left w:val="nil"/>
              <w:bottom w:val="single" w:sz="8" w:space="0" w:color="95B3D7"/>
              <w:right w:val="nil"/>
            </w:tcBorders>
            <w:shd w:val="clear" w:color="auto" w:fill="DBE5F1"/>
            <w:vAlign w:val="bottom"/>
            <w:hideMark/>
          </w:tcPr>
          <w:p w14:paraId="5936D0F4"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8</w:t>
            </w:r>
          </w:p>
        </w:tc>
      </w:tr>
      <w:tr w:rsidR="005370C8" w:rsidRPr="005370C8" w14:paraId="182A5EA5" w14:textId="77777777" w:rsidTr="216CB62F">
        <w:trPr>
          <w:trHeight w:val="318"/>
        </w:trPr>
        <w:tc>
          <w:tcPr>
            <w:tcW w:w="4929" w:type="dxa"/>
            <w:tcBorders>
              <w:top w:val="nil"/>
              <w:left w:val="nil"/>
              <w:bottom w:val="single" w:sz="8" w:space="0" w:color="95B3D7"/>
              <w:right w:val="nil"/>
            </w:tcBorders>
            <w:vAlign w:val="center"/>
            <w:hideMark/>
          </w:tcPr>
          <w:p w14:paraId="0487DC72"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114 Petroleum special prospecting authority (s234)</w:t>
            </w:r>
          </w:p>
        </w:tc>
        <w:tc>
          <w:tcPr>
            <w:tcW w:w="1099" w:type="dxa"/>
            <w:tcBorders>
              <w:top w:val="nil"/>
              <w:left w:val="nil"/>
              <w:bottom w:val="single" w:sz="8" w:space="0" w:color="95B3D7"/>
              <w:right w:val="nil"/>
            </w:tcBorders>
            <w:vAlign w:val="bottom"/>
            <w:hideMark/>
          </w:tcPr>
          <w:p w14:paraId="6B20C2F9"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w:t>
            </w:r>
          </w:p>
        </w:tc>
        <w:tc>
          <w:tcPr>
            <w:tcW w:w="1116" w:type="dxa"/>
            <w:tcBorders>
              <w:top w:val="nil"/>
              <w:left w:val="nil"/>
              <w:bottom w:val="single" w:sz="8" w:space="0" w:color="95B3D7"/>
              <w:right w:val="nil"/>
            </w:tcBorders>
            <w:vAlign w:val="bottom"/>
            <w:hideMark/>
          </w:tcPr>
          <w:p w14:paraId="62E4C82F"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10,000 </w:t>
            </w:r>
          </w:p>
        </w:tc>
        <w:tc>
          <w:tcPr>
            <w:tcW w:w="1098" w:type="dxa"/>
            <w:tcBorders>
              <w:top w:val="nil"/>
              <w:left w:val="nil"/>
              <w:bottom w:val="single" w:sz="8" w:space="0" w:color="95B3D7"/>
              <w:right w:val="nil"/>
            </w:tcBorders>
            <w:vAlign w:val="bottom"/>
            <w:hideMark/>
          </w:tcPr>
          <w:p w14:paraId="7DE0AB7B"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10,000 </w:t>
            </w:r>
          </w:p>
        </w:tc>
        <w:tc>
          <w:tcPr>
            <w:tcW w:w="1099" w:type="dxa"/>
            <w:tcBorders>
              <w:top w:val="nil"/>
              <w:left w:val="nil"/>
              <w:bottom w:val="single" w:sz="8" w:space="0" w:color="95B3D7"/>
              <w:right w:val="nil"/>
            </w:tcBorders>
            <w:vAlign w:val="bottom"/>
            <w:hideMark/>
          </w:tcPr>
          <w:p w14:paraId="2F1F89EB"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10,000 </w:t>
            </w:r>
          </w:p>
        </w:tc>
        <w:tc>
          <w:tcPr>
            <w:tcW w:w="879" w:type="dxa"/>
            <w:tcBorders>
              <w:top w:val="nil"/>
              <w:left w:val="nil"/>
              <w:bottom w:val="single" w:sz="8" w:space="0" w:color="95B3D7"/>
              <w:right w:val="nil"/>
            </w:tcBorders>
            <w:vAlign w:val="bottom"/>
            <w:hideMark/>
          </w:tcPr>
          <w:p w14:paraId="67FAB624"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9</w:t>
            </w:r>
          </w:p>
        </w:tc>
      </w:tr>
      <w:tr w:rsidR="005370C8" w:rsidRPr="005370C8" w14:paraId="3EFEDAEA" w14:textId="77777777" w:rsidTr="216CB62F">
        <w:trPr>
          <w:trHeight w:val="318"/>
        </w:trPr>
        <w:tc>
          <w:tcPr>
            <w:tcW w:w="4929" w:type="dxa"/>
            <w:tcBorders>
              <w:top w:val="nil"/>
              <w:left w:val="nil"/>
              <w:bottom w:val="single" w:sz="8" w:space="0" w:color="95B3D7"/>
              <w:right w:val="nil"/>
            </w:tcBorders>
            <w:shd w:val="clear" w:color="auto" w:fill="DBE5F1"/>
            <w:vAlign w:val="center"/>
            <w:hideMark/>
          </w:tcPr>
          <w:p w14:paraId="2C7D9212"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115 Approval of transfer of petroleum title (s473)</w:t>
            </w:r>
          </w:p>
        </w:tc>
        <w:tc>
          <w:tcPr>
            <w:tcW w:w="1099" w:type="dxa"/>
            <w:tcBorders>
              <w:top w:val="nil"/>
              <w:left w:val="nil"/>
              <w:bottom w:val="single" w:sz="8" w:space="0" w:color="95B3D7"/>
              <w:right w:val="nil"/>
            </w:tcBorders>
            <w:shd w:val="clear" w:color="auto" w:fill="DBE5F1"/>
            <w:vAlign w:val="bottom"/>
            <w:hideMark/>
          </w:tcPr>
          <w:p w14:paraId="685983DE"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23</w:t>
            </w:r>
          </w:p>
        </w:tc>
        <w:tc>
          <w:tcPr>
            <w:tcW w:w="1116" w:type="dxa"/>
            <w:tcBorders>
              <w:top w:val="nil"/>
              <w:left w:val="nil"/>
              <w:bottom w:val="single" w:sz="8" w:space="0" w:color="95B3D7"/>
              <w:right w:val="nil"/>
            </w:tcBorders>
            <w:shd w:val="clear" w:color="auto" w:fill="DBE5F1"/>
            <w:vAlign w:val="bottom"/>
            <w:hideMark/>
          </w:tcPr>
          <w:p w14:paraId="4D24D8DA"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10,000 </w:t>
            </w:r>
          </w:p>
        </w:tc>
        <w:tc>
          <w:tcPr>
            <w:tcW w:w="1098" w:type="dxa"/>
            <w:tcBorders>
              <w:top w:val="nil"/>
              <w:left w:val="nil"/>
              <w:bottom w:val="single" w:sz="8" w:space="0" w:color="95B3D7"/>
              <w:right w:val="nil"/>
            </w:tcBorders>
            <w:shd w:val="clear" w:color="auto" w:fill="DBE5F1"/>
            <w:vAlign w:val="bottom"/>
            <w:hideMark/>
          </w:tcPr>
          <w:p w14:paraId="19A0110B"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shd w:val="clear" w:color="auto" w:fill="DBE5F1"/>
            <w:vAlign w:val="bottom"/>
            <w:hideMark/>
          </w:tcPr>
          <w:p w14:paraId="2CBA916A"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586,500 </w:t>
            </w:r>
          </w:p>
        </w:tc>
        <w:tc>
          <w:tcPr>
            <w:tcW w:w="879" w:type="dxa"/>
            <w:tcBorders>
              <w:top w:val="nil"/>
              <w:left w:val="nil"/>
              <w:bottom w:val="single" w:sz="8" w:space="0" w:color="95B3D7"/>
              <w:right w:val="nil"/>
            </w:tcBorders>
            <w:shd w:val="clear" w:color="auto" w:fill="DBE5F1"/>
            <w:vAlign w:val="bottom"/>
            <w:hideMark/>
          </w:tcPr>
          <w:p w14:paraId="0C694EC0"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11</w:t>
            </w:r>
          </w:p>
        </w:tc>
      </w:tr>
      <w:tr w:rsidR="005370C8" w:rsidRPr="005370C8" w14:paraId="4B57732B" w14:textId="77777777" w:rsidTr="216CB62F">
        <w:trPr>
          <w:trHeight w:val="318"/>
        </w:trPr>
        <w:tc>
          <w:tcPr>
            <w:tcW w:w="4929" w:type="dxa"/>
            <w:tcBorders>
              <w:top w:val="nil"/>
              <w:left w:val="nil"/>
              <w:bottom w:val="single" w:sz="8" w:space="0" w:color="95B3D7"/>
              <w:right w:val="nil"/>
            </w:tcBorders>
            <w:vAlign w:val="center"/>
            <w:hideMark/>
          </w:tcPr>
          <w:p w14:paraId="52212191"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116 Approval of dealing relating to petroleum title (s488)</w:t>
            </w:r>
          </w:p>
        </w:tc>
        <w:tc>
          <w:tcPr>
            <w:tcW w:w="1099" w:type="dxa"/>
            <w:tcBorders>
              <w:top w:val="nil"/>
              <w:left w:val="nil"/>
              <w:bottom w:val="single" w:sz="8" w:space="0" w:color="95B3D7"/>
              <w:right w:val="nil"/>
            </w:tcBorders>
            <w:vAlign w:val="bottom"/>
            <w:hideMark/>
          </w:tcPr>
          <w:p w14:paraId="5C119A5B"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111</w:t>
            </w:r>
          </w:p>
        </w:tc>
        <w:tc>
          <w:tcPr>
            <w:tcW w:w="1116" w:type="dxa"/>
            <w:tcBorders>
              <w:top w:val="nil"/>
              <w:left w:val="nil"/>
              <w:bottom w:val="single" w:sz="8" w:space="0" w:color="95B3D7"/>
              <w:right w:val="nil"/>
            </w:tcBorders>
            <w:vAlign w:val="bottom"/>
            <w:hideMark/>
          </w:tcPr>
          <w:p w14:paraId="2A5B775E"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10,000 </w:t>
            </w:r>
          </w:p>
        </w:tc>
        <w:tc>
          <w:tcPr>
            <w:tcW w:w="1098" w:type="dxa"/>
            <w:tcBorders>
              <w:top w:val="nil"/>
              <w:left w:val="nil"/>
              <w:bottom w:val="single" w:sz="8" w:space="0" w:color="95B3D7"/>
              <w:right w:val="nil"/>
            </w:tcBorders>
            <w:vAlign w:val="bottom"/>
            <w:hideMark/>
          </w:tcPr>
          <w:p w14:paraId="11FF109E"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10,000 </w:t>
            </w:r>
          </w:p>
        </w:tc>
        <w:tc>
          <w:tcPr>
            <w:tcW w:w="1099" w:type="dxa"/>
            <w:tcBorders>
              <w:top w:val="nil"/>
              <w:left w:val="nil"/>
              <w:bottom w:val="single" w:sz="8" w:space="0" w:color="95B3D7"/>
              <w:right w:val="nil"/>
            </w:tcBorders>
            <w:vAlign w:val="bottom"/>
            <w:hideMark/>
          </w:tcPr>
          <w:p w14:paraId="012D2B1C"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1,110,000 </w:t>
            </w:r>
          </w:p>
        </w:tc>
        <w:tc>
          <w:tcPr>
            <w:tcW w:w="879" w:type="dxa"/>
            <w:tcBorders>
              <w:top w:val="nil"/>
              <w:left w:val="nil"/>
              <w:bottom w:val="single" w:sz="8" w:space="0" w:color="95B3D7"/>
              <w:right w:val="nil"/>
            </w:tcBorders>
            <w:vAlign w:val="bottom"/>
            <w:hideMark/>
          </w:tcPr>
          <w:p w14:paraId="3CDB7D01"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10</w:t>
            </w:r>
          </w:p>
        </w:tc>
      </w:tr>
      <w:tr w:rsidR="005370C8" w:rsidRPr="005370C8" w14:paraId="04BF6073" w14:textId="77777777" w:rsidTr="216CB62F">
        <w:trPr>
          <w:trHeight w:val="523"/>
        </w:trPr>
        <w:tc>
          <w:tcPr>
            <w:tcW w:w="4929" w:type="dxa"/>
            <w:tcBorders>
              <w:top w:val="nil"/>
              <w:left w:val="nil"/>
              <w:bottom w:val="single" w:sz="8" w:space="0" w:color="95B3D7"/>
              <w:right w:val="nil"/>
            </w:tcBorders>
            <w:shd w:val="clear" w:color="auto" w:fill="DBE5F1"/>
            <w:vAlign w:val="center"/>
            <w:hideMark/>
          </w:tcPr>
          <w:p w14:paraId="74EA1BD3" w14:textId="6BC6A185"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116AAA Approval of dealing in future interest relating to </w:t>
            </w:r>
            <w:r w:rsidR="00E12D4A">
              <w:rPr>
                <w:rFonts w:ascii="Calibri" w:eastAsia="Times New Roman" w:hAnsi="Calibri" w:cs="Calibri"/>
                <w:color w:val="17365D"/>
                <w:lang w:eastAsia="en-AU"/>
              </w:rPr>
              <w:t>petrol</w:t>
            </w:r>
            <w:r w:rsidRPr="005370C8">
              <w:rPr>
                <w:rFonts w:ascii="Calibri" w:eastAsia="Times New Roman" w:hAnsi="Calibri" w:cs="Calibri"/>
                <w:color w:val="17365D"/>
                <w:lang w:eastAsia="en-AU"/>
              </w:rPr>
              <w:t>e</w:t>
            </w:r>
            <w:r w:rsidR="00E12D4A">
              <w:rPr>
                <w:rFonts w:ascii="Calibri" w:eastAsia="Times New Roman" w:hAnsi="Calibri" w:cs="Calibri"/>
                <w:color w:val="17365D"/>
                <w:lang w:eastAsia="en-AU"/>
              </w:rPr>
              <w:t>u</w:t>
            </w:r>
            <w:r w:rsidRPr="005370C8">
              <w:rPr>
                <w:rFonts w:ascii="Calibri" w:eastAsia="Times New Roman" w:hAnsi="Calibri" w:cs="Calibri"/>
                <w:color w:val="17365D"/>
                <w:lang w:eastAsia="en-AU"/>
              </w:rPr>
              <w:t>m title (s498)</w:t>
            </w:r>
          </w:p>
        </w:tc>
        <w:tc>
          <w:tcPr>
            <w:tcW w:w="1099" w:type="dxa"/>
            <w:tcBorders>
              <w:top w:val="nil"/>
              <w:left w:val="nil"/>
              <w:bottom w:val="single" w:sz="8" w:space="0" w:color="95B3D7"/>
              <w:right w:val="nil"/>
            </w:tcBorders>
            <w:shd w:val="clear" w:color="auto" w:fill="DBE5F1"/>
            <w:vAlign w:val="bottom"/>
            <w:hideMark/>
          </w:tcPr>
          <w:p w14:paraId="543A5A5F"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w:t>
            </w:r>
          </w:p>
        </w:tc>
        <w:tc>
          <w:tcPr>
            <w:tcW w:w="1116" w:type="dxa"/>
            <w:tcBorders>
              <w:top w:val="nil"/>
              <w:left w:val="nil"/>
              <w:bottom w:val="single" w:sz="8" w:space="0" w:color="95B3D7"/>
              <w:right w:val="nil"/>
            </w:tcBorders>
            <w:shd w:val="clear" w:color="auto" w:fill="DBE5F1"/>
            <w:vAlign w:val="bottom"/>
            <w:hideMark/>
          </w:tcPr>
          <w:p w14:paraId="5DA9DDEE"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10,000 </w:t>
            </w:r>
          </w:p>
        </w:tc>
        <w:tc>
          <w:tcPr>
            <w:tcW w:w="1098" w:type="dxa"/>
            <w:tcBorders>
              <w:top w:val="nil"/>
              <w:left w:val="nil"/>
              <w:bottom w:val="single" w:sz="8" w:space="0" w:color="95B3D7"/>
              <w:right w:val="nil"/>
            </w:tcBorders>
            <w:shd w:val="clear" w:color="auto" w:fill="DBE5F1"/>
            <w:vAlign w:val="bottom"/>
            <w:hideMark/>
          </w:tcPr>
          <w:p w14:paraId="58B3D11F"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10,000 </w:t>
            </w:r>
          </w:p>
        </w:tc>
        <w:tc>
          <w:tcPr>
            <w:tcW w:w="1099" w:type="dxa"/>
            <w:tcBorders>
              <w:top w:val="nil"/>
              <w:left w:val="nil"/>
              <w:bottom w:val="single" w:sz="8" w:space="0" w:color="95B3D7"/>
              <w:right w:val="nil"/>
            </w:tcBorders>
            <w:shd w:val="clear" w:color="auto" w:fill="DBE5F1"/>
            <w:vAlign w:val="bottom"/>
            <w:hideMark/>
          </w:tcPr>
          <w:p w14:paraId="056A6E0E"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   </w:t>
            </w:r>
          </w:p>
        </w:tc>
        <w:tc>
          <w:tcPr>
            <w:tcW w:w="879" w:type="dxa"/>
            <w:tcBorders>
              <w:top w:val="nil"/>
              <w:left w:val="nil"/>
              <w:bottom w:val="single" w:sz="8" w:space="0" w:color="95B3D7"/>
              <w:right w:val="nil"/>
            </w:tcBorders>
            <w:shd w:val="clear" w:color="auto" w:fill="DBE5F1"/>
            <w:vAlign w:val="bottom"/>
            <w:hideMark/>
          </w:tcPr>
          <w:p w14:paraId="5F0CAFC1"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10</w:t>
            </w:r>
          </w:p>
        </w:tc>
      </w:tr>
      <w:tr w:rsidR="005370C8" w:rsidRPr="005370C8" w14:paraId="187BBBC6" w14:textId="77777777" w:rsidTr="216CB62F">
        <w:trPr>
          <w:trHeight w:val="523"/>
        </w:trPr>
        <w:tc>
          <w:tcPr>
            <w:tcW w:w="4929" w:type="dxa"/>
            <w:tcBorders>
              <w:top w:val="nil"/>
              <w:left w:val="nil"/>
              <w:bottom w:val="single" w:sz="8" w:space="0" w:color="95B3D7"/>
              <w:right w:val="nil"/>
            </w:tcBorders>
            <w:vAlign w:val="center"/>
            <w:hideMark/>
          </w:tcPr>
          <w:p w14:paraId="3CE3CD61"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116AA Application for approval of change in control of a registered titleholder (s566C)</w:t>
            </w:r>
          </w:p>
        </w:tc>
        <w:tc>
          <w:tcPr>
            <w:tcW w:w="1099" w:type="dxa"/>
            <w:tcBorders>
              <w:top w:val="nil"/>
              <w:left w:val="nil"/>
              <w:bottom w:val="single" w:sz="8" w:space="0" w:color="95B3D7"/>
              <w:right w:val="nil"/>
            </w:tcBorders>
            <w:vAlign w:val="bottom"/>
            <w:hideMark/>
          </w:tcPr>
          <w:p w14:paraId="0A4AE586"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11</w:t>
            </w:r>
          </w:p>
        </w:tc>
        <w:tc>
          <w:tcPr>
            <w:tcW w:w="1116" w:type="dxa"/>
            <w:tcBorders>
              <w:top w:val="nil"/>
              <w:left w:val="nil"/>
              <w:bottom w:val="single" w:sz="8" w:space="0" w:color="95B3D7"/>
              <w:right w:val="nil"/>
            </w:tcBorders>
            <w:vAlign w:val="bottom"/>
            <w:hideMark/>
          </w:tcPr>
          <w:p w14:paraId="7653ECA4"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10,000 </w:t>
            </w:r>
          </w:p>
        </w:tc>
        <w:tc>
          <w:tcPr>
            <w:tcW w:w="1098" w:type="dxa"/>
            <w:tcBorders>
              <w:top w:val="nil"/>
              <w:left w:val="nil"/>
              <w:bottom w:val="single" w:sz="8" w:space="0" w:color="95B3D7"/>
              <w:right w:val="nil"/>
            </w:tcBorders>
            <w:vAlign w:val="bottom"/>
            <w:hideMark/>
          </w:tcPr>
          <w:p w14:paraId="0CAA3ACE"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vAlign w:val="bottom"/>
            <w:hideMark/>
          </w:tcPr>
          <w:p w14:paraId="799EA19C"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280,500 </w:t>
            </w:r>
          </w:p>
        </w:tc>
        <w:tc>
          <w:tcPr>
            <w:tcW w:w="879" w:type="dxa"/>
            <w:tcBorders>
              <w:top w:val="nil"/>
              <w:left w:val="nil"/>
              <w:bottom w:val="single" w:sz="8" w:space="0" w:color="95B3D7"/>
              <w:right w:val="nil"/>
            </w:tcBorders>
            <w:vAlign w:val="bottom"/>
            <w:hideMark/>
          </w:tcPr>
          <w:p w14:paraId="55AAE764"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12,23</w:t>
            </w:r>
          </w:p>
        </w:tc>
      </w:tr>
      <w:tr w:rsidR="005370C8" w:rsidRPr="005370C8" w14:paraId="68CAA878" w14:textId="77777777" w:rsidTr="216CB62F">
        <w:trPr>
          <w:trHeight w:val="523"/>
        </w:trPr>
        <w:tc>
          <w:tcPr>
            <w:tcW w:w="4929" w:type="dxa"/>
            <w:tcBorders>
              <w:top w:val="nil"/>
              <w:left w:val="nil"/>
              <w:bottom w:val="single" w:sz="8" w:space="0" w:color="95B3D7"/>
              <w:right w:val="nil"/>
            </w:tcBorders>
            <w:shd w:val="clear" w:color="auto" w:fill="DBE5F1"/>
            <w:vAlign w:val="center"/>
            <w:hideMark/>
          </w:tcPr>
          <w:p w14:paraId="5DDF699A"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116A Request for a variation of a declaration of location (s133(1))</w:t>
            </w:r>
          </w:p>
        </w:tc>
        <w:tc>
          <w:tcPr>
            <w:tcW w:w="1099" w:type="dxa"/>
            <w:tcBorders>
              <w:top w:val="nil"/>
              <w:left w:val="nil"/>
              <w:bottom w:val="single" w:sz="8" w:space="0" w:color="95B3D7"/>
              <w:right w:val="nil"/>
            </w:tcBorders>
            <w:shd w:val="clear" w:color="auto" w:fill="DBE5F1"/>
            <w:vAlign w:val="bottom"/>
            <w:hideMark/>
          </w:tcPr>
          <w:p w14:paraId="5EE32E82"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w:t>
            </w:r>
          </w:p>
        </w:tc>
        <w:tc>
          <w:tcPr>
            <w:tcW w:w="1116" w:type="dxa"/>
            <w:tcBorders>
              <w:top w:val="nil"/>
              <w:left w:val="nil"/>
              <w:bottom w:val="single" w:sz="8" w:space="0" w:color="95B3D7"/>
              <w:right w:val="nil"/>
            </w:tcBorders>
            <w:shd w:val="clear" w:color="auto" w:fill="DBE5F1"/>
            <w:vAlign w:val="bottom"/>
            <w:hideMark/>
          </w:tcPr>
          <w:p w14:paraId="4C7C0AD7"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8" w:type="dxa"/>
            <w:tcBorders>
              <w:top w:val="nil"/>
              <w:left w:val="nil"/>
              <w:bottom w:val="single" w:sz="8" w:space="0" w:color="95B3D7"/>
              <w:right w:val="nil"/>
            </w:tcBorders>
            <w:shd w:val="clear" w:color="auto" w:fill="DBE5F1"/>
            <w:vAlign w:val="bottom"/>
            <w:hideMark/>
          </w:tcPr>
          <w:p w14:paraId="4DB8BD3C"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shd w:val="clear" w:color="auto" w:fill="DBE5F1"/>
            <w:vAlign w:val="bottom"/>
            <w:hideMark/>
          </w:tcPr>
          <w:p w14:paraId="43408C8D"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   </w:t>
            </w:r>
          </w:p>
        </w:tc>
        <w:tc>
          <w:tcPr>
            <w:tcW w:w="879" w:type="dxa"/>
            <w:tcBorders>
              <w:top w:val="nil"/>
              <w:left w:val="nil"/>
              <w:bottom w:val="single" w:sz="8" w:space="0" w:color="95B3D7"/>
              <w:right w:val="nil"/>
            </w:tcBorders>
            <w:shd w:val="clear" w:color="auto" w:fill="DBE5F1"/>
            <w:vAlign w:val="bottom"/>
            <w:hideMark/>
          </w:tcPr>
          <w:p w14:paraId="1E5CCA54"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4</w:t>
            </w:r>
          </w:p>
        </w:tc>
      </w:tr>
      <w:tr w:rsidR="005370C8" w:rsidRPr="005370C8" w14:paraId="62C2EBDB" w14:textId="77777777" w:rsidTr="216CB62F">
        <w:trPr>
          <w:trHeight w:val="318"/>
        </w:trPr>
        <w:tc>
          <w:tcPr>
            <w:tcW w:w="4929" w:type="dxa"/>
            <w:tcBorders>
              <w:top w:val="nil"/>
              <w:left w:val="nil"/>
              <w:bottom w:val="single" w:sz="8" w:space="0" w:color="95B3D7"/>
              <w:right w:val="nil"/>
            </w:tcBorders>
            <w:vAlign w:val="center"/>
            <w:hideMark/>
          </w:tcPr>
          <w:p w14:paraId="41ADE706"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117 Application for a petroleum access authority (s242)</w:t>
            </w:r>
          </w:p>
        </w:tc>
        <w:tc>
          <w:tcPr>
            <w:tcW w:w="1099" w:type="dxa"/>
            <w:tcBorders>
              <w:top w:val="nil"/>
              <w:left w:val="nil"/>
              <w:bottom w:val="single" w:sz="8" w:space="0" w:color="95B3D7"/>
              <w:right w:val="nil"/>
            </w:tcBorders>
            <w:vAlign w:val="bottom"/>
            <w:hideMark/>
          </w:tcPr>
          <w:p w14:paraId="4784AC71"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6</w:t>
            </w:r>
          </w:p>
        </w:tc>
        <w:tc>
          <w:tcPr>
            <w:tcW w:w="1116" w:type="dxa"/>
            <w:tcBorders>
              <w:top w:val="nil"/>
              <w:left w:val="nil"/>
              <w:bottom w:val="single" w:sz="8" w:space="0" w:color="95B3D7"/>
              <w:right w:val="nil"/>
            </w:tcBorders>
            <w:vAlign w:val="bottom"/>
            <w:hideMark/>
          </w:tcPr>
          <w:p w14:paraId="47D84E08"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10,000 </w:t>
            </w:r>
          </w:p>
        </w:tc>
        <w:tc>
          <w:tcPr>
            <w:tcW w:w="1098" w:type="dxa"/>
            <w:tcBorders>
              <w:top w:val="nil"/>
              <w:left w:val="nil"/>
              <w:bottom w:val="single" w:sz="8" w:space="0" w:color="95B3D7"/>
              <w:right w:val="nil"/>
            </w:tcBorders>
            <w:vAlign w:val="bottom"/>
            <w:hideMark/>
          </w:tcPr>
          <w:p w14:paraId="503660B9"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10,000 </w:t>
            </w:r>
          </w:p>
        </w:tc>
        <w:tc>
          <w:tcPr>
            <w:tcW w:w="1099" w:type="dxa"/>
            <w:tcBorders>
              <w:top w:val="nil"/>
              <w:left w:val="nil"/>
              <w:bottom w:val="single" w:sz="8" w:space="0" w:color="95B3D7"/>
              <w:right w:val="nil"/>
            </w:tcBorders>
            <w:vAlign w:val="bottom"/>
            <w:hideMark/>
          </w:tcPr>
          <w:p w14:paraId="51296E8D"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60,000 </w:t>
            </w:r>
          </w:p>
        </w:tc>
        <w:tc>
          <w:tcPr>
            <w:tcW w:w="879" w:type="dxa"/>
            <w:tcBorders>
              <w:top w:val="nil"/>
              <w:left w:val="nil"/>
              <w:bottom w:val="single" w:sz="8" w:space="0" w:color="95B3D7"/>
              <w:right w:val="nil"/>
            </w:tcBorders>
            <w:vAlign w:val="bottom"/>
            <w:hideMark/>
          </w:tcPr>
          <w:p w14:paraId="3D82ECCB"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9</w:t>
            </w:r>
          </w:p>
        </w:tc>
      </w:tr>
      <w:tr w:rsidR="005370C8" w:rsidRPr="005370C8" w14:paraId="714B8C60" w14:textId="77777777" w:rsidTr="216CB62F">
        <w:trPr>
          <w:trHeight w:val="2049"/>
        </w:trPr>
        <w:tc>
          <w:tcPr>
            <w:tcW w:w="4929" w:type="dxa"/>
            <w:tcBorders>
              <w:top w:val="nil"/>
              <w:left w:val="nil"/>
              <w:bottom w:val="single" w:sz="8" w:space="0" w:color="95B3D7"/>
              <w:right w:val="nil"/>
            </w:tcBorders>
            <w:shd w:val="clear" w:color="auto" w:fill="DBE5F1"/>
            <w:vAlign w:val="center"/>
            <w:hideMark/>
          </w:tcPr>
          <w:p w14:paraId="6ADF0EAB"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118 Application for one or more of the following (s264): </w:t>
            </w:r>
            <w:r w:rsidRPr="005370C8">
              <w:rPr>
                <w:rFonts w:ascii="Calibri" w:eastAsia="Times New Roman" w:hAnsi="Calibri" w:cs="Calibri"/>
                <w:color w:val="17365D"/>
                <w:lang w:eastAsia="en-AU"/>
              </w:rPr>
              <w:br/>
              <w:t>(</w:t>
            </w:r>
            <w:proofErr w:type="gramStart"/>
            <w:r w:rsidRPr="005370C8">
              <w:rPr>
                <w:rFonts w:ascii="Calibri" w:eastAsia="Times New Roman" w:hAnsi="Calibri" w:cs="Calibri"/>
                <w:color w:val="17365D"/>
                <w:lang w:eastAsia="en-AU"/>
              </w:rPr>
              <w:t>a)   </w:t>
            </w:r>
            <w:proofErr w:type="gramEnd"/>
            <w:r w:rsidRPr="005370C8">
              <w:rPr>
                <w:rFonts w:ascii="Calibri" w:eastAsia="Times New Roman" w:hAnsi="Calibri" w:cs="Calibri"/>
                <w:color w:val="17365D"/>
                <w:lang w:eastAsia="en-AU"/>
              </w:rPr>
              <w:t>     variation of conditions of permit, lease or licence;</w:t>
            </w:r>
            <w:r w:rsidRPr="005370C8">
              <w:rPr>
                <w:rFonts w:ascii="Calibri" w:eastAsia="Times New Roman" w:hAnsi="Calibri" w:cs="Calibri"/>
                <w:color w:val="17365D"/>
                <w:lang w:eastAsia="en-AU"/>
              </w:rPr>
              <w:br/>
              <w:t>(</w:t>
            </w:r>
            <w:proofErr w:type="gramStart"/>
            <w:r w:rsidRPr="005370C8">
              <w:rPr>
                <w:rFonts w:ascii="Calibri" w:eastAsia="Times New Roman" w:hAnsi="Calibri" w:cs="Calibri"/>
                <w:color w:val="17365D"/>
                <w:lang w:eastAsia="en-AU"/>
              </w:rPr>
              <w:t>b)   </w:t>
            </w:r>
            <w:proofErr w:type="gramEnd"/>
            <w:r w:rsidRPr="005370C8">
              <w:rPr>
                <w:rFonts w:ascii="Calibri" w:eastAsia="Times New Roman" w:hAnsi="Calibri" w:cs="Calibri"/>
                <w:color w:val="17365D"/>
                <w:lang w:eastAsia="en-AU"/>
              </w:rPr>
              <w:t>     suspension of conditions and extension of the term of permit or lease;</w:t>
            </w:r>
            <w:r w:rsidRPr="005370C8">
              <w:rPr>
                <w:rFonts w:ascii="Calibri" w:eastAsia="Times New Roman" w:hAnsi="Calibri" w:cs="Calibri"/>
                <w:color w:val="17365D"/>
                <w:lang w:eastAsia="en-AU"/>
              </w:rPr>
              <w:br/>
              <w:t>(c)        exemption from conditions of permit, lease or licence;</w:t>
            </w:r>
            <w:r w:rsidRPr="005370C8">
              <w:rPr>
                <w:rFonts w:ascii="Calibri" w:eastAsia="Times New Roman" w:hAnsi="Calibri" w:cs="Calibri"/>
                <w:color w:val="17365D"/>
                <w:lang w:eastAsia="en-AU"/>
              </w:rPr>
              <w:br/>
              <w:t>(d)        suspension of conditions of licence, permit or lease.</w:t>
            </w:r>
          </w:p>
        </w:tc>
        <w:tc>
          <w:tcPr>
            <w:tcW w:w="1099" w:type="dxa"/>
            <w:tcBorders>
              <w:top w:val="nil"/>
              <w:left w:val="nil"/>
              <w:bottom w:val="single" w:sz="8" w:space="0" w:color="95B3D7"/>
              <w:right w:val="nil"/>
            </w:tcBorders>
            <w:shd w:val="clear" w:color="auto" w:fill="DBE5F1"/>
            <w:vAlign w:val="bottom"/>
            <w:hideMark/>
          </w:tcPr>
          <w:p w14:paraId="0A42955C"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20</w:t>
            </w:r>
          </w:p>
        </w:tc>
        <w:tc>
          <w:tcPr>
            <w:tcW w:w="1116" w:type="dxa"/>
            <w:tcBorders>
              <w:top w:val="nil"/>
              <w:left w:val="nil"/>
              <w:bottom w:val="single" w:sz="8" w:space="0" w:color="95B3D7"/>
              <w:right w:val="nil"/>
            </w:tcBorders>
            <w:shd w:val="clear" w:color="auto" w:fill="DBE5F1"/>
            <w:vAlign w:val="bottom"/>
            <w:hideMark/>
          </w:tcPr>
          <w:p w14:paraId="376898CE"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8" w:type="dxa"/>
            <w:tcBorders>
              <w:top w:val="nil"/>
              <w:left w:val="nil"/>
              <w:bottom w:val="single" w:sz="8" w:space="0" w:color="95B3D7"/>
              <w:right w:val="nil"/>
            </w:tcBorders>
            <w:shd w:val="clear" w:color="auto" w:fill="DBE5F1"/>
            <w:vAlign w:val="bottom"/>
            <w:hideMark/>
          </w:tcPr>
          <w:p w14:paraId="42BADB05"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shd w:val="clear" w:color="auto" w:fill="DBE5F1"/>
            <w:vAlign w:val="bottom"/>
            <w:hideMark/>
          </w:tcPr>
          <w:p w14:paraId="157133E6"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510,000 </w:t>
            </w:r>
          </w:p>
        </w:tc>
        <w:tc>
          <w:tcPr>
            <w:tcW w:w="879" w:type="dxa"/>
            <w:tcBorders>
              <w:top w:val="nil"/>
              <w:left w:val="nil"/>
              <w:bottom w:val="single" w:sz="8" w:space="0" w:color="95B3D7"/>
              <w:right w:val="nil"/>
            </w:tcBorders>
            <w:shd w:val="clear" w:color="auto" w:fill="DBE5F1"/>
            <w:vAlign w:val="bottom"/>
            <w:hideMark/>
          </w:tcPr>
          <w:p w14:paraId="32E0B34E"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3</w:t>
            </w:r>
          </w:p>
        </w:tc>
      </w:tr>
      <w:tr w:rsidR="005370C8" w:rsidRPr="005370C8" w14:paraId="15F21B34" w14:textId="77777777" w:rsidTr="216CB62F">
        <w:trPr>
          <w:trHeight w:val="523"/>
        </w:trPr>
        <w:tc>
          <w:tcPr>
            <w:tcW w:w="4929" w:type="dxa"/>
            <w:tcBorders>
              <w:top w:val="nil"/>
              <w:left w:val="nil"/>
              <w:bottom w:val="single" w:sz="8" w:space="0" w:color="95B3D7"/>
              <w:right w:val="nil"/>
            </w:tcBorders>
            <w:vAlign w:val="center"/>
            <w:hideMark/>
          </w:tcPr>
          <w:p w14:paraId="7A55454B"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119 Nomination by </w:t>
            </w:r>
            <w:proofErr w:type="spellStart"/>
            <w:r w:rsidRPr="005370C8">
              <w:rPr>
                <w:rFonts w:ascii="Calibri" w:eastAsia="Times New Roman" w:hAnsi="Calibri" w:cs="Calibri"/>
                <w:color w:val="17365D"/>
                <w:lang w:eastAsia="en-AU"/>
              </w:rPr>
              <w:t>permitee</w:t>
            </w:r>
            <w:proofErr w:type="spellEnd"/>
            <w:r w:rsidRPr="005370C8">
              <w:rPr>
                <w:rFonts w:ascii="Calibri" w:eastAsia="Times New Roman" w:hAnsi="Calibri" w:cs="Calibri"/>
                <w:color w:val="17365D"/>
                <w:lang w:eastAsia="en-AU"/>
              </w:rPr>
              <w:t xml:space="preserve"> for declaration of a location in relation to a petroleum title (s129)</w:t>
            </w:r>
          </w:p>
        </w:tc>
        <w:tc>
          <w:tcPr>
            <w:tcW w:w="1099" w:type="dxa"/>
            <w:tcBorders>
              <w:top w:val="nil"/>
              <w:left w:val="nil"/>
              <w:bottom w:val="single" w:sz="8" w:space="0" w:color="95B3D7"/>
              <w:right w:val="nil"/>
            </w:tcBorders>
            <w:vAlign w:val="bottom"/>
            <w:hideMark/>
          </w:tcPr>
          <w:p w14:paraId="3450495B"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3</w:t>
            </w:r>
          </w:p>
        </w:tc>
        <w:tc>
          <w:tcPr>
            <w:tcW w:w="1116" w:type="dxa"/>
            <w:tcBorders>
              <w:top w:val="nil"/>
              <w:left w:val="nil"/>
              <w:bottom w:val="single" w:sz="8" w:space="0" w:color="95B3D7"/>
              <w:right w:val="nil"/>
            </w:tcBorders>
            <w:vAlign w:val="bottom"/>
            <w:hideMark/>
          </w:tcPr>
          <w:p w14:paraId="071AEC52"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8" w:type="dxa"/>
            <w:tcBorders>
              <w:top w:val="nil"/>
              <w:left w:val="nil"/>
              <w:bottom w:val="single" w:sz="8" w:space="0" w:color="95B3D7"/>
              <w:right w:val="nil"/>
            </w:tcBorders>
            <w:vAlign w:val="bottom"/>
            <w:hideMark/>
          </w:tcPr>
          <w:p w14:paraId="2EE8CB79"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vAlign w:val="bottom"/>
            <w:hideMark/>
          </w:tcPr>
          <w:p w14:paraId="33D2B7F3"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76,500 </w:t>
            </w:r>
          </w:p>
        </w:tc>
        <w:tc>
          <w:tcPr>
            <w:tcW w:w="879" w:type="dxa"/>
            <w:tcBorders>
              <w:top w:val="nil"/>
              <w:left w:val="nil"/>
              <w:bottom w:val="single" w:sz="8" w:space="0" w:color="95B3D7"/>
              <w:right w:val="nil"/>
            </w:tcBorders>
            <w:vAlign w:val="bottom"/>
            <w:hideMark/>
          </w:tcPr>
          <w:p w14:paraId="35E7BAB2"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4</w:t>
            </w:r>
          </w:p>
        </w:tc>
      </w:tr>
      <w:tr w:rsidR="005370C8" w:rsidRPr="005370C8" w14:paraId="54105038" w14:textId="77777777" w:rsidTr="216CB62F">
        <w:trPr>
          <w:trHeight w:val="318"/>
        </w:trPr>
        <w:tc>
          <w:tcPr>
            <w:tcW w:w="4929" w:type="dxa"/>
            <w:tcBorders>
              <w:top w:val="nil"/>
              <w:left w:val="nil"/>
              <w:bottom w:val="single" w:sz="8" w:space="0" w:color="95B3D7"/>
              <w:right w:val="nil"/>
            </w:tcBorders>
            <w:shd w:val="clear" w:color="auto" w:fill="DBE5F1"/>
            <w:vAlign w:val="center"/>
            <w:hideMark/>
          </w:tcPr>
          <w:p w14:paraId="040A59E2"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120 Application for a consent to surrender a title (s269)</w:t>
            </w:r>
          </w:p>
        </w:tc>
        <w:tc>
          <w:tcPr>
            <w:tcW w:w="1099" w:type="dxa"/>
            <w:tcBorders>
              <w:top w:val="nil"/>
              <w:left w:val="nil"/>
              <w:bottom w:val="single" w:sz="8" w:space="0" w:color="95B3D7"/>
              <w:right w:val="nil"/>
            </w:tcBorders>
            <w:shd w:val="clear" w:color="auto" w:fill="DBE5F1"/>
            <w:vAlign w:val="bottom"/>
            <w:hideMark/>
          </w:tcPr>
          <w:p w14:paraId="1C26EB3A"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15</w:t>
            </w:r>
          </w:p>
        </w:tc>
        <w:tc>
          <w:tcPr>
            <w:tcW w:w="1116" w:type="dxa"/>
            <w:tcBorders>
              <w:top w:val="nil"/>
              <w:left w:val="nil"/>
              <w:bottom w:val="single" w:sz="8" w:space="0" w:color="95B3D7"/>
              <w:right w:val="nil"/>
            </w:tcBorders>
            <w:shd w:val="clear" w:color="auto" w:fill="DBE5F1"/>
            <w:vAlign w:val="bottom"/>
            <w:hideMark/>
          </w:tcPr>
          <w:p w14:paraId="1C1AC56C"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8" w:type="dxa"/>
            <w:tcBorders>
              <w:top w:val="nil"/>
              <w:left w:val="nil"/>
              <w:bottom w:val="single" w:sz="8" w:space="0" w:color="95B3D7"/>
              <w:right w:val="nil"/>
            </w:tcBorders>
            <w:shd w:val="clear" w:color="auto" w:fill="DBE5F1"/>
            <w:vAlign w:val="bottom"/>
            <w:hideMark/>
          </w:tcPr>
          <w:p w14:paraId="4A14804C"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shd w:val="clear" w:color="auto" w:fill="DBE5F1"/>
            <w:vAlign w:val="bottom"/>
            <w:hideMark/>
          </w:tcPr>
          <w:p w14:paraId="0F8AC911"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382,500 </w:t>
            </w:r>
          </w:p>
        </w:tc>
        <w:tc>
          <w:tcPr>
            <w:tcW w:w="879" w:type="dxa"/>
            <w:tcBorders>
              <w:top w:val="nil"/>
              <w:left w:val="nil"/>
              <w:bottom w:val="single" w:sz="8" w:space="0" w:color="95B3D7"/>
              <w:right w:val="nil"/>
            </w:tcBorders>
            <w:shd w:val="clear" w:color="auto" w:fill="DBE5F1"/>
            <w:vAlign w:val="bottom"/>
            <w:hideMark/>
          </w:tcPr>
          <w:p w14:paraId="5A504267"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3</w:t>
            </w:r>
          </w:p>
        </w:tc>
      </w:tr>
      <w:tr w:rsidR="005370C8" w:rsidRPr="005370C8" w14:paraId="309EF705" w14:textId="77777777" w:rsidTr="216CB62F">
        <w:trPr>
          <w:trHeight w:val="780"/>
        </w:trPr>
        <w:tc>
          <w:tcPr>
            <w:tcW w:w="4929" w:type="dxa"/>
            <w:tcBorders>
              <w:top w:val="nil"/>
              <w:left w:val="nil"/>
              <w:bottom w:val="single" w:sz="8" w:space="0" w:color="95B3D7"/>
              <w:right w:val="nil"/>
            </w:tcBorders>
            <w:vAlign w:val="center"/>
            <w:hideMark/>
          </w:tcPr>
          <w:p w14:paraId="10E25647"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120A Application for approval to carry out one or more key greenhouse gas operations under a greenhouse gas assessment permit under section 292 or 292A of the Act</w:t>
            </w:r>
          </w:p>
        </w:tc>
        <w:tc>
          <w:tcPr>
            <w:tcW w:w="1099" w:type="dxa"/>
            <w:tcBorders>
              <w:top w:val="nil"/>
              <w:left w:val="nil"/>
              <w:bottom w:val="single" w:sz="8" w:space="0" w:color="95B3D7"/>
              <w:right w:val="nil"/>
            </w:tcBorders>
            <w:vAlign w:val="bottom"/>
            <w:hideMark/>
          </w:tcPr>
          <w:p w14:paraId="5614A4C7"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3</w:t>
            </w:r>
          </w:p>
        </w:tc>
        <w:tc>
          <w:tcPr>
            <w:tcW w:w="1116" w:type="dxa"/>
            <w:tcBorders>
              <w:top w:val="nil"/>
              <w:left w:val="nil"/>
              <w:bottom w:val="single" w:sz="8" w:space="0" w:color="95B3D7"/>
              <w:right w:val="nil"/>
            </w:tcBorders>
            <w:vAlign w:val="bottom"/>
            <w:hideMark/>
          </w:tcPr>
          <w:p w14:paraId="71024EF7"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8" w:type="dxa"/>
            <w:tcBorders>
              <w:top w:val="nil"/>
              <w:left w:val="nil"/>
              <w:bottom w:val="single" w:sz="8" w:space="0" w:color="95B3D7"/>
              <w:right w:val="nil"/>
            </w:tcBorders>
            <w:vAlign w:val="bottom"/>
            <w:hideMark/>
          </w:tcPr>
          <w:p w14:paraId="009C506C"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vAlign w:val="bottom"/>
            <w:hideMark/>
          </w:tcPr>
          <w:p w14:paraId="07C5E7ED"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76,500 </w:t>
            </w:r>
          </w:p>
        </w:tc>
        <w:tc>
          <w:tcPr>
            <w:tcW w:w="879" w:type="dxa"/>
            <w:tcBorders>
              <w:top w:val="nil"/>
              <w:left w:val="nil"/>
              <w:bottom w:val="single" w:sz="8" w:space="0" w:color="95B3D7"/>
              <w:right w:val="nil"/>
            </w:tcBorders>
            <w:vAlign w:val="bottom"/>
            <w:hideMark/>
          </w:tcPr>
          <w:p w14:paraId="4E5F146A"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16</w:t>
            </w:r>
          </w:p>
        </w:tc>
      </w:tr>
      <w:tr w:rsidR="005370C8" w:rsidRPr="005370C8" w14:paraId="520172DB" w14:textId="77777777" w:rsidTr="216CB62F">
        <w:trPr>
          <w:trHeight w:val="780"/>
        </w:trPr>
        <w:tc>
          <w:tcPr>
            <w:tcW w:w="4929" w:type="dxa"/>
            <w:tcBorders>
              <w:top w:val="nil"/>
              <w:left w:val="nil"/>
              <w:bottom w:val="single" w:sz="8" w:space="0" w:color="95B3D7"/>
              <w:right w:val="nil"/>
            </w:tcBorders>
            <w:shd w:val="clear" w:color="auto" w:fill="DBE5F1"/>
            <w:vAlign w:val="center"/>
            <w:hideMark/>
          </w:tcPr>
          <w:p w14:paraId="5D774824"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121 Application for a declaration of a part of a geological formation as an identified greenhouse gas storage formation (s312 or 312A)</w:t>
            </w:r>
          </w:p>
        </w:tc>
        <w:tc>
          <w:tcPr>
            <w:tcW w:w="1099" w:type="dxa"/>
            <w:tcBorders>
              <w:top w:val="nil"/>
              <w:left w:val="nil"/>
              <w:bottom w:val="single" w:sz="8" w:space="0" w:color="95B3D7"/>
              <w:right w:val="nil"/>
            </w:tcBorders>
            <w:shd w:val="clear" w:color="auto" w:fill="DBE5F1"/>
            <w:vAlign w:val="bottom"/>
            <w:hideMark/>
          </w:tcPr>
          <w:p w14:paraId="4417784D"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2</w:t>
            </w:r>
          </w:p>
        </w:tc>
        <w:tc>
          <w:tcPr>
            <w:tcW w:w="1116" w:type="dxa"/>
            <w:tcBorders>
              <w:top w:val="nil"/>
              <w:left w:val="nil"/>
              <w:bottom w:val="single" w:sz="8" w:space="0" w:color="95B3D7"/>
              <w:right w:val="nil"/>
            </w:tcBorders>
            <w:shd w:val="clear" w:color="auto" w:fill="DBE5F1"/>
            <w:vAlign w:val="bottom"/>
            <w:hideMark/>
          </w:tcPr>
          <w:p w14:paraId="536EF90A"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40,000 </w:t>
            </w:r>
          </w:p>
        </w:tc>
        <w:tc>
          <w:tcPr>
            <w:tcW w:w="1098" w:type="dxa"/>
            <w:tcBorders>
              <w:top w:val="nil"/>
              <w:left w:val="nil"/>
              <w:bottom w:val="single" w:sz="8" w:space="0" w:color="95B3D7"/>
              <w:right w:val="nil"/>
            </w:tcBorders>
            <w:shd w:val="clear" w:color="auto" w:fill="DBE5F1"/>
            <w:vAlign w:val="bottom"/>
            <w:hideMark/>
          </w:tcPr>
          <w:p w14:paraId="6354D104"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40,000 </w:t>
            </w:r>
          </w:p>
        </w:tc>
        <w:tc>
          <w:tcPr>
            <w:tcW w:w="1099" w:type="dxa"/>
            <w:tcBorders>
              <w:top w:val="nil"/>
              <w:left w:val="nil"/>
              <w:bottom w:val="single" w:sz="8" w:space="0" w:color="95B3D7"/>
              <w:right w:val="nil"/>
            </w:tcBorders>
            <w:shd w:val="clear" w:color="auto" w:fill="DBE5F1"/>
            <w:vAlign w:val="bottom"/>
            <w:hideMark/>
          </w:tcPr>
          <w:p w14:paraId="47E3853B"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80,000 </w:t>
            </w:r>
          </w:p>
        </w:tc>
        <w:tc>
          <w:tcPr>
            <w:tcW w:w="879" w:type="dxa"/>
            <w:tcBorders>
              <w:top w:val="nil"/>
              <w:left w:val="nil"/>
              <w:bottom w:val="single" w:sz="8" w:space="0" w:color="95B3D7"/>
              <w:right w:val="nil"/>
            </w:tcBorders>
            <w:shd w:val="clear" w:color="auto" w:fill="DBE5F1"/>
            <w:vAlign w:val="bottom"/>
            <w:hideMark/>
          </w:tcPr>
          <w:p w14:paraId="7E7B0F28"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17</w:t>
            </w:r>
          </w:p>
        </w:tc>
      </w:tr>
      <w:tr w:rsidR="005370C8" w:rsidRPr="005370C8" w14:paraId="5C3C27FB" w14:textId="77777777" w:rsidTr="216CB62F">
        <w:trPr>
          <w:trHeight w:val="523"/>
        </w:trPr>
        <w:tc>
          <w:tcPr>
            <w:tcW w:w="4929" w:type="dxa"/>
            <w:tcBorders>
              <w:top w:val="nil"/>
              <w:left w:val="nil"/>
              <w:bottom w:val="single" w:sz="8" w:space="0" w:color="95B3D7"/>
              <w:right w:val="nil"/>
            </w:tcBorders>
            <w:vAlign w:val="center"/>
            <w:hideMark/>
          </w:tcPr>
          <w:p w14:paraId="1CA0292E"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122 Application for variation of a declaration of an identified greenhouse gas storage formation (s313)</w:t>
            </w:r>
          </w:p>
        </w:tc>
        <w:tc>
          <w:tcPr>
            <w:tcW w:w="1099" w:type="dxa"/>
            <w:tcBorders>
              <w:top w:val="nil"/>
              <w:left w:val="nil"/>
              <w:bottom w:val="single" w:sz="8" w:space="0" w:color="95B3D7"/>
              <w:right w:val="nil"/>
            </w:tcBorders>
            <w:vAlign w:val="bottom"/>
            <w:hideMark/>
          </w:tcPr>
          <w:p w14:paraId="47589996"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w:t>
            </w:r>
          </w:p>
        </w:tc>
        <w:tc>
          <w:tcPr>
            <w:tcW w:w="1116" w:type="dxa"/>
            <w:tcBorders>
              <w:top w:val="nil"/>
              <w:left w:val="nil"/>
              <w:bottom w:val="single" w:sz="8" w:space="0" w:color="95B3D7"/>
              <w:right w:val="nil"/>
            </w:tcBorders>
            <w:vAlign w:val="bottom"/>
            <w:hideMark/>
          </w:tcPr>
          <w:p w14:paraId="2D08DB19"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40,000 </w:t>
            </w:r>
          </w:p>
        </w:tc>
        <w:tc>
          <w:tcPr>
            <w:tcW w:w="1098" w:type="dxa"/>
            <w:tcBorders>
              <w:top w:val="nil"/>
              <w:left w:val="nil"/>
              <w:bottom w:val="single" w:sz="8" w:space="0" w:color="95B3D7"/>
              <w:right w:val="nil"/>
            </w:tcBorders>
            <w:vAlign w:val="bottom"/>
            <w:hideMark/>
          </w:tcPr>
          <w:p w14:paraId="47CA0C1F"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40,000 </w:t>
            </w:r>
          </w:p>
        </w:tc>
        <w:tc>
          <w:tcPr>
            <w:tcW w:w="1099" w:type="dxa"/>
            <w:tcBorders>
              <w:top w:val="nil"/>
              <w:left w:val="nil"/>
              <w:bottom w:val="single" w:sz="8" w:space="0" w:color="95B3D7"/>
              <w:right w:val="nil"/>
            </w:tcBorders>
            <w:vAlign w:val="bottom"/>
            <w:hideMark/>
          </w:tcPr>
          <w:p w14:paraId="2D3FEA63"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40,000 </w:t>
            </w:r>
          </w:p>
        </w:tc>
        <w:tc>
          <w:tcPr>
            <w:tcW w:w="879" w:type="dxa"/>
            <w:tcBorders>
              <w:top w:val="nil"/>
              <w:left w:val="nil"/>
              <w:bottom w:val="single" w:sz="8" w:space="0" w:color="95B3D7"/>
              <w:right w:val="nil"/>
            </w:tcBorders>
            <w:vAlign w:val="bottom"/>
            <w:hideMark/>
          </w:tcPr>
          <w:p w14:paraId="080FABBD"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17</w:t>
            </w:r>
          </w:p>
        </w:tc>
      </w:tr>
      <w:tr w:rsidR="005370C8" w:rsidRPr="005370C8" w14:paraId="51C151C2" w14:textId="77777777" w:rsidTr="216CB62F">
        <w:trPr>
          <w:trHeight w:val="780"/>
        </w:trPr>
        <w:tc>
          <w:tcPr>
            <w:tcW w:w="4929" w:type="dxa"/>
            <w:tcBorders>
              <w:top w:val="nil"/>
              <w:left w:val="nil"/>
              <w:bottom w:val="single" w:sz="8" w:space="0" w:color="95B3D7"/>
              <w:right w:val="nil"/>
            </w:tcBorders>
            <w:shd w:val="clear" w:color="auto" w:fill="DBE5F1"/>
            <w:vAlign w:val="center"/>
            <w:hideMark/>
          </w:tcPr>
          <w:p w14:paraId="0AD6BC7A"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122A Application for approval to carry out one or more key greenhouse gas operations under a greenhouse gas holding lease under section 321 or 321A of the Act</w:t>
            </w:r>
          </w:p>
        </w:tc>
        <w:tc>
          <w:tcPr>
            <w:tcW w:w="1099" w:type="dxa"/>
            <w:tcBorders>
              <w:top w:val="nil"/>
              <w:left w:val="nil"/>
              <w:bottom w:val="single" w:sz="8" w:space="0" w:color="95B3D7"/>
              <w:right w:val="nil"/>
            </w:tcBorders>
            <w:shd w:val="clear" w:color="auto" w:fill="DBE5F1"/>
            <w:vAlign w:val="bottom"/>
            <w:hideMark/>
          </w:tcPr>
          <w:p w14:paraId="6B094432"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w:t>
            </w:r>
          </w:p>
        </w:tc>
        <w:tc>
          <w:tcPr>
            <w:tcW w:w="1116" w:type="dxa"/>
            <w:tcBorders>
              <w:top w:val="nil"/>
              <w:left w:val="nil"/>
              <w:bottom w:val="single" w:sz="8" w:space="0" w:color="95B3D7"/>
              <w:right w:val="nil"/>
            </w:tcBorders>
            <w:shd w:val="clear" w:color="auto" w:fill="DBE5F1"/>
            <w:vAlign w:val="bottom"/>
            <w:hideMark/>
          </w:tcPr>
          <w:p w14:paraId="5D8A34FD"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8" w:type="dxa"/>
            <w:tcBorders>
              <w:top w:val="nil"/>
              <w:left w:val="nil"/>
              <w:bottom w:val="single" w:sz="8" w:space="0" w:color="95B3D7"/>
              <w:right w:val="nil"/>
            </w:tcBorders>
            <w:shd w:val="clear" w:color="auto" w:fill="DBE5F1"/>
            <w:vAlign w:val="bottom"/>
            <w:hideMark/>
          </w:tcPr>
          <w:p w14:paraId="1A1FAD72"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shd w:val="clear" w:color="auto" w:fill="DBE5F1"/>
            <w:vAlign w:val="bottom"/>
            <w:hideMark/>
          </w:tcPr>
          <w:p w14:paraId="4C4DB898"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879" w:type="dxa"/>
            <w:tcBorders>
              <w:top w:val="nil"/>
              <w:left w:val="nil"/>
              <w:bottom w:val="single" w:sz="8" w:space="0" w:color="95B3D7"/>
              <w:right w:val="nil"/>
            </w:tcBorders>
            <w:shd w:val="clear" w:color="auto" w:fill="DBE5F1"/>
            <w:vAlign w:val="bottom"/>
            <w:hideMark/>
          </w:tcPr>
          <w:p w14:paraId="5CAF7250"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16</w:t>
            </w:r>
          </w:p>
        </w:tc>
      </w:tr>
      <w:tr w:rsidR="005370C8" w:rsidRPr="005370C8" w14:paraId="575ADC24" w14:textId="77777777" w:rsidTr="216CB62F">
        <w:trPr>
          <w:trHeight w:val="523"/>
        </w:trPr>
        <w:tc>
          <w:tcPr>
            <w:tcW w:w="4929" w:type="dxa"/>
            <w:tcBorders>
              <w:top w:val="nil"/>
              <w:left w:val="nil"/>
              <w:bottom w:val="single" w:sz="8" w:space="0" w:color="95B3D7"/>
              <w:right w:val="nil"/>
            </w:tcBorders>
            <w:vAlign w:val="center"/>
            <w:hideMark/>
          </w:tcPr>
          <w:p w14:paraId="006A727F"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123 Application for a greenhouse gas special authority (s415)</w:t>
            </w:r>
          </w:p>
        </w:tc>
        <w:tc>
          <w:tcPr>
            <w:tcW w:w="1099" w:type="dxa"/>
            <w:tcBorders>
              <w:top w:val="nil"/>
              <w:left w:val="nil"/>
              <w:bottom w:val="single" w:sz="8" w:space="0" w:color="95B3D7"/>
              <w:right w:val="nil"/>
            </w:tcBorders>
            <w:vAlign w:val="bottom"/>
            <w:hideMark/>
          </w:tcPr>
          <w:p w14:paraId="0EB71EA6"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2</w:t>
            </w:r>
          </w:p>
        </w:tc>
        <w:tc>
          <w:tcPr>
            <w:tcW w:w="1116" w:type="dxa"/>
            <w:tcBorders>
              <w:top w:val="nil"/>
              <w:left w:val="nil"/>
              <w:bottom w:val="single" w:sz="8" w:space="0" w:color="95B3D7"/>
              <w:right w:val="nil"/>
            </w:tcBorders>
            <w:vAlign w:val="bottom"/>
            <w:hideMark/>
          </w:tcPr>
          <w:p w14:paraId="221F75BD"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10,000 </w:t>
            </w:r>
          </w:p>
        </w:tc>
        <w:tc>
          <w:tcPr>
            <w:tcW w:w="1098" w:type="dxa"/>
            <w:tcBorders>
              <w:top w:val="nil"/>
              <w:left w:val="nil"/>
              <w:bottom w:val="single" w:sz="8" w:space="0" w:color="95B3D7"/>
              <w:right w:val="nil"/>
            </w:tcBorders>
            <w:vAlign w:val="bottom"/>
            <w:hideMark/>
          </w:tcPr>
          <w:p w14:paraId="2BF491D1"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10,000 </w:t>
            </w:r>
          </w:p>
        </w:tc>
        <w:tc>
          <w:tcPr>
            <w:tcW w:w="1099" w:type="dxa"/>
            <w:tcBorders>
              <w:top w:val="nil"/>
              <w:left w:val="nil"/>
              <w:bottom w:val="single" w:sz="8" w:space="0" w:color="95B3D7"/>
              <w:right w:val="nil"/>
            </w:tcBorders>
            <w:vAlign w:val="bottom"/>
            <w:hideMark/>
          </w:tcPr>
          <w:p w14:paraId="608AB8F5"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20,000 </w:t>
            </w:r>
          </w:p>
        </w:tc>
        <w:tc>
          <w:tcPr>
            <w:tcW w:w="879" w:type="dxa"/>
            <w:tcBorders>
              <w:top w:val="nil"/>
              <w:left w:val="nil"/>
              <w:bottom w:val="single" w:sz="8" w:space="0" w:color="95B3D7"/>
              <w:right w:val="nil"/>
            </w:tcBorders>
            <w:vAlign w:val="bottom"/>
            <w:hideMark/>
          </w:tcPr>
          <w:p w14:paraId="44E66FC6"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20</w:t>
            </w:r>
          </w:p>
        </w:tc>
      </w:tr>
      <w:tr w:rsidR="005370C8" w:rsidRPr="005370C8" w14:paraId="201CE034" w14:textId="77777777" w:rsidTr="216CB62F">
        <w:trPr>
          <w:trHeight w:val="2066"/>
        </w:trPr>
        <w:tc>
          <w:tcPr>
            <w:tcW w:w="4929" w:type="dxa"/>
            <w:tcBorders>
              <w:top w:val="nil"/>
              <w:left w:val="nil"/>
              <w:bottom w:val="single" w:sz="8" w:space="0" w:color="95B3D7"/>
              <w:right w:val="nil"/>
            </w:tcBorders>
            <w:shd w:val="clear" w:color="auto" w:fill="DBE5F1"/>
            <w:vAlign w:val="center"/>
            <w:hideMark/>
          </w:tcPr>
          <w:p w14:paraId="53BC296B"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124 Application for one or more of the following (table item 1 of s436(1)) in relation to a greenhouse gas assessment permit, greenhouse gas holding lease or greenhouse gas injection licence:</w:t>
            </w:r>
            <w:r w:rsidRPr="005370C8">
              <w:rPr>
                <w:rFonts w:ascii="Calibri" w:eastAsia="Times New Roman" w:hAnsi="Calibri" w:cs="Calibri"/>
                <w:color w:val="17365D"/>
                <w:lang w:eastAsia="en-AU"/>
              </w:rPr>
              <w:br/>
              <w:t>(a) variation or suspension of any of the conditions to which the permit, lease or licence is subject;</w:t>
            </w:r>
            <w:r w:rsidRPr="005370C8">
              <w:rPr>
                <w:rFonts w:ascii="Calibri" w:eastAsia="Times New Roman" w:hAnsi="Calibri" w:cs="Calibri"/>
                <w:color w:val="17365D"/>
                <w:lang w:eastAsia="en-AU"/>
              </w:rPr>
              <w:br/>
              <w:t>(b) exemption from compliance with any of the conditions to which the permit, lease or licence is subject.</w:t>
            </w:r>
          </w:p>
        </w:tc>
        <w:tc>
          <w:tcPr>
            <w:tcW w:w="1099" w:type="dxa"/>
            <w:tcBorders>
              <w:top w:val="nil"/>
              <w:left w:val="nil"/>
              <w:bottom w:val="single" w:sz="8" w:space="0" w:color="95B3D7"/>
              <w:right w:val="nil"/>
            </w:tcBorders>
            <w:shd w:val="clear" w:color="auto" w:fill="DBE5F1"/>
            <w:vAlign w:val="bottom"/>
            <w:hideMark/>
          </w:tcPr>
          <w:p w14:paraId="748DCDA0"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2</w:t>
            </w:r>
          </w:p>
        </w:tc>
        <w:tc>
          <w:tcPr>
            <w:tcW w:w="1116" w:type="dxa"/>
            <w:tcBorders>
              <w:top w:val="nil"/>
              <w:left w:val="nil"/>
              <w:bottom w:val="single" w:sz="8" w:space="0" w:color="95B3D7"/>
              <w:right w:val="nil"/>
            </w:tcBorders>
            <w:shd w:val="clear" w:color="auto" w:fill="DBE5F1"/>
            <w:vAlign w:val="bottom"/>
            <w:hideMark/>
          </w:tcPr>
          <w:p w14:paraId="7F167892"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8" w:type="dxa"/>
            <w:tcBorders>
              <w:top w:val="nil"/>
              <w:left w:val="nil"/>
              <w:bottom w:val="single" w:sz="8" w:space="0" w:color="95B3D7"/>
              <w:right w:val="nil"/>
            </w:tcBorders>
            <w:shd w:val="clear" w:color="auto" w:fill="DBE5F1"/>
            <w:vAlign w:val="bottom"/>
            <w:hideMark/>
          </w:tcPr>
          <w:p w14:paraId="1C1C6636"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shd w:val="clear" w:color="auto" w:fill="DBE5F1"/>
            <w:vAlign w:val="bottom"/>
            <w:hideMark/>
          </w:tcPr>
          <w:p w14:paraId="0889F21F"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51,000 </w:t>
            </w:r>
          </w:p>
        </w:tc>
        <w:tc>
          <w:tcPr>
            <w:tcW w:w="879" w:type="dxa"/>
            <w:tcBorders>
              <w:top w:val="nil"/>
              <w:left w:val="nil"/>
              <w:bottom w:val="single" w:sz="8" w:space="0" w:color="95B3D7"/>
              <w:right w:val="nil"/>
            </w:tcBorders>
            <w:shd w:val="clear" w:color="auto" w:fill="DBE5F1"/>
            <w:vAlign w:val="bottom"/>
            <w:hideMark/>
          </w:tcPr>
          <w:p w14:paraId="2F1A5432"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15</w:t>
            </w:r>
          </w:p>
        </w:tc>
      </w:tr>
      <w:tr w:rsidR="005370C8" w:rsidRPr="005370C8" w14:paraId="79206A91" w14:textId="77777777" w:rsidTr="216CB62F">
        <w:trPr>
          <w:trHeight w:val="2323"/>
        </w:trPr>
        <w:tc>
          <w:tcPr>
            <w:tcW w:w="4929" w:type="dxa"/>
            <w:tcBorders>
              <w:top w:val="nil"/>
              <w:left w:val="nil"/>
              <w:bottom w:val="single" w:sz="8" w:space="0" w:color="95B3D7"/>
              <w:right w:val="nil"/>
            </w:tcBorders>
            <w:vAlign w:val="center"/>
            <w:hideMark/>
          </w:tcPr>
          <w:p w14:paraId="0ED1DCCC"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124A Application for one or more of the following (table item 1 of s439A(1)) in relation to a cross-boundary greenhouse gas assessment permit, cross-boundary greenhouse gas holding lease or cross-boundary greenhouse gas injection licence:</w:t>
            </w:r>
            <w:r w:rsidRPr="005370C8">
              <w:rPr>
                <w:rFonts w:ascii="Calibri" w:eastAsia="Times New Roman" w:hAnsi="Calibri" w:cs="Calibri"/>
                <w:color w:val="17365D"/>
                <w:lang w:eastAsia="en-AU"/>
              </w:rPr>
              <w:br/>
              <w:t>(a) variation or suspension of any of the conditions to which the permit, lease or licence is subject;</w:t>
            </w:r>
            <w:r w:rsidRPr="005370C8">
              <w:rPr>
                <w:rFonts w:ascii="Calibri" w:eastAsia="Times New Roman" w:hAnsi="Calibri" w:cs="Calibri"/>
                <w:color w:val="17365D"/>
                <w:lang w:eastAsia="en-AU"/>
              </w:rPr>
              <w:br/>
              <w:t>(b) exemption from compliance with any of the conditions to which the permit, lease or licence is subject</w:t>
            </w:r>
          </w:p>
        </w:tc>
        <w:tc>
          <w:tcPr>
            <w:tcW w:w="1099" w:type="dxa"/>
            <w:tcBorders>
              <w:top w:val="nil"/>
              <w:left w:val="nil"/>
              <w:bottom w:val="single" w:sz="8" w:space="0" w:color="95B3D7"/>
              <w:right w:val="nil"/>
            </w:tcBorders>
            <w:vAlign w:val="bottom"/>
            <w:hideMark/>
          </w:tcPr>
          <w:p w14:paraId="2410308A"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w:t>
            </w:r>
          </w:p>
        </w:tc>
        <w:tc>
          <w:tcPr>
            <w:tcW w:w="1116" w:type="dxa"/>
            <w:tcBorders>
              <w:top w:val="nil"/>
              <w:left w:val="nil"/>
              <w:bottom w:val="single" w:sz="8" w:space="0" w:color="95B3D7"/>
              <w:right w:val="nil"/>
            </w:tcBorders>
            <w:vAlign w:val="bottom"/>
            <w:hideMark/>
          </w:tcPr>
          <w:p w14:paraId="1C22DAFA"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8" w:type="dxa"/>
            <w:tcBorders>
              <w:top w:val="nil"/>
              <w:left w:val="nil"/>
              <w:bottom w:val="single" w:sz="8" w:space="0" w:color="95B3D7"/>
              <w:right w:val="nil"/>
            </w:tcBorders>
            <w:vAlign w:val="bottom"/>
            <w:hideMark/>
          </w:tcPr>
          <w:p w14:paraId="00376F2F"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vAlign w:val="bottom"/>
            <w:hideMark/>
          </w:tcPr>
          <w:p w14:paraId="69B100B0"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879" w:type="dxa"/>
            <w:tcBorders>
              <w:top w:val="nil"/>
              <w:left w:val="nil"/>
              <w:bottom w:val="single" w:sz="8" w:space="0" w:color="95B3D7"/>
              <w:right w:val="nil"/>
            </w:tcBorders>
            <w:vAlign w:val="bottom"/>
            <w:hideMark/>
          </w:tcPr>
          <w:p w14:paraId="46745CFF"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15</w:t>
            </w:r>
          </w:p>
        </w:tc>
      </w:tr>
      <w:tr w:rsidR="005370C8" w:rsidRPr="005370C8" w14:paraId="5268B311" w14:textId="77777777" w:rsidTr="216CB62F">
        <w:trPr>
          <w:trHeight w:val="523"/>
        </w:trPr>
        <w:tc>
          <w:tcPr>
            <w:tcW w:w="4929" w:type="dxa"/>
            <w:tcBorders>
              <w:top w:val="nil"/>
              <w:left w:val="nil"/>
              <w:bottom w:val="single" w:sz="8" w:space="0" w:color="95B3D7"/>
              <w:right w:val="nil"/>
            </w:tcBorders>
            <w:shd w:val="clear" w:color="auto" w:fill="DBE5F1"/>
            <w:vAlign w:val="center"/>
            <w:hideMark/>
          </w:tcPr>
          <w:p w14:paraId="6BA524E6"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124B Application for a consent to surrender a greenhouse gas title (s441)</w:t>
            </w:r>
          </w:p>
        </w:tc>
        <w:tc>
          <w:tcPr>
            <w:tcW w:w="1099" w:type="dxa"/>
            <w:tcBorders>
              <w:top w:val="nil"/>
              <w:left w:val="nil"/>
              <w:bottom w:val="single" w:sz="8" w:space="0" w:color="95B3D7"/>
              <w:right w:val="nil"/>
            </w:tcBorders>
            <w:shd w:val="clear" w:color="auto" w:fill="DBE5F1"/>
            <w:vAlign w:val="bottom"/>
            <w:hideMark/>
          </w:tcPr>
          <w:p w14:paraId="39857EDF"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w:t>
            </w:r>
          </w:p>
        </w:tc>
        <w:tc>
          <w:tcPr>
            <w:tcW w:w="1116" w:type="dxa"/>
            <w:tcBorders>
              <w:top w:val="nil"/>
              <w:left w:val="nil"/>
              <w:bottom w:val="single" w:sz="8" w:space="0" w:color="95B3D7"/>
              <w:right w:val="nil"/>
            </w:tcBorders>
            <w:shd w:val="clear" w:color="auto" w:fill="DBE5F1"/>
            <w:vAlign w:val="bottom"/>
            <w:hideMark/>
          </w:tcPr>
          <w:p w14:paraId="5160F977"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8" w:type="dxa"/>
            <w:tcBorders>
              <w:top w:val="nil"/>
              <w:left w:val="nil"/>
              <w:bottom w:val="single" w:sz="8" w:space="0" w:color="95B3D7"/>
              <w:right w:val="nil"/>
            </w:tcBorders>
            <w:shd w:val="clear" w:color="auto" w:fill="DBE5F1"/>
            <w:vAlign w:val="bottom"/>
            <w:hideMark/>
          </w:tcPr>
          <w:p w14:paraId="104F3CE0"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shd w:val="clear" w:color="auto" w:fill="DBE5F1"/>
            <w:vAlign w:val="bottom"/>
            <w:hideMark/>
          </w:tcPr>
          <w:p w14:paraId="4ADF0D67"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   </w:t>
            </w:r>
          </w:p>
        </w:tc>
        <w:tc>
          <w:tcPr>
            <w:tcW w:w="879" w:type="dxa"/>
            <w:tcBorders>
              <w:top w:val="nil"/>
              <w:left w:val="nil"/>
              <w:bottom w:val="single" w:sz="8" w:space="0" w:color="95B3D7"/>
              <w:right w:val="nil"/>
            </w:tcBorders>
            <w:shd w:val="clear" w:color="auto" w:fill="DBE5F1"/>
            <w:vAlign w:val="bottom"/>
            <w:hideMark/>
          </w:tcPr>
          <w:p w14:paraId="6A1212D0"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15</w:t>
            </w:r>
          </w:p>
        </w:tc>
      </w:tr>
      <w:tr w:rsidR="005370C8" w:rsidRPr="005370C8" w14:paraId="246A4141" w14:textId="77777777" w:rsidTr="216CB62F">
        <w:trPr>
          <w:trHeight w:val="523"/>
        </w:trPr>
        <w:tc>
          <w:tcPr>
            <w:tcW w:w="4929" w:type="dxa"/>
            <w:tcBorders>
              <w:top w:val="nil"/>
              <w:left w:val="nil"/>
              <w:bottom w:val="single" w:sz="8" w:space="0" w:color="95B3D7"/>
              <w:right w:val="nil"/>
            </w:tcBorders>
            <w:vAlign w:val="center"/>
            <w:hideMark/>
          </w:tcPr>
          <w:p w14:paraId="15AA7689"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125 Application for acceptance of a field development plan (r4.04)</w:t>
            </w:r>
          </w:p>
        </w:tc>
        <w:tc>
          <w:tcPr>
            <w:tcW w:w="1099" w:type="dxa"/>
            <w:tcBorders>
              <w:top w:val="nil"/>
              <w:left w:val="nil"/>
              <w:bottom w:val="single" w:sz="8" w:space="0" w:color="95B3D7"/>
              <w:right w:val="nil"/>
            </w:tcBorders>
            <w:vAlign w:val="bottom"/>
            <w:hideMark/>
          </w:tcPr>
          <w:p w14:paraId="479213B3"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2</w:t>
            </w:r>
          </w:p>
        </w:tc>
        <w:tc>
          <w:tcPr>
            <w:tcW w:w="1116" w:type="dxa"/>
            <w:tcBorders>
              <w:top w:val="nil"/>
              <w:left w:val="nil"/>
              <w:bottom w:val="single" w:sz="8" w:space="0" w:color="95B3D7"/>
              <w:right w:val="nil"/>
            </w:tcBorders>
            <w:vAlign w:val="bottom"/>
            <w:hideMark/>
          </w:tcPr>
          <w:p w14:paraId="4A0AA121"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8" w:type="dxa"/>
            <w:tcBorders>
              <w:top w:val="nil"/>
              <w:left w:val="nil"/>
              <w:bottom w:val="single" w:sz="8" w:space="0" w:color="95B3D7"/>
              <w:right w:val="nil"/>
            </w:tcBorders>
            <w:vAlign w:val="bottom"/>
            <w:hideMark/>
          </w:tcPr>
          <w:p w14:paraId="14D4466F"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vAlign w:val="bottom"/>
            <w:hideMark/>
          </w:tcPr>
          <w:p w14:paraId="2E9EC2D4"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51,000 </w:t>
            </w:r>
          </w:p>
        </w:tc>
        <w:tc>
          <w:tcPr>
            <w:tcW w:w="879" w:type="dxa"/>
            <w:tcBorders>
              <w:top w:val="nil"/>
              <w:left w:val="nil"/>
              <w:bottom w:val="single" w:sz="8" w:space="0" w:color="95B3D7"/>
              <w:right w:val="nil"/>
            </w:tcBorders>
            <w:vAlign w:val="bottom"/>
            <w:hideMark/>
          </w:tcPr>
          <w:p w14:paraId="1BA502D4"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6</w:t>
            </w:r>
          </w:p>
        </w:tc>
      </w:tr>
      <w:tr w:rsidR="005370C8" w:rsidRPr="005370C8" w14:paraId="4C4B4598" w14:textId="77777777" w:rsidTr="216CB62F">
        <w:trPr>
          <w:trHeight w:val="523"/>
        </w:trPr>
        <w:tc>
          <w:tcPr>
            <w:tcW w:w="4929" w:type="dxa"/>
            <w:tcBorders>
              <w:top w:val="nil"/>
              <w:left w:val="nil"/>
              <w:bottom w:val="single" w:sz="8" w:space="0" w:color="95B3D7"/>
              <w:right w:val="nil"/>
            </w:tcBorders>
            <w:shd w:val="clear" w:color="auto" w:fill="DBE5F1"/>
            <w:vAlign w:val="center"/>
            <w:hideMark/>
          </w:tcPr>
          <w:p w14:paraId="1B5623F8"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126 Application for variation of a field development plan (r4.08)</w:t>
            </w:r>
          </w:p>
        </w:tc>
        <w:tc>
          <w:tcPr>
            <w:tcW w:w="1099" w:type="dxa"/>
            <w:tcBorders>
              <w:top w:val="nil"/>
              <w:left w:val="nil"/>
              <w:bottom w:val="single" w:sz="8" w:space="0" w:color="95B3D7"/>
              <w:right w:val="nil"/>
            </w:tcBorders>
            <w:shd w:val="clear" w:color="auto" w:fill="DBE5F1"/>
            <w:vAlign w:val="bottom"/>
            <w:hideMark/>
          </w:tcPr>
          <w:p w14:paraId="52AEB443"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w:t>
            </w:r>
          </w:p>
        </w:tc>
        <w:tc>
          <w:tcPr>
            <w:tcW w:w="1116" w:type="dxa"/>
            <w:tcBorders>
              <w:top w:val="nil"/>
              <w:left w:val="nil"/>
              <w:bottom w:val="single" w:sz="8" w:space="0" w:color="95B3D7"/>
              <w:right w:val="nil"/>
            </w:tcBorders>
            <w:shd w:val="clear" w:color="auto" w:fill="DBE5F1"/>
            <w:vAlign w:val="bottom"/>
            <w:hideMark/>
          </w:tcPr>
          <w:p w14:paraId="13466002"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8" w:type="dxa"/>
            <w:tcBorders>
              <w:top w:val="nil"/>
              <w:left w:val="nil"/>
              <w:bottom w:val="single" w:sz="8" w:space="0" w:color="95B3D7"/>
              <w:right w:val="nil"/>
            </w:tcBorders>
            <w:shd w:val="clear" w:color="auto" w:fill="DBE5F1"/>
            <w:vAlign w:val="bottom"/>
            <w:hideMark/>
          </w:tcPr>
          <w:p w14:paraId="0DDDF543"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shd w:val="clear" w:color="auto" w:fill="DBE5F1"/>
            <w:vAlign w:val="bottom"/>
            <w:hideMark/>
          </w:tcPr>
          <w:p w14:paraId="1716B83A"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   </w:t>
            </w:r>
          </w:p>
        </w:tc>
        <w:tc>
          <w:tcPr>
            <w:tcW w:w="879" w:type="dxa"/>
            <w:tcBorders>
              <w:top w:val="nil"/>
              <w:left w:val="nil"/>
              <w:bottom w:val="single" w:sz="8" w:space="0" w:color="95B3D7"/>
              <w:right w:val="nil"/>
            </w:tcBorders>
            <w:shd w:val="clear" w:color="auto" w:fill="DBE5F1"/>
            <w:vAlign w:val="bottom"/>
            <w:hideMark/>
          </w:tcPr>
          <w:p w14:paraId="5DA634FA"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6</w:t>
            </w:r>
          </w:p>
        </w:tc>
      </w:tr>
      <w:tr w:rsidR="005370C8" w:rsidRPr="005370C8" w14:paraId="01532643" w14:textId="77777777" w:rsidTr="216CB62F">
        <w:trPr>
          <w:trHeight w:val="523"/>
        </w:trPr>
        <w:tc>
          <w:tcPr>
            <w:tcW w:w="4929" w:type="dxa"/>
            <w:tcBorders>
              <w:top w:val="nil"/>
              <w:left w:val="nil"/>
              <w:bottom w:val="single" w:sz="8" w:space="0" w:color="95B3D7"/>
              <w:right w:val="nil"/>
            </w:tcBorders>
            <w:vAlign w:val="center"/>
            <w:hideMark/>
          </w:tcPr>
          <w:p w14:paraId="7EB9ABD6"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127 Application for permission to undertake recovery of petroleum from a petroleum pool in a licence </w:t>
            </w:r>
            <w:proofErr w:type="gramStart"/>
            <w:r w:rsidRPr="005370C8">
              <w:rPr>
                <w:rFonts w:ascii="Calibri" w:eastAsia="Times New Roman" w:hAnsi="Calibri" w:cs="Calibri"/>
                <w:color w:val="17365D"/>
                <w:lang w:eastAsia="en-AU"/>
              </w:rPr>
              <w:t>area  (</w:t>
            </w:r>
            <w:proofErr w:type="gramEnd"/>
            <w:r w:rsidRPr="005370C8">
              <w:rPr>
                <w:rFonts w:ascii="Calibri" w:eastAsia="Times New Roman" w:hAnsi="Calibri" w:cs="Calibri"/>
                <w:color w:val="17365D"/>
                <w:lang w:eastAsia="en-AU"/>
              </w:rPr>
              <w:t>r4.14)</w:t>
            </w:r>
          </w:p>
        </w:tc>
        <w:tc>
          <w:tcPr>
            <w:tcW w:w="1099" w:type="dxa"/>
            <w:tcBorders>
              <w:top w:val="nil"/>
              <w:left w:val="nil"/>
              <w:bottom w:val="single" w:sz="8" w:space="0" w:color="95B3D7"/>
              <w:right w:val="nil"/>
            </w:tcBorders>
            <w:vAlign w:val="bottom"/>
            <w:hideMark/>
          </w:tcPr>
          <w:p w14:paraId="340225DB"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w:t>
            </w:r>
          </w:p>
        </w:tc>
        <w:tc>
          <w:tcPr>
            <w:tcW w:w="1116" w:type="dxa"/>
            <w:tcBorders>
              <w:top w:val="nil"/>
              <w:left w:val="nil"/>
              <w:bottom w:val="single" w:sz="8" w:space="0" w:color="95B3D7"/>
              <w:right w:val="nil"/>
            </w:tcBorders>
            <w:vAlign w:val="bottom"/>
            <w:hideMark/>
          </w:tcPr>
          <w:p w14:paraId="517318CD"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8" w:type="dxa"/>
            <w:tcBorders>
              <w:top w:val="nil"/>
              <w:left w:val="nil"/>
              <w:bottom w:val="single" w:sz="8" w:space="0" w:color="95B3D7"/>
              <w:right w:val="nil"/>
            </w:tcBorders>
            <w:vAlign w:val="bottom"/>
            <w:hideMark/>
          </w:tcPr>
          <w:p w14:paraId="478B4CEF"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vAlign w:val="bottom"/>
            <w:hideMark/>
          </w:tcPr>
          <w:p w14:paraId="46134C35"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   </w:t>
            </w:r>
          </w:p>
        </w:tc>
        <w:tc>
          <w:tcPr>
            <w:tcW w:w="879" w:type="dxa"/>
            <w:tcBorders>
              <w:top w:val="nil"/>
              <w:left w:val="nil"/>
              <w:bottom w:val="single" w:sz="8" w:space="0" w:color="95B3D7"/>
              <w:right w:val="nil"/>
            </w:tcBorders>
            <w:vAlign w:val="bottom"/>
            <w:hideMark/>
          </w:tcPr>
          <w:p w14:paraId="6D5F6FDB"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6</w:t>
            </w:r>
          </w:p>
        </w:tc>
      </w:tr>
      <w:tr w:rsidR="005370C8" w:rsidRPr="005370C8" w14:paraId="6C39E37E" w14:textId="77777777" w:rsidTr="216CB62F">
        <w:trPr>
          <w:trHeight w:val="523"/>
        </w:trPr>
        <w:tc>
          <w:tcPr>
            <w:tcW w:w="4929" w:type="dxa"/>
            <w:tcBorders>
              <w:top w:val="nil"/>
              <w:left w:val="nil"/>
              <w:bottom w:val="single" w:sz="8" w:space="0" w:color="95B3D7"/>
              <w:right w:val="nil"/>
            </w:tcBorders>
            <w:shd w:val="clear" w:color="auto" w:fill="DBE5F1"/>
            <w:vAlign w:val="center"/>
            <w:hideMark/>
          </w:tcPr>
          <w:p w14:paraId="6DEF9BFF"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128 Application for approval of the rate of recovery of petroleum from a petroleum pool in a licence area (r4.18)</w:t>
            </w:r>
          </w:p>
        </w:tc>
        <w:tc>
          <w:tcPr>
            <w:tcW w:w="1099" w:type="dxa"/>
            <w:tcBorders>
              <w:top w:val="nil"/>
              <w:left w:val="nil"/>
              <w:bottom w:val="single" w:sz="8" w:space="0" w:color="95B3D7"/>
              <w:right w:val="nil"/>
            </w:tcBorders>
            <w:shd w:val="clear" w:color="auto" w:fill="DBE5F1"/>
            <w:vAlign w:val="bottom"/>
            <w:hideMark/>
          </w:tcPr>
          <w:p w14:paraId="1C4086AB"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3</w:t>
            </w:r>
          </w:p>
        </w:tc>
        <w:tc>
          <w:tcPr>
            <w:tcW w:w="1116" w:type="dxa"/>
            <w:tcBorders>
              <w:top w:val="nil"/>
              <w:left w:val="nil"/>
              <w:bottom w:val="single" w:sz="8" w:space="0" w:color="95B3D7"/>
              <w:right w:val="nil"/>
            </w:tcBorders>
            <w:shd w:val="clear" w:color="auto" w:fill="DBE5F1"/>
            <w:vAlign w:val="bottom"/>
            <w:hideMark/>
          </w:tcPr>
          <w:p w14:paraId="727B04E4"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8" w:type="dxa"/>
            <w:tcBorders>
              <w:top w:val="nil"/>
              <w:left w:val="nil"/>
              <w:bottom w:val="single" w:sz="8" w:space="0" w:color="95B3D7"/>
              <w:right w:val="nil"/>
            </w:tcBorders>
            <w:shd w:val="clear" w:color="auto" w:fill="DBE5F1"/>
            <w:vAlign w:val="bottom"/>
            <w:hideMark/>
          </w:tcPr>
          <w:p w14:paraId="74779690"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shd w:val="clear" w:color="auto" w:fill="DBE5F1"/>
            <w:vAlign w:val="bottom"/>
            <w:hideMark/>
          </w:tcPr>
          <w:p w14:paraId="2AD7F658"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76,500 </w:t>
            </w:r>
          </w:p>
        </w:tc>
        <w:tc>
          <w:tcPr>
            <w:tcW w:w="879" w:type="dxa"/>
            <w:tcBorders>
              <w:top w:val="nil"/>
              <w:left w:val="nil"/>
              <w:bottom w:val="single" w:sz="8" w:space="0" w:color="95B3D7"/>
              <w:right w:val="nil"/>
            </w:tcBorders>
            <w:shd w:val="clear" w:color="auto" w:fill="DBE5F1"/>
            <w:vAlign w:val="bottom"/>
            <w:hideMark/>
          </w:tcPr>
          <w:p w14:paraId="3A125454"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6</w:t>
            </w:r>
          </w:p>
        </w:tc>
      </w:tr>
      <w:tr w:rsidR="005370C8" w:rsidRPr="005370C8" w14:paraId="1B7EFEF9" w14:textId="77777777" w:rsidTr="216CB62F">
        <w:trPr>
          <w:trHeight w:val="780"/>
        </w:trPr>
        <w:tc>
          <w:tcPr>
            <w:tcW w:w="4929" w:type="dxa"/>
            <w:tcBorders>
              <w:top w:val="nil"/>
              <w:left w:val="nil"/>
              <w:bottom w:val="single" w:sz="8" w:space="0" w:color="95B3D7"/>
              <w:right w:val="nil"/>
            </w:tcBorders>
            <w:vAlign w:val="center"/>
            <w:hideMark/>
          </w:tcPr>
          <w:p w14:paraId="03D955D5"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201 Work-bid greenhouse gas assessment </w:t>
            </w:r>
            <w:proofErr w:type="gramStart"/>
            <w:r w:rsidRPr="005370C8">
              <w:rPr>
                <w:rFonts w:ascii="Calibri" w:eastAsia="Times New Roman" w:hAnsi="Calibri" w:cs="Calibri"/>
                <w:color w:val="17365D"/>
                <w:lang w:eastAsia="en-AU"/>
              </w:rPr>
              <w:t>permit</w:t>
            </w:r>
            <w:proofErr w:type="gramEnd"/>
            <w:r w:rsidRPr="005370C8">
              <w:rPr>
                <w:rFonts w:ascii="Calibri" w:eastAsia="Times New Roman" w:hAnsi="Calibri" w:cs="Calibri"/>
                <w:color w:val="17365D"/>
                <w:lang w:eastAsia="en-AU"/>
              </w:rPr>
              <w:t xml:space="preserve"> (s296)</w:t>
            </w:r>
            <w:r w:rsidRPr="005370C8">
              <w:rPr>
                <w:rFonts w:ascii="Calibri" w:eastAsia="Times New Roman" w:hAnsi="Calibri" w:cs="Calibri"/>
                <w:color w:val="17365D"/>
                <w:lang w:eastAsia="en-AU"/>
              </w:rPr>
              <w:br/>
              <w:t>Consolidated work-bid greenhouse gas assessment permit (s302A)</w:t>
            </w:r>
          </w:p>
        </w:tc>
        <w:tc>
          <w:tcPr>
            <w:tcW w:w="1099" w:type="dxa"/>
            <w:tcBorders>
              <w:top w:val="nil"/>
              <w:left w:val="nil"/>
              <w:bottom w:val="single" w:sz="8" w:space="0" w:color="95B3D7"/>
              <w:right w:val="nil"/>
            </w:tcBorders>
            <w:vAlign w:val="bottom"/>
            <w:hideMark/>
          </w:tcPr>
          <w:p w14:paraId="43BE8600"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w:t>
            </w:r>
          </w:p>
        </w:tc>
        <w:tc>
          <w:tcPr>
            <w:tcW w:w="1116" w:type="dxa"/>
            <w:tcBorders>
              <w:top w:val="nil"/>
              <w:left w:val="nil"/>
              <w:bottom w:val="single" w:sz="8" w:space="0" w:color="95B3D7"/>
              <w:right w:val="nil"/>
            </w:tcBorders>
            <w:vAlign w:val="bottom"/>
            <w:hideMark/>
          </w:tcPr>
          <w:p w14:paraId="7F277B9F"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8" w:type="dxa"/>
            <w:tcBorders>
              <w:top w:val="nil"/>
              <w:left w:val="nil"/>
              <w:bottom w:val="single" w:sz="8" w:space="0" w:color="95B3D7"/>
              <w:right w:val="nil"/>
            </w:tcBorders>
            <w:vAlign w:val="bottom"/>
            <w:hideMark/>
          </w:tcPr>
          <w:p w14:paraId="28BE89DC"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9" w:type="dxa"/>
            <w:tcBorders>
              <w:top w:val="nil"/>
              <w:left w:val="nil"/>
              <w:bottom w:val="single" w:sz="8" w:space="0" w:color="95B3D7"/>
              <w:right w:val="nil"/>
            </w:tcBorders>
            <w:vAlign w:val="bottom"/>
            <w:hideMark/>
          </w:tcPr>
          <w:p w14:paraId="30BB8395"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   </w:t>
            </w:r>
          </w:p>
        </w:tc>
        <w:tc>
          <w:tcPr>
            <w:tcW w:w="879" w:type="dxa"/>
            <w:tcBorders>
              <w:top w:val="nil"/>
              <w:left w:val="nil"/>
              <w:bottom w:val="single" w:sz="8" w:space="0" w:color="95B3D7"/>
              <w:right w:val="nil"/>
            </w:tcBorders>
            <w:vAlign w:val="bottom"/>
            <w:hideMark/>
          </w:tcPr>
          <w:p w14:paraId="24B3A99F"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13,14</w:t>
            </w:r>
          </w:p>
        </w:tc>
      </w:tr>
      <w:tr w:rsidR="005370C8" w:rsidRPr="005370C8" w14:paraId="7DB2F76C" w14:textId="77777777" w:rsidTr="216CB62F">
        <w:trPr>
          <w:trHeight w:val="523"/>
        </w:trPr>
        <w:tc>
          <w:tcPr>
            <w:tcW w:w="4929" w:type="dxa"/>
            <w:tcBorders>
              <w:top w:val="nil"/>
              <w:left w:val="nil"/>
              <w:bottom w:val="single" w:sz="8" w:space="0" w:color="95B3D7"/>
              <w:right w:val="nil"/>
            </w:tcBorders>
            <w:shd w:val="clear" w:color="auto" w:fill="DBE5F1"/>
            <w:vAlign w:val="center"/>
            <w:hideMark/>
          </w:tcPr>
          <w:p w14:paraId="7208517F"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201A Cross-boundary greenhouse gas assessment permit (s307A)</w:t>
            </w:r>
          </w:p>
        </w:tc>
        <w:tc>
          <w:tcPr>
            <w:tcW w:w="1099" w:type="dxa"/>
            <w:tcBorders>
              <w:top w:val="nil"/>
              <w:left w:val="nil"/>
              <w:bottom w:val="single" w:sz="8" w:space="0" w:color="95B3D7"/>
              <w:right w:val="nil"/>
            </w:tcBorders>
            <w:shd w:val="clear" w:color="auto" w:fill="DBE5F1"/>
            <w:vAlign w:val="bottom"/>
            <w:hideMark/>
          </w:tcPr>
          <w:p w14:paraId="442B7A6F"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w:t>
            </w:r>
          </w:p>
        </w:tc>
        <w:tc>
          <w:tcPr>
            <w:tcW w:w="1116" w:type="dxa"/>
            <w:tcBorders>
              <w:top w:val="nil"/>
              <w:left w:val="nil"/>
              <w:bottom w:val="single" w:sz="8" w:space="0" w:color="95B3D7"/>
              <w:right w:val="nil"/>
            </w:tcBorders>
            <w:shd w:val="clear" w:color="auto" w:fill="DBE5F1"/>
            <w:vAlign w:val="bottom"/>
            <w:hideMark/>
          </w:tcPr>
          <w:p w14:paraId="5304D38F"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8" w:type="dxa"/>
            <w:tcBorders>
              <w:top w:val="nil"/>
              <w:left w:val="nil"/>
              <w:bottom w:val="single" w:sz="8" w:space="0" w:color="95B3D7"/>
              <w:right w:val="nil"/>
            </w:tcBorders>
            <w:shd w:val="clear" w:color="auto" w:fill="DBE5F1"/>
            <w:vAlign w:val="bottom"/>
            <w:hideMark/>
          </w:tcPr>
          <w:p w14:paraId="7B34E99D"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9" w:type="dxa"/>
            <w:tcBorders>
              <w:top w:val="nil"/>
              <w:left w:val="nil"/>
              <w:bottom w:val="single" w:sz="8" w:space="0" w:color="95B3D7"/>
              <w:right w:val="nil"/>
            </w:tcBorders>
            <w:shd w:val="clear" w:color="auto" w:fill="DBE5F1"/>
            <w:vAlign w:val="bottom"/>
            <w:hideMark/>
          </w:tcPr>
          <w:p w14:paraId="37F335FB"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   </w:t>
            </w:r>
          </w:p>
        </w:tc>
        <w:tc>
          <w:tcPr>
            <w:tcW w:w="879" w:type="dxa"/>
            <w:tcBorders>
              <w:top w:val="nil"/>
              <w:left w:val="nil"/>
              <w:bottom w:val="single" w:sz="8" w:space="0" w:color="95B3D7"/>
              <w:right w:val="nil"/>
            </w:tcBorders>
            <w:shd w:val="clear" w:color="auto" w:fill="DBE5F1"/>
            <w:vAlign w:val="bottom"/>
            <w:hideMark/>
          </w:tcPr>
          <w:p w14:paraId="086AA119"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13,14</w:t>
            </w:r>
          </w:p>
        </w:tc>
      </w:tr>
      <w:tr w:rsidR="005370C8" w:rsidRPr="005370C8" w14:paraId="21DF250C" w14:textId="77777777" w:rsidTr="216CB62F">
        <w:trPr>
          <w:trHeight w:val="318"/>
        </w:trPr>
        <w:tc>
          <w:tcPr>
            <w:tcW w:w="4929" w:type="dxa"/>
            <w:tcBorders>
              <w:top w:val="nil"/>
              <w:left w:val="nil"/>
              <w:bottom w:val="single" w:sz="8" w:space="0" w:color="95B3D7"/>
              <w:right w:val="nil"/>
            </w:tcBorders>
            <w:vAlign w:val="center"/>
            <w:hideMark/>
          </w:tcPr>
          <w:p w14:paraId="55CAE50A"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202 Cash-bid greenhouse gas assessment </w:t>
            </w:r>
            <w:proofErr w:type="gramStart"/>
            <w:r w:rsidRPr="005370C8">
              <w:rPr>
                <w:rFonts w:ascii="Calibri" w:eastAsia="Times New Roman" w:hAnsi="Calibri" w:cs="Calibri"/>
                <w:color w:val="17365D"/>
                <w:lang w:eastAsia="en-AU"/>
              </w:rPr>
              <w:t>permit</w:t>
            </w:r>
            <w:proofErr w:type="gramEnd"/>
            <w:r w:rsidRPr="005370C8">
              <w:rPr>
                <w:rFonts w:ascii="Calibri" w:eastAsia="Times New Roman" w:hAnsi="Calibri" w:cs="Calibri"/>
                <w:color w:val="17365D"/>
                <w:lang w:eastAsia="en-AU"/>
              </w:rPr>
              <w:t xml:space="preserve"> (s303)</w:t>
            </w:r>
          </w:p>
        </w:tc>
        <w:tc>
          <w:tcPr>
            <w:tcW w:w="1099" w:type="dxa"/>
            <w:tcBorders>
              <w:top w:val="nil"/>
              <w:left w:val="nil"/>
              <w:bottom w:val="single" w:sz="8" w:space="0" w:color="95B3D7"/>
              <w:right w:val="nil"/>
            </w:tcBorders>
            <w:vAlign w:val="bottom"/>
            <w:hideMark/>
          </w:tcPr>
          <w:p w14:paraId="63C1A5BE"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w:t>
            </w:r>
          </w:p>
        </w:tc>
        <w:tc>
          <w:tcPr>
            <w:tcW w:w="1116" w:type="dxa"/>
            <w:tcBorders>
              <w:top w:val="nil"/>
              <w:left w:val="nil"/>
              <w:bottom w:val="single" w:sz="8" w:space="0" w:color="95B3D7"/>
              <w:right w:val="nil"/>
            </w:tcBorders>
            <w:vAlign w:val="bottom"/>
            <w:hideMark/>
          </w:tcPr>
          <w:p w14:paraId="1700668F"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8" w:type="dxa"/>
            <w:tcBorders>
              <w:top w:val="nil"/>
              <w:left w:val="nil"/>
              <w:bottom w:val="single" w:sz="8" w:space="0" w:color="95B3D7"/>
              <w:right w:val="nil"/>
            </w:tcBorders>
            <w:vAlign w:val="bottom"/>
            <w:hideMark/>
          </w:tcPr>
          <w:p w14:paraId="056B2B15"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9" w:type="dxa"/>
            <w:tcBorders>
              <w:top w:val="nil"/>
              <w:left w:val="nil"/>
              <w:bottom w:val="single" w:sz="8" w:space="0" w:color="95B3D7"/>
              <w:right w:val="nil"/>
            </w:tcBorders>
            <w:vAlign w:val="bottom"/>
            <w:hideMark/>
          </w:tcPr>
          <w:p w14:paraId="7B6081C4"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   </w:t>
            </w:r>
          </w:p>
        </w:tc>
        <w:tc>
          <w:tcPr>
            <w:tcW w:w="879" w:type="dxa"/>
            <w:tcBorders>
              <w:top w:val="nil"/>
              <w:left w:val="nil"/>
              <w:bottom w:val="single" w:sz="8" w:space="0" w:color="95B3D7"/>
              <w:right w:val="nil"/>
            </w:tcBorders>
            <w:vAlign w:val="bottom"/>
            <w:hideMark/>
          </w:tcPr>
          <w:p w14:paraId="405F44CC"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13,14</w:t>
            </w:r>
          </w:p>
        </w:tc>
      </w:tr>
      <w:tr w:rsidR="005370C8" w:rsidRPr="005370C8" w14:paraId="50C3B81C" w14:textId="77777777" w:rsidTr="216CB62F">
        <w:trPr>
          <w:trHeight w:val="780"/>
        </w:trPr>
        <w:tc>
          <w:tcPr>
            <w:tcW w:w="4929" w:type="dxa"/>
            <w:tcBorders>
              <w:top w:val="nil"/>
              <w:left w:val="nil"/>
              <w:bottom w:val="single" w:sz="8" w:space="0" w:color="95B3D7"/>
              <w:right w:val="nil"/>
            </w:tcBorders>
            <w:shd w:val="clear" w:color="auto" w:fill="DBE5F1"/>
            <w:vAlign w:val="center"/>
            <w:hideMark/>
          </w:tcPr>
          <w:p w14:paraId="089CF629"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203 Renewal of greenhouse gas assessment permit (s308)</w:t>
            </w:r>
            <w:r w:rsidRPr="005370C8">
              <w:rPr>
                <w:rFonts w:ascii="Calibri" w:eastAsia="Times New Roman" w:hAnsi="Calibri" w:cs="Calibri"/>
                <w:color w:val="17365D"/>
                <w:lang w:eastAsia="en-AU"/>
              </w:rPr>
              <w:br/>
              <w:t>Renewal of cross-boundary greenhouse gas assessment permit (s311A)</w:t>
            </w:r>
          </w:p>
        </w:tc>
        <w:tc>
          <w:tcPr>
            <w:tcW w:w="1099" w:type="dxa"/>
            <w:tcBorders>
              <w:top w:val="nil"/>
              <w:left w:val="nil"/>
              <w:bottom w:val="single" w:sz="8" w:space="0" w:color="95B3D7"/>
              <w:right w:val="nil"/>
            </w:tcBorders>
            <w:shd w:val="clear" w:color="auto" w:fill="DBE5F1"/>
            <w:vAlign w:val="bottom"/>
            <w:hideMark/>
          </w:tcPr>
          <w:p w14:paraId="089C2A3C"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w:t>
            </w:r>
          </w:p>
        </w:tc>
        <w:tc>
          <w:tcPr>
            <w:tcW w:w="1116" w:type="dxa"/>
            <w:tcBorders>
              <w:top w:val="nil"/>
              <w:left w:val="nil"/>
              <w:bottom w:val="single" w:sz="8" w:space="0" w:color="95B3D7"/>
              <w:right w:val="nil"/>
            </w:tcBorders>
            <w:shd w:val="clear" w:color="auto" w:fill="DBE5F1"/>
            <w:vAlign w:val="bottom"/>
            <w:hideMark/>
          </w:tcPr>
          <w:p w14:paraId="6A0D0122"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8" w:type="dxa"/>
            <w:tcBorders>
              <w:top w:val="nil"/>
              <w:left w:val="nil"/>
              <w:bottom w:val="single" w:sz="8" w:space="0" w:color="95B3D7"/>
              <w:right w:val="nil"/>
            </w:tcBorders>
            <w:shd w:val="clear" w:color="auto" w:fill="DBE5F1"/>
            <w:vAlign w:val="bottom"/>
            <w:hideMark/>
          </w:tcPr>
          <w:p w14:paraId="0FF15E2E"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9" w:type="dxa"/>
            <w:tcBorders>
              <w:top w:val="nil"/>
              <w:left w:val="nil"/>
              <w:bottom w:val="single" w:sz="8" w:space="0" w:color="95B3D7"/>
              <w:right w:val="nil"/>
            </w:tcBorders>
            <w:shd w:val="clear" w:color="auto" w:fill="DBE5F1"/>
            <w:vAlign w:val="bottom"/>
            <w:hideMark/>
          </w:tcPr>
          <w:p w14:paraId="39B6C29C"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879" w:type="dxa"/>
            <w:tcBorders>
              <w:top w:val="nil"/>
              <w:left w:val="nil"/>
              <w:bottom w:val="single" w:sz="8" w:space="0" w:color="95B3D7"/>
              <w:right w:val="nil"/>
            </w:tcBorders>
            <w:shd w:val="clear" w:color="auto" w:fill="DBE5F1"/>
            <w:vAlign w:val="bottom"/>
            <w:hideMark/>
          </w:tcPr>
          <w:p w14:paraId="3354A17B"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14</w:t>
            </w:r>
          </w:p>
        </w:tc>
      </w:tr>
      <w:tr w:rsidR="005370C8" w:rsidRPr="005370C8" w14:paraId="2E3F80E7" w14:textId="77777777" w:rsidTr="216CB62F">
        <w:trPr>
          <w:trHeight w:val="1038"/>
        </w:trPr>
        <w:tc>
          <w:tcPr>
            <w:tcW w:w="4929" w:type="dxa"/>
            <w:tcBorders>
              <w:top w:val="nil"/>
              <w:left w:val="nil"/>
              <w:bottom w:val="single" w:sz="8" w:space="0" w:color="95B3D7"/>
              <w:right w:val="nil"/>
            </w:tcBorders>
            <w:vAlign w:val="center"/>
            <w:hideMark/>
          </w:tcPr>
          <w:p w14:paraId="7F7AEE7F"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204 Greenhouse gas holding lease (all types)</w:t>
            </w:r>
            <w:r w:rsidRPr="005370C8">
              <w:rPr>
                <w:rFonts w:ascii="Calibri" w:eastAsia="Times New Roman" w:hAnsi="Calibri" w:cs="Calibri"/>
                <w:color w:val="17365D"/>
                <w:lang w:eastAsia="en-AU"/>
              </w:rPr>
              <w:br/>
              <w:t>Cross-boundary greenhouse gas holding lease (all types), including special cross-boundary GHG holding lease (s342A)</w:t>
            </w:r>
            <w:r w:rsidRPr="005370C8">
              <w:rPr>
                <w:rFonts w:ascii="Calibri" w:eastAsia="Times New Roman" w:hAnsi="Calibri" w:cs="Calibri"/>
                <w:color w:val="17365D"/>
                <w:lang w:eastAsia="en-AU"/>
              </w:rPr>
              <w:br/>
              <w:t>Special greenhouse gas holding lease (s336)</w:t>
            </w:r>
          </w:p>
        </w:tc>
        <w:tc>
          <w:tcPr>
            <w:tcW w:w="1099" w:type="dxa"/>
            <w:tcBorders>
              <w:top w:val="nil"/>
              <w:left w:val="nil"/>
              <w:bottom w:val="single" w:sz="8" w:space="0" w:color="95B3D7"/>
              <w:right w:val="nil"/>
            </w:tcBorders>
            <w:vAlign w:val="bottom"/>
            <w:hideMark/>
          </w:tcPr>
          <w:p w14:paraId="2A1C86A8"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w:t>
            </w:r>
          </w:p>
        </w:tc>
        <w:tc>
          <w:tcPr>
            <w:tcW w:w="1116" w:type="dxa"/>
            <w:tcBorders>
              <w:top w:val="nil"/>
              <w:left w:val="nil"/>
              <w:bottom w:val="single" w:sz="8" w:space="0" w:color="95B3D7"/>
              <w:right w:val="nil"/>
            </w:tcBorders>
            <w:vAlign w:val="bottom"/>
            <w:hideMark/>
          </w:tcPr>
          <w:p w14:paraId="2366B313"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8" w:type="dxa"/>
            <w:tcBorders>
              <w:top w:val="nil"/>
              <w:left w:val="nil"/>
              <w:bottom w:val="single" w:sz="8" w:space="0" w:color="95B3D7"/>
              <w:right w:val="nil"/>
            </w:tcBorders>
            <w:vAlign w:val="bottom"/>
            <w:hideMark/>
          </w:tcPr>
          <w:p w14:paraId="35F0A3CA"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vAlign w:val="bottom"/>
            <w:hideMark/>
          </w:tcPr>
          <w:p w14:paraId="6BC84596"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   </w:t>
            </w:r>
          </w:p>
        </w:tc>
        <w:tc>
          <w:tcPr>
            <w:tcW w:w="879" w:type="dxa"/>
            <w:tcBorders>
              <w:top w:val="nil"/>
              <w:left w:val="nil"/>
              <w:bottom w:val="single" w:sz="8" w:space="0" w:color="95B3D7"/>
              <w:right w:val="nil"/>
            </w:tcBorders>
            <w:vAlign w:val="bottom"/>
            <w:hideMark/>
          </w:tcPr>
          <w:p w14:paraId="7D227716"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18</w:t>
            </w:r>
          </w:p>
        </w:tc>
      </w:tr>
      <w:tr w:rsidR="005370C8" w:rsidRPr="005370C8" w14:paraId="34D194FE" w14:textId="77777777" w:rsidTr="216CB62F">
        <w:trPr>
          <w:trHeight w:val="780"/>
        </w:trPr>
        <w:tc>
          <w:tcPr>
            <w:tcW w:w="4929" w:type="dxa"/>
            <w:tcBorders>
              <w:top w:val="nil"/>
              <w:left w:val="nil"/>
              <w:bottom w:val="single" w:sz="8" w:space="0" w:color="95B3D7"/>
              <w:right w:val="nil"/>
            </w:tcBorders>
            <w:shd w:val="clear" w:color="auto" w:fill="DBE5F1"/>
            <w:vAlign w:val="center"/>
            <w:hideMark/>
          </w:tcPr>
          <w:p w14:paraId="5540E5C6"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205 Renewal of greenhouse gas holding lease (s347)</w:t>
            </w:r>
            <w:r w:rsidRPr="005370C8">
              <w:rPr>
                <w:rFonts w:ascii="Calibri" w:eastAsia="Times New Roman" w:hAnsi="Calibri" w:cs="Calibri"/>
                <w:color w:val="17365D"/>
                <w:lang w:eastAsia="en-AU"/>
              </w:rPr>
              <w:br/>
              <w:t>Renewal of cross-boundary greenhouse gas holding lease (350A)</w:t>
            </w:r>
          </w:p>
        </w:tc>
        <w:tc>
          <w:tcPr>
            <w:tcW w:w="1099" w:type="dxa"/>
            <w:tcBorders>
              <w:top w:val="nil"/>
              <w:left w:val="nil"/>
              <w:bottom w:val="single" w:sz="8" w:space="0" w:color="95B3D7"/>
              <w:right w:val="nil"/>
            </w:tcBorders>
            <w:shd w:val="clear" w:color="auto" w:fill="DBE5F1"/>
            <w:vAlign w:val="bottom"/>
            <w:hideMark/>
          </w:tcPr>
          <w:p w14:paraId="35BBBE30"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w:t>
            </w:r>
          </w:p>
        </w:tc>
        <w:tc>
          <w:tcPr>
            <w:tcW w:w="1116" w:type="dxa"/>
            <w:tcBorders>
              <w:top w:val="nil"/>
              <w:left w:val="nil"/>
              <w:bottom w:val="single" w:sz="8" w:space="0" w:color="95B3D7"/>
              <w:right w:val="nil"/>
            </w:tcBorders>
            <w:shd w:val="clear" w:color="auto" w:fill="DBE5F1"/>
            <w:vAlign w:val="bottom"/>
            <w:hideMark/>
          </w:tcPr>
          <w:p w14:paraId="7E7C086E"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8" w:type="dxa"/>
            <w:tcBorders>
              <w:top w:val="nil"/>
              <w:left w:val="nil"/>
              <w:bottom w:val="single" w:sz="8" w:space="0" w:color="95B3D7"/>
              <w:right w:val="nil"/>
            </w:tcBorders>
            <w:shd w:val="clear" w:color="auto" w:fill="DBE5F1"/>
            <w:vAlign w:val="bottom"/>
            <w:hideMark/>
          </w:tcPr>
          <w:p w14:paraId="775C71B9"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shd w:val="clear" w:color="auto" w:fill="DBE5F1"/>
            <w:vAlign w:val="bottom"/>
            <w:hideMark/>
          </w:tcPr>
          <w:p w14:paraId="3083B986"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   </w:t>
            </w:r>
          </w:p>
        </w:tc>
        <w:tc>
          <w:tcPr>
            <w:tcW w:w="879" w:type="dxa"/>
            <w:tcBorders>
              <w:top w:val="nil"/>
              <w:left w:val="nil"/>
              <w:bottom w:val="single" w:sz="8" w:space="0" w:color="95B3D7"/>
              <w:right w:val="nil"/>
            </w:tcBorders>
            <w:shd w:val="clear" w:color="auto" w:fill="DBE5F1"/>
            <w:vAlign w:val="bottom"/>
            <w:hideMark/>
          </w:tcPr>
          <w:p w14:paraId="48711223"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18</w:t>
            </w:r>
          </w:p>
        </w:tc>
      </w:tr>
      <w:tr w:rsidR="005370C8" w:rsidRPr="005370C8" w14:paraId="2FC3E5C1" w14:textId="77777777" w:rsidTr="216CB62F">
        <w:trPr>
          <w:trHeight w:val="523"/>
        </w:trPr>
        <w:tc>
          <w:tcPr>
            <w:tcW w:w="4929" w:type="dxa"/>
            <w:tcBorders>
              <w:top w:val="nil"/>
              <w:left w:val="nil"/>
              <w:bottom w:val="single" w:sz="8" w:space="0" w:color="95B3D7"/>
              <w:right w:val="nil"/>
            </w:tcBorders>
            <w:vAlign w:val="center"/>
            <w:hideMark/>
          </w:tcPr>
          <w:p w14:paraId="674DAAAA"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206 Greenhouse gas injection licence (s369)</w:t>
            </w:r>
            <w:r w:rsidRPr="005370C8">
              <w:rPr>
                <w:rFonts w:ascii="Calibri" w:eastAsia="Times New Roman" w:hAnsi="Calibri" w:cs="Calibri"/>
                <w:color w:val="17365D"/>
                <w:lang w:eastAsia="en-AU"/>
              </w:rPr>
              <w:br/>
              <w:t>Cross-boundary greenhouse gas injection licence (s368A)</w:t>
            </w:r>
          </w:p>
        </w:tc>
        <w:tc>
          <w:tcPr>
            <w:tcW w:w="1099" w:type="dxa"/>
            <w:tcBorders>
              <w:top w:val="nil"/>
              <w:left w:val="nil"/>
              <w:bottom w:val="single" w:sz="8" w:space="0" w:color="95B3D7"/>
              <w:right w:val="nil"/>
            </w:tcBorders>
            <w:vAlign w:val="bottom"/>
            <w:hideMark/>
          </w:tcPr>
          <w:p w14:paraId="29992628"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w:t>
            </w:r>
          </w:p>
        </w:tc>
        <w:tc>
          <w:tcPr>
            <w:tcW w:w="1116" w:type="dxa"/>
            <w:tcBorders>
              <w:top w:val="nil"/>
              <w:left w:val="nil"/>
              <w:bottom w:val="single" w:sz="8" w:space="0" w:color="95B3D7"/>
              <w:right w:val="nil"/>
            </w:tcBorders>
            <w:vAlign w:val="bottom"/>
            <w:hideMark/>
          </w:tcPr>
          <w:p w14:paraId="7359A3AC"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40,000 </w:t>
            </w:r>
          </w:p>
        </w:tc>
        <w:tc>
          <w:tcPr>
            <w:tcW w:w="1098" w:type="dxa"/>
            <w:tcBorders>
              <w:top w:val="nil"/>
              <w:left w:val="nil"/>
              <w:bottom w:val="single" w:sz="8" w:space="0" w:color="95B3D7"/>
              <w:right w:val="nil"/>
            </w:tcBorders>
            <w:vAlign w:val="bottom"/>
            <w:hideMark/>
          </w:tcPr>
          <w:p w14:paraId="50E8E0D7"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40,000 </w:t>
            </w:r>
          </w:p>
        </w:tc>
        <w:tc>
          <w:tcPr>
            <w:tcW w:w="1099" w:type="dxa"/>
            <w:tcBorders>
              <w:top w:val="nil"/>
              <w:left w:val="nil"/>
              <w:bottom w:val="single" w:sz="8" w:space="0" w:color="95B3D7"/>
              <w:right w:val="nil"/>
            </w:tcBorders>
            <w:vAlign w:val="bottom"/>
            <w:hideMark/>
          </w:tcPr>
          <w:p w14:paraId="11066C8E"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40,000 </w:t>
            </w:r>
          </w:p>
        </w:tc>
        <w:tc>
          <w:tcPr>
            <w:tcW w:w="879" w:type="dxa"/>
            <w:tcBorders>
              <w:top w:val="nil"/>
              <w:left w:val="nil"/>
              <w:bottom w:val="single" w:sz="8" w:space="0" w:color="95B3D7"/>
              <w:right w:val="nil"/>
            </w:tcBorders>
            <w:vAlign w:val="bottom"/>
            <w:hideMark/>
          </w:tcPr>
          <w:p w14:paraId="3E7F2BE6"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19</w:t>
            </w:r>
          </w:p>
        </w:tc>
      </w:tr>
      <w:tr w:rsidR="005370C8" w:rsidRPr="005370C8" w14:paraId="7900259B" w14:textId="77777777" w:rsidTr="216CB62F">
        <w:trPr>
          <w:trHeight w:val="318"/>
        </w:trPr>
        <w:tc>
          <w:tcPr>
            <w:tcW w:w="4929" w:type="dxa"/>
            <w:tcBorders>
              <w:top w:val="nil"/>
              <w:left w:val="nil"/>
              <w:bottom w:val="single" w:sz="8" w:space="0" w:color="95B3D7"/>
              <w:right w:val="nil"/>
            </w:tcBorders>
            <w:shd w:val="clear" w:color="auto" w:fill="DBE5F1"/>
            <w:vAlign w:val="center"/>
            <w:hideMark/>
          </w:tcPr>
          <w:p w14:paraId="0951F6BB"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207 Greenhouse gas search authority (s407)</w:t>
            </w:r>
          </w:p>
        </w:tc>
        <w:tc>
          <w:tcPr>
            <w:tcW w:w="1099" w:type="dxa"/>
            <w:tcBorders>
              <w:top w:val="nil"/>
              <w:left w:val="nil"/>
              <w:bottom w:val="single" w:sz="8" w:space="0" w:color="95B3D7"/>
              <w:right w:val="nil"/>
            </w:tcBorders>
            <w:shd w:val="clear" w:color="auto" w:fill="DBE5F1"/>
            <w:vAlign w:val="bottom"/>
            <w:hideMark/>
          </w:tcPr>
          <w:p w14:paraId="287320B4"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w:t>
            </w:r>
          </w:p>
        </w:tc>
        <w:tc>
          <w:tcPr>
            <w:tcW w:w="1116" w:type="dxa"/>
            <w:tcBorders>
              <w:top w:val="nil"/>
              <w:left w:val="nil"/>
              <w:bottom w:val="single" w:sz="8" w:space="0" w:color="95B3D7"/>
              <w:right w:val="nil"/>
            </w:tcBorders>
            <w:shd w:val="clear" w:color="auto" w:fill="DBE5F1"/>
            <w:vAlign w:val="bottom"/>
            <w:hideMark/>
          </w:tcPr>
          <w:p w14:paraId="63BA58C7"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10,000 </w:t>
            </w:r>
          </w:p>
        </w:tc>
        <w:tc>
          <w:tcPr>
            <w:tcW w:w="1098" w:type="dxa"/>
            <w:tcBorders>
              <w:top w:val="nil"/>
              <w:left w:val="nil"/>
              <w:bottom w:val="single" w:sz="8" w:space="0" w:color="95B3D7"/>
              <w:right w:val="nil"/>
            </w:tcBorders>
            <w:shd w:val="clear" w:color="auto" w:fill="DBE5F1"/>
            <w:vAlign w:val="bottom"/>
            <w:hideMark/>
          </w:tcPr>
          <w:p w14:paraId="7EECBDC1"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10,000 </w:t>
            </w:r>
          </w:p>
        </w:tc>
        <w:tc>
          <w:tcPr>
            <w:tcW w:w="1099" w:type="dxa"/>
            <w:tcBorders>
              <w:top w:val="nil"/>
              <w:left w:val="nil"/>
              <w:bottom w:val="single" w:sz="8" w:space="0" w:color="95B3D7"/>
              <w:right w:val="nil"/>
            </w:tcBorders>
            <w:shd w:val="clear" w:color="auto" w:fill="DBE5F1"/>
            <w:vAlign w:val="bottom"/>
            <w:hideMark/>
          </w:tcPr>
          <w:p w14:paraId="5B3891CB"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   </w:t>
            </w:r>
          </w:p>
        </w:tc>
        <w:tc>
          <w:tcPr>
            <w:tcW w:w="879" w:type="dxa"/>
            <w:tcBorders>
              <w:top w:val="nil"/>
              <w:left w:val="nil"/>
              <w:bottom w:val="single" w:sz="8" w:space="0" w:color="95B3D7"/>
              <w:right w:val="nil"/>
            </w:tcBorders>
            <w:shd w:val="clear" w:color="auto" w:fill="DBE5F1"/>
            <w:vAlign w:val="bottom"/>
            <w:hideMark/>
          </w:tcPr>
          <w:p w14:paraId="243DFC2E"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20</w:t>
            </w:r>
          </w:p>
        </w:tc>
      </w:tr>
      <w:tr w:rsidR="005370C8" w:rsidRPr="005370C8" w14:paraId="74AE24CA" w14:textId="77777777" w:rsidTr="216CB62F">
        <w:trPr>
          <w:trHeight w:val="318"/>
        </w:trPr>
        <w:tc>
          <w:tcPr>
            <w:tcW w:w="4929" w:type="dxa"/>
            <w:tcBorders>
              <w:top w:val="nil"/>
              <w:left w:val="nil"/>
              <w:bottom w:val="single" w:sz="8" w:space="0" w:color="95B3D7"/>
              <w:right w:val="nil"/>
            </w:tcBorders>
            <w:vAlign w:val="center"/>
            <w:hideMark/>
          </w:tcPr>
          <w:p w14:paraId="15AFB4A8"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208 Greenhouse gas site closing certificate (s386)</w:t>
            </w:r>
          </w:p>
        </w:tc>
        <w:tc>
          <w:tcPr>
            <w:tcW w:w="1099" w:type="dxa"/>
            <w:tcBorders>
              <w:top w:val="nil"/>
              <w:left w:val="nil"/>
              <w:bottom w:val="single" w:sz="8" w:space="0" w:color="95B3D7"/>
              <w:right w:val="nil"/>
            </w:tcBorders>
            <w:vAlign w:val="bottom"/>
            <w:hideMark/>
          </w:tcPr>
          <w:p w14:paraId="10B24290"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w:t>
            </w:r>
          </w:p>
        </w:tc>
        <w:tc>
          <w:tcPr>
            <w:tcW w:w="1116" w:type="dxa"/>
            <w:tcBorders>
              <w:top w:val="nil"/>
              <w:left w:val="nil"/>
              <w:bottom w:val="single" w:sz="8" w:space="0" w:color="95B3D7"/>
              <w:right w:val="nil"/>
            </w:tcBorders>
            <w:vAlign w:val="bottom"/>
            <w:hideMark/>
          </w:tcPr>
          <w:p w14:paraId="21B04443"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18,000 </w:t>
            </w:r>
          </w:p>
        </w:tc>
        <w:tc>
          <w:tcPr>
            <w:tcW w:w="1098" w:type="dxa"/>
            <w:tcBorders>
              <w:top w:val="nil"/>
              <w:left w:val="nil"/>
              <w:bottom w:val="single" w:sz="8" w:space="0" w:color="95B3D7"/>
              <w:right w:val="nil"/>
            </w:tcBorders>
            <w:vAlign w:val="bottom"/>
            <w:hideMark/>
          </w:tcPr>
          <w:p w14:paraId="02378FCA" w14:textId="7584ABDE" w:rsidR="005370C8" w:rsidRPr="005370C8" w:rsidRDefault="005370C8" w:rsidP="005370C8">
            <w:pPr>
              <w:spacing w:after="0" w:line="240" w:lineRule="auto"/>
              <w:rPr>
                <w:rFonts w:ascii="Calibri" w:eastAsia="Times New Roman" w:hAnsi="Calibri" w:cs="Calibri"/>
                <w:color w:val="17365D"/>
                <w:lang w:eastAsia="en-AU"/>
              </w:rPr>
            </w:pPr>
            <w:r w:rsidRPr="6915E924">
              <w:rPr>
                <w:rFonts w:ascii="Calibri" w:eastAsia="Times New Roman" w:hAnsi="Calibri" w:cs="Calibri"/>
                <w:color w:val="17365D"/>
                <w:lang w:eastAsia="en-AU"/>
              </w:rPr>
              <w:t xml:space="preserve">          </w:t>
            </w:r>
            <w:r w:rsidR="64251D0D" w:rsidRPr="6915E924">
              <w:rPr>
                <w:rFonts w:ascii="Calibri" w:eastAsia="Times New Roman" w:hAnsi="Calibri" w:cs="Calibri"/>
                <w:color w:val="17365D"/>
                <w:lang w:eastAsia="en-AU"/>
              </w:rPr>
              <w:t>40</w:t>
            </w:r>
            <w:r w:rsidRPr="6915E924">
              <w:rPr>
                <w:rFonts w:ascii="Calibri" w:eastAsia="Times New Roman" w:hAnsi="Calibri" w:cs="Calibri"/>
                <w:color w:val="17365D"/>
                <w:lang w:eastAsia="en-AU"/>
              </w:rPr>
              <w:t>,</w:t>
            </w:r>
            <w:r w:rsidR="1A5CBBE6" w:rsidRPr="6915E924">
              <w:rPr>
                <w:rFonts w:ascii="Calibri" w:eastAsia="Times New Roman" w:hAnsi="Calibri" w:cs="Calibri"/>
                <w:color w:val="17365D"/>
                <w:lang w:eastAsia="en-AU"/>
              </w:rPr>
              <w:t>0</w:t>
            </w:r>
            <w:r w:rsidRPr="6915E924">
              <w:rPr>
                <w:rFonts w:ascii="Calibri" w:eastAsia="Times New Roman" w:hAnsi="Calibri" w:cs="Calibri"/>
                <w:color w:val="17365D"/>
                <w:lang w:eastAsia="en-AU"/>
              </w:rPr>
              <w:t xml:space="preserve">00 </w:t>
            </w:r>
          </w:p>
        </w:tc>
        <w:tc>
          <w:tcPr>
            <w:tcW w:w="1099" w:type="dxa"/>
            <w:tcBorders>
              <w:top w:val="nil"/>
              <w:left w:val="nil"/>
              <w:bottom w:val="single" w:sz="8" w:space="0" w:color="95B3D7"/>
              <w:right w:val="nil"/>
            </w:tcBorders>
            <w:vAlign w:val="bottom"/>
            <w:hideMark/>
          </w:tcPr>
          <w:p w14:paraId="2893FCDE"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   </w:t>
            </w:r>
          </w:p>
        </w:tc>
        <w:tc>
          <w:tcPr>
            <w:tcW w:w="879" w:type="dxa"/>
            <w:tcBorders>
              <w:top w:val="nil"/>
              <w:left w:val="nil"/>
              <w:bottom w:val="single" w:sz="8" w:space="0" w:color="95B3D7"/>
              <w:right w:val="nil"/>
            </w:tcBorders>
            <w:vAlign w:val="bottom"/>
            <w:hideMark/>
          </w:tcPr>
          <w:p w14:paraId="5058AB3D" w14:textId="7E642285" w:rsidR="005370C8" w:rsidRPr="005370C8" w:rsidRDefault="005370C8" w:rsidP="005370C8">
            <w:pPr>
              <w:spacing w:after="0" w:line="240" w:lineRule="auto"/>
              <w:jc w:val="center"/>
              <w:rPr>
                <w:rFonts w:ascii="Calibri" w:eastAsia="Times New Roman" w:hAnsi="Calibri" w:cs="Calibri"/>
                <w:color w:val="17365D"/>
                <w:lang w:eastAsia="en-AU"/>
              </w:rPr>
            </w:pPr>
            <w:r w:rsidRPr="216CB62F">
              <w:rPr>
                <w:rFonts w:ascii="Calibri" w:eastAsia="Times New Roman" w:hAnsi="Calibri" w:cs="Calibri"/>
                <w:color w:val="17365D"/>
                <w:lang w:eastAsia="en-AU"/>
              </w:rPr>
              <w:t>1</w:t>
            </w:r>
            <w:r w:rsidR="124F6619" w:rsidRPr="216CB62F">
              <w:rPr>
                <w:rFonts w:ascii="Calibri" w:eastAsia="Times New Roman" w:hAnsi="Calibri" w:cs="Calibri"/>
                <w:color w:val="17365D"/>
                <w:lang w:eastAsia="en-AU"/>
              </w:rPr>
              <w:t>9</w:t>
            </w:r>
          </w:p>
        </w:tc>
      </w:tr>
      <w:tr w:rsidR="005370C8" w:rsidRPr="005370C8" w14:paraId="3CEEF4A1" w14:textId="77777777" w:rsidTr="216CB62F">
        <w:trPr>
          <w:trHeight w:val="523"/>
        </w:trPr>
        <w:tc>
          <w:tcPr>
            <w:tcW w:w="4929" w:type="dxa"/>
            <w:tcBorders>
              <w:top w:val="nil"/>
              <w:left w:val="nil"/>
              <w:bottom w:val="single" w:sz="8" w:space="0" w:color="95B3D7"/>
              <w:right w:val="nil"/>
            </w:tcBorders>
            <w:shd w:val="clear" w:color="auto" w:fill="DBE5F1"/>
            <w:vAlign w:val="center"/>
            <w:hideMark/>
          </w:tcPr>
          <w:p w14:paraId="57C64D39"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209 Application for approval of transfer of greenhouse gas title (s525)</w:t>
            </w:r>
          </w:p>
        </w:tc>
        <w:tc>
          <w:tcPr>
            <w:tcW w:w="1099" w:type="dxa"/>
            <w:tcBorders>
              <w:top w:val="nil"/>
              <w:left w:val="nil"/>
              <w:bottom w:val="single" w:sz="8" w:space="0" w:color="95B3D7"/>
              <w:right w:val="nil"/>
            </w:tcBorders>
            <w:shd w:val="clear" w:color="auto" w:fill="DBE5F1"/>
            <w:vAlign w:val="bottom"/>
            <w:hideMark/>
          </w:tcPr>
          <w:p w14:paraId="6D8D56A6"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2</w:t>
            </w:r>
          </w:p>
        </w:tc>
        <w:tc>
          <w:tcPr>
            <w:tcW w:w="1116" w:type="dxa"/>
            <w:tcBorders>
              <w:top w:val="nil"/>
              <w:left w:val="nil"/>
              <w:bottom w:val="single" w:sz="8" w:space="0" w:color="95B3D7"/>
              <w:right w:val="nil"/>
            </w:tcBorders>
            <w:shd w:val="clear" w:color="auto" w:fill="DBE5F1"/>
            <w:vAlign w:val="bottom"/>
            <w:hideMark/>
          </w:tcPr>
          <w:p w14:paraId="6242216D"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10,000 </w:t>
            </w:r>
          </w:p>
        </w:tc>
        <w:tc>
          <w:tcPr>
            <w:tcW w:w="1098" w:type="dxa"/>
            <w:tcBorders>
              <w:top w:val="nil"/>
              <w:left w:val="nil"/>
              <w:bottom w:val="single" w:sz="8" w:space="0" w:color="95B3D7"/>
              <w:right w:val="nil"/>
            </w:tcBorders>
            <w:shd w:val="clear" w:color="auto" w:fill="DBE5F1"/>
            <w:vAlign w:val="bottom"/>
            <w:hideMark/>
          </w:tcPr>
          <w:p w14:paraId="1E094E02"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25,500 </w:t>
            </w:r>
          </w:p>
        </w:tc>
        <w:tc>
          <w:tcPr>
            <w:tcW w:w="1099" w:type="dxa"/>
            <w:tcBorders>
              <w:top w:val="nil"/>
              <w:left w:val="nil"/>
              <w:bottom w:val="single" w:sz="8" w:space="0" w:color="95B3D7"/>
              <w:right w:val="nil"/>
            </w:tcBorders>
            <w:shd w:val="clear" w:color="auto" w:fill="DBE5F1"/>
            <w:vAlign w:val="bottom"/>
            <w:hideMark/>
          </w:tcPr>
          <w:p w14:paraId="66025C6B"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51,000 </w:t>
            </w:r>
          </w:p>
        </w:tc>
        <w:tc>
          <w:tcPr>
            <w:tcW w:w="879" w:type="dxa"/>
            <w:tcBorders>
              <w:top w:val="nil"/>
              <w:left w:val="nil"/>
              <w:bottom w:val="single" w:sz="8" w:space="0" w:color="95B3D7"/>
              <w:right w:val="nil"/>
            </w:tcBorders>
            <w:shd w:val="clear" w:color="auto" w:fill="DBE5F1"/>
            <w:vAlign w:val="bottom"/>
            <w:hideMark/>
          </w:tcPr>
          <w:p w14:paraId="03A06FD5"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22</w:t>
            </w:r>
          </w:p>
        </w:tc>
      </w:tr>
      <w:tr w:rsidR="005370C8" w:rsidRPr="005370C8" w14:paraId="6FF09786" w14:textId="77777777" w:rsidTr="216CB62F">
        <w:trPr>
          <w:trHeight w:val="523"/>
        </w:trPr>
        <w:tc>
          <w:tcPr>
            <w:tcW w:w="4929" w:type="dxa"/>
            <w:tcBorders>
              <w:top w:val="nil"/>
              <w:left w:val="nil"/>
              <w:bottom w:val="single" w:sz="8" w:space="0" w:color="95B3D7"/>
              <w:right w:val="nil"/>
            </w:tcBorders>
            <w:vAlign w:val="center"/>
            <w:hideMark/>
          </w:tcPr>
          <w:p w14:paraId="362B8B72"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210 Approval of dealing relating to greenhouse gas title (s539)</w:t>
            </w:r>
          </w:p>
        </w:tc>
        <w:tc>
          <w:tcPr>
            <w:tcW w:w="1099" w:type="dxa"/>
            <w:tcBorders>
              <w:top w:val="nil"/>
              <w:left w:val="nil"/>
              <w:bottom w:val="single" w:sz="8" w:space="0" w:color="95B3D7"/>
              <w:right w:val="nil"/>
            </w:tcBorders>
            <w:vAlign w:val="bottom"/>
            <w:hideMark/>
          </w:tcPr>
          <w:p w14:paraId="3F916EC7"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5</w:t>
            </w:r>
          </w:p>
        </w:tc>
        <w:tc>
          <w:tcPr>
            <w:tcW w:w="1116" w:type="dxa"/>
            <w:tcBorders>
              <w:top w:val="nil"/>
              <w:left w:val="nil"/>
              <w:bottom w:val="single" w:sz="8" w:space="0" w:color="95B3D7"/>
              <w:right w:val="nil"/>
            </w:tcBorders>
            <w:vAlign w:val="bottom"/>
            <w:hideMark/>
          </w:tcPr>
          <w:p w14:paraId="4953A461"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10,000 </w:t>
            </w:r>
          </w:p>
        </w:tc>
        <w:tc>
          <w:tcPr>
            <w:tcW w:w="1098" w:type="dxa"/>
            <w:tcBorders>
              <w:top w:val="nil"/>
              <w:left w:val="nil"/>
              <w:bottom w:val="single" w:sz="8" w:space="0" w:color="95B3D7"/>
              <w:right w:val="nil"/>
            </w:tcBorders>
            <w:vAlign w:val="bottom"/>
            <w:hideMark/>
          </w:tcPr>
          <w:p w14:paraId="28D60025"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10,000 </w:t>
            </w:r>
          </w:p>
        </w:tc>
        <w:tc>
          <w:tcPr>
            <w:tcW w:w="1099" w:type="dxa"/>
            <w:tcBorders>
              <w:top w:val="nil"/>
              <w:left w:val="nil"/>
              <w:bottom w:val="single" w:sz="8" w:space="0" w:color="95B3D7"/>
              <w:right w:val="nil"/>
            </w:tcBorders>
            <w:vAlign w:val="bottom"/>
            <w:hideMark/>
          </w:tcPr>
          <w:p w14:paraId="34D05C4A"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50,000 </w:t>
            </w:r>
          </w:p>
        </w:tc>
        <w:tc>
          <w:tcPr>
            <w:tcW w:w="879" w:type="dxa"/>
            <w:tcBorders>
              <w:top w:val="nil"/>
              <w:left w:val="nil"/>
              <w:bottom w:val="single" w:sz="8" w:space="0" w:color="95B3D7"/>
              <w:right w:val="nil"/>
            </w:tcBorders>
            <w:vAlign w:val="bottom"/>
            <w:hideMark/>
          </w:tcPr>
          <w:p w14:paraId="38715C59"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21</w:t>
            </w:r>
          </w:p>
        </w:tc>
      </w:tr>
      <w:tr w:rsidR="005370C8" w:rsidRPr="005370C8" w14:paraId="20433ACE" w14:textId="77777777" w:rsidTr="216CB62F">
        <w:trPr>
          <w:trHeight w:val="523"/>
        </w:trPr>
        <w:tc>
          <w:tcPr>
            <w:tcW w:w="4929" w:type="dxa"/>
            <w:tcBorders>
              <w:top w:val="nil"/>
              <w:left w:val="nil"/>
              <w:bottom w:val="single" w:sz="8" w:space="0" w:color="95B3D7"/>
              <w:right w:val="nil"/>
            </w:tcBorders>
            <w:shd w:val="clear" w:color="auto" w:fill="DBE5F1"/>
            <w:vAlign w:val="center"/>
            <w:hideMark/>
          </w:tcPr>
          <w:p w14:paraId="7BF1DDAC"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211 Approval of dealing in future interest relating to greenhouse gas title (s548)</w:t>
            </w:r>
          </w:p>
        </w:tc>
        <w:tc>
          <w:tcPr>
            <w:tcW w:w="1099" w:type="dxa"/>
            <w:tcBorders>
              <w:top w:val="nil"/>
              <w:left w:val="nil"/>
              <w:bottom w:val="single" w:sz="8" w:space="0" w:color="95B3D7"/>
              <w:right w:val="nil"/>
            </w:tcBorders>
            <w:shd w:val="clear" w:color="auto" w:fill="DBE5F1"/>
            <w:vAlign w:val="bottom"/>
            <w:hideMark/>
          </w:tcPr>
          <w:p w14:paraId="08D20234"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w:t>
            </w:r>
          </w:p>
        </w:tc>
        <w:tc>
          <w:tcPr>
            <w:tcW w:w="1116" w:type="dxa"/>
            <w:tcBorders>
              <w:top w:val="nil"/>
              <w:left w:val="nil"/>
              <w:bottom w:val="single" w:sz="8" w:space="0" w:color="95B3D7"/>
              <w:right w:val="nil"/>
            </w:tcBorders>
            <w:shd w:val="clear" w:color="auto" w:fill="DBE5F1"/>
            <w:vAlign w:val="bottom"/>
            <w:hideMark/>
          </w:tcPr>
          <w:p w14:paraId="7BAB3BF6"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10,000 </w:t>
            </w:r>
          </w:p>
        </w:tc>
        <w:tc>
          <w:tcPr>
            <w:tcW w:w="1098" w:type="dxa"/>
            <w:tcBorders>
              <w:top w:val="nil"/>
              <w:left w:val="nil"/>
              <w:bottom w:val="single" w:sz="8" w:space="0" w:color="95B3D7"/>
              <w:right w:val="nil"/>
            </w:tcBorders>
            <w:shd w:val="clear" w:color="auto" w:fill="DBE5F1"/>
            <w:vAlign w:val="bottom"/>
            <w:hideMark/>
          </w:tcPr>
          <w:p w14:paraId="7328399C"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10,000 </w:t>
            </w:r>
          </w:p>
        </w:tc>
        <w:tc>
          <w:tcPr>
            <w:tcW w:w="1099" w:type="dxa"/>
            <w:tcBorders>
              <w:top w:val="nil"/>
              <w:left w:val="nil"/>
              <w:bottom w:val="single" w:sz="8" w:space="0" w:color="95B3D7"/>
              <w:right w:val="nil"/>
            </w:tcBorders>
            <w:shd w:val="clear" w:color="auto" w:fill="DBE5F1"/>
            <w:vAlign w:val="bottom"/>
            <w:hideMark/>
          </w:tcPr>
          <w:p w14:paraId="69370F94"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xml:space="preserve">                   -   </w:t>
            </w:r>
          </w:p>
        </w:tc>
        <w:tc>
          <w:tcPr>
            <w:tcW w:w="879" w:type="dxa"/>
            <w:tcBorders>
              <w:top w:val="nil"/>
              <w:left w:val="nil"/>
              <w:bottom w:val="single" w:sz="8" w:space="0" w:color="95B3D7"/>
              <w:right w:val="nil"/>
            </w:tcBorders>
            <w:shd w:val="clear" w:color="auto" w:fill="DBE5F1"/>
            <w:vAlign w:val="bottom"/>
            <w:hideMark/>
          </w:tcPr>
          <w:p w14:paraId="005D8EFD" w14:textId="77777777" w:rsidR="005370C8" w:rsidRPr="005370C8" w:rsidRDefault="005370C8" w:rsidP="005370C8">
            <w:pPr>
              <w:spacing w:after="0" w:line="240" w:lineRule="auto"/>
              <w:jc w:val="center"/>
              <w:rPr>
                <w:rFonts w:ascii="Calibri" w:eastAsia="Times New Roman" w:hAnsi="Calibri" w:cs="Calibri"/>
                <w:color w:val="17365D"/>
                <w:lang w:eastAsia="en-AU"/>
              </w:rPr>
            </w:pPr>
            <w:r w:rsidRPr="005370C8">
              <w:rPr>
                <w:rFonts w:ascii="Calibri" w:eastAsia="Times New Roman" w:hAnsi="Calibri" w:cs="Calibri"/>
                <w:color w:val="17365D"/>
                <w:lang w:eastAsia="en-AU"/>
              </w:rPr>
              <w:t>21</w:t>
            </w:r>
          </w:p>
        </w:tc>
      </w:tr>
      <w:tr w:rsidR="005370C8" w:rsidRPr="005370C8" w14:paraId="1C90FEF4" w14:textId="77777777" w:rsidTr="216CB62F">
        <w:trPr>
          <w:trHeight w:val="318"/>
        </w:trPr>
        <w:tc>
          <w:tcPr>
            <w:tcW w:w="4929" w:type="dxa"/>
            <w:tcBorders>
              <w:top w:val="nil"/>
              <w:left w:val="nil"/>
              <w:bottom w:val="single" w:sz="8" w:space="0" w:color="95B3D7"/>
              <w:right w:val="nil"/>
            </w:tcBorders>
            <w:vAlign w:val="center"/>
            <w:hideMark/>
          </w:tcPr>
          <w:p w14:paraId="4E33C1D6" w14:textId="77777777" w:rsidR="005370C8" w:rsidRPr="005370C8" w:rsidRDefault="005370C8" w:rsidP="005370C8">
            <w:pPr>
              <w:spacing w:after="0" w:line="240" w:lineRule="auto"/>
              <w:rPr>
                <w:rFonts w:ascii="Calibri" w:eastAsia="Times New Roman" w:hAnsi="Calibri" w:cs="Calibri"/>
                <w:b/>
                <w:bCs/>
                <w:color w:val="17365D"/>
                <w:lang w:eastAsia="en-AU"/>
              </w:rPr>
            </w:pPr>
            <w:r w:rsidRPr="005370C8">
              <w:rPr>
                <w:rFonts w:ascii="Calibri" w:eastAsia="Times New Roman" w:hAnsi="Calibri" w:cs="Calibri"/>
                <w:b/>
                <w:bCs/>
                <w:color w:val="17365D"/>
                <w:lang w:eastAsia="en-AU"/>
              </w:rPr>
              <w:t>Fee estimate</w:t>
            </w:r>
          </w:p>
        </w:tc>
        <w:tc>
          <w:tcPr>
            <w:tcW w:w="1099" w:type="dxa"/>
            <w:tcBorders>
              <w:top w:val="nil"/>
              <w:left w:val="nil"/>
              <w:bottom w:val="single" w:sz="8" w:space="0" w:color="95B3D7"/>
              <w:right w:val="nil"/>
            </w:tcBorders>
            <w:vAlign w:val="bottom"/>
            <w:hideMark/>
          </w:tcPr>
          <w:p w14:paraId="329FFE2B" w14:textId="77777777" w:rsidR="005370C8" w:rsidRPr="005370C8" w:rsidRDefault="005370C8" w:rsidP="005370C8">
            <w:pPr>
              <w:spacing w:after="0" w:line="240" w:lineRule="auto"/>
              <w:jc w:val="center"/>
              <w:rPr>
                <w:rFonts w:ascii="Calibri" w:eastAsia="Times New Roman" w:hAnsi="Calibri" w:cs="Calibri"/>
                <w:b/>
                <w:bCs/>
                <w:color w:val="17365D"/>
                <w:lang w:eastAsia="en-AU"/>
              </w:rPr>
            </w:pPr>
            <w:r w:rsidRPr="005370C8">
              <w:rPr>
                <w:rFonts w:ascii="Calibri" w:eastAsia="Times New Roman" w:hAnsi="Calibri" w:cs="Calibri"/>
                <w:b/>
                <w:bCs/>
                <w:color w:val="17365D"/>
                <w:lang w:eastAsia="en-AU"/>
              </w:rPr>
              <w:t>270</w:t>
            </w:r>
          </w:p>
        </w:tc>
        <w:tc>
          <w:tcPr>
            <w:tcW w:w="1116" w:type="dxa"/>
            <w:tcBorders>
              <w:top w:val="nil"/>
              <w:left w:val="nil"/>
              <w:bottom w:val="single" w:sz="8" w:space="0" w:color="95B3D7"/>
              <w:right w:val="nil"/>
            </w:tcBorders>
            <w:vAlign w:val="bottom"/>
            <w:hideMark/>
          </w:tcPr>
          <w:p w14:paraId="3EE67FC7"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w:t>
            </w:r>
          </w:p>
        </w:tc>
        <w:tc>
          <w:tcPr>
            <w:tcW w:w="1098" w:type="dxa"/>
            <w:tcBorders>
              <w:top w:val="nil"/>
              <w:left w:val="nil"/>
              <w:bottom w:val="single" w:sz="8" w:space="0" w:color="95B3D7"/>
              <w:right w:val="nil"/>
            </w:tcBorders>
            <w:vAlign w:val="bottom"/>
            <w:hideMark/>
          </w:tcPr>
          <w:p w14:paraId="2BC0CC10"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w:t>
            </w:r>
          </w:p>
        </w:tc>
        <w:tc>
          <w:tcPr>
            <w:tcW w:w="1099" w:type="dxa"/>
            <w:tcBorders>
              <w:top w:val="nil"/>
              <w:left w:val="nil"/>
              <w:bottom w:val="single" w:sz="8" w:space="0" w:color="95B3D7"/>
              <w:right w:val="nil"/>
            </w:tcBorders>
            <w:vAlign w:val="bottom"/>
            <w:hideMark/>
          </w:tcPr>
          <w:p w14:paraId="1E614254" w14:textId="77777777" w:rsidR="005370C8" w:rsidRPr="005370C8" w:rsidRDefault="005370C8" w:rsidP="005370C8">
            <w:pPr>
              <w:spacing w:after="0" w:line="240" w:lineRule="auto"/>
              <w:rPr>
                <w:rFonts w:ascii="Calibri" w:eastAsia="Times New Roman" w:hAnsi="Calibri" w:cs="Calibri"/>
                <w:b/>
                <w:bCs/>
                <w:color w:val="17365D"/>
                <w:lang w:eastAsia="en-AU"/>
              </w:rPr>
            </w:pPr>
            <w:r w:rsidRPr="005370C8">
              <w:rPr>
                <w:rFonts w:ascii="Calibri" w:eastAsia="Times New Roman" w:hAnsi="Calibri" w:cs="Calibri"/>
                <w:b/>
                <w:bCs/>
                <w:color w:val="17365D"/>
                <w:lang w:eastAsia="en-AU"/>
              </w:rPr>
              <w:t xml:space="preserve">    4,983,000 </w:t>
            </w:r>
          </w:p>
        </w:tc>
        <w:tc>
          <w:tcPr>
            <w:tcW w:w="879" w:type="dxa"/>
            <w:tcBorders>
              <w:top w:val="nil"/>
              <w:left w:val="nil"/>
              <w:bottom w:val="single" w:sz="8" w:space="0" w:color="95B3D7"/>
              <w:right w:val="nil"/>
            </w:tcBorders>
            <w:vAlign w:val="bottom"/>
            <w:hideMark/>
          </w:tcPr>
          <w:p w14:paraId="143A530E" w14:textId="77777777" w:rsidR="005370C8" w:rsidRPr="005370C8" w:rsidRDefault="005370C8" w:rsidP="005370C8">
            <w:pPr>
              <w:spacing w:after="0" w:line="240" w:lineRule="auto"/>
              <w:rPr>
                <w:rFonts w:ascii="Calibri" w:eastAsia="Times New Roman" w:hAnsi="Calibri" w:cs="Calibri"/>
                <w:color w:val="17365D"/>
                <w:lang w:eastAsia="en-AU"/>
              </w:rPr>
            </w:pPr>
            <w:r w:rsidRPr="005370C8">
              <w:rPr>
                <w:rFonts w:ascii="Calibri" w:eastAsia="Times New Roman" w:hAnsi="Calibri" w:cs="Calibri"/>
                <w:color w:val="17365D"/>
                <w:lang w:eastAsia="en-AU"/>
              </w:rPr>
              <w:t> </w:t>
            </w:r>
          </w:p>
        </w:tc>
      </w:tr>
    </w:tbl>
    <w:p w14:paraId="4B05DF07" w14:textId="77777777" w:rsidR="005370C8" w:rsidRPr="005370C8" w:rsidRDefault="005370C8" w:rsidP="005370C8"/>
    <w:p w14:paraId="6DC42496" w14:textId="73B638D1" w:rsidR="00F2005F" w:rsidRPr="000E4FC2" w:rsidRDefault="00F2005F" w:rsidP="00F2005F">
      <w:pPr>
        <w:rPr>
          <w:rFonts w:cstheme="minorHAnsi"/>
        </w:rPr>
        <w:sectPr w:rsidR="00F2005F" w:rsidRPr="000E4FC2" w:rsidSect="002314F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08"/>
          <w:docGrid w:linePitch="360"/>
        </w:sectPr>
      </w:pPr>
    </w:p>
    <w:p w14:paraId="22CF7B8B" w14:textId="47C43A16" w:rsidR="00016586" w:rsidRPr="00D57921" w:rsidRDefault="00016586" w:rsidP="00AF30D7">
      <w:pPr>
        <w:pStyle w:val="Heading1"/>
        <w:numPr>
          <w:ilvl w:val="0"/>
          <w:numId w:val="2"/>
        </w:numPr>
      </w:pPr>
      <w:bookmarkStart w:id="30" w:name="_Toc215752350"/>
      <w:r w:rsidRPr="00D57921">
        <w:t>RISK ASSESSMENT</w:t>
      </w:r>
      <w:bookmarkEnd w:id="30"/>
    </w:p>
    <w:p w14:paraId="1A9DEF7D" w14:textId="309A882F" w:rsidR="0003248A" w:rsidRDefault="0003248A" w:rsidP="0003248A">
      <w:pPr>
        <w:pStyle w:val="CommentText"/>
        <w:spacing w:after="0"/>
        <w:rPr>
          <w:iCs/>
        </w:rPr>
      </w:pPr>
      <w:r w:rsidRPr="0003248A">
        <w:rPr>
          <w:iCs/>
        </w:rPr>
        <w:t xml:space="preserve">In accordance with the Australian Government’s Charging Framework a Charging Risk Assessment (CRA) was undertaken. The overall CRA rating for this CRIS has been assessed </w:t>
      </w:r>
      <w:r w:rsidRPr="003440DE">
        <w:rPr>
          <w:iCs/>
        </w:rPr>
        <w:t xml:space="preserve">as </w:t>
      </w:r>
      <w:r w:rsidR="006930C4" w:rsidRPr="003440DE">
        <w:rPr>
          <w:iCs/>
        </w:rPr>
        <w:t>medium</w:t>
      </w:r>
      <w:r w:rsidR="003440DE" w:rsidRPr="003440DE">
        <w:rPr>
          <w:iCs/>
        </w:rPr>
        <w:t xml:space="preserve">. </w:t>
      </w:r>
      <w:r w:rsidR="00C50B5D" w:rsidRPr="003440DE">
        <w:rPr>
          <w:iCs/>
        </w:rPr>
        <w:t>This</w:t>
      </w:r>
      <w:r w:rsidR="00C50B5D">
        <w:rPr>
          <w:iCs/>
        </w:rPr>
        <w:t xml:space="preserve"> CRIS has been rated medium risk rather than low risk due </w:t>
      </w:r>
      <w:r w:rsidR="0095056F">
        <w:rPr>
          <w:iCs/>
        </w:rPr>
        <w:t xml:space="preserve">to </w:t>
      </w:r>
      <w:r w:rsidR="00575653">
        <w:rPr>
          <w:iCs/>
        </w:rPr>
        <w:t xml:space="preserve">the CRA criteria </w:t>
      </w:r>
      <w:r w:rsidR="0095056F">
        <w:rPr>
          <w:iCs/>
        </w:rPr>
        <w:t>outlined below:</w:t>
      </w:r>
    </w:p>
    <w:p w14:paraId="5A2F3637" w14:textId="3EFAC936" w:rsidR="0095056F" w:rsidRDefault="00C02997" w:rsidP="0095056F">
      <w:pPr>
        <w:pStyle w:val="CommentText"/>
        <w:numPr>
          <w:ilvl w:val="0"/>
          <w:numId w:val="32"/>
        </w:numPr>
        <w:spacing w:after="0"/>
        <w:rPr>
          <w:iCs/>
        </w:rPr>
      </w:pPr>
      <w:r>
        <w:rPr>
          <w:iCs/>
        </w:rPr>
        <w:t>The cost structure contains both levies and fees</w:t>
      </w:r>
      <w:r w:rsidR="00B74A67">
        <w:rPr>
          <w:iCs/>
        </w:rPr>
        <w:t>, rather than fees only</w:t>
      </w:r>
    </w:p>
    <w:p w14:paraId="7D2AB400" w14:textId="060F9E84" w:rsidR="004D492D" w:rsidRPr="0003248A" w:rsidRDefault="004D492D" w:rsidP="0095056F">
      <w:pPr>
        <w:pStyle w:val="CommentText"/>
        <w:numPr>
          <w:ilvl w:val="0"/>
          <w:numId w:val="32"/>
        </w:numPr>
        <w:spacing w:after="0"/>
        <w:rPr>
          <w:iCs/>
        </w:rPr>
      </w:pPr>
      <w:r>
        <w:rPr>
          <w:iCs/>
        </w:rPr>
        <w:t xml:space="preserve">The highest percentage </w:t>
      </w:r>
      <w:r w:rsidR="00B37454">
        <w:rPr>
          <w:iCs/>
        </w:rPr>
        <w:t>increase in price a payer may experience is greater than 10%</w:t>
      </w:r>
      <w:r w:rsidR="00BD418F">
        <w:rPr>
          <w:iCs/>
        </w:rPr>
        <w:t>.</w:t>
      </w:r>
    </w:p>
    <w:p w14:paraId="37F9519F" w14:textId="77777777" w:rsidR="0003248A" w:rsidRPr="0003248A" w:rsidRDefault="0003248A" w:rsidP="0003248A">
      <w:pPr>
        <w:pStyle w:val="CommentText"/>
        <w:spacing w:after="0"/>
        <w:rPr>
          <w:iCs/>
        </w:rPr>
      </w:pPr>
    </w:p>
    <w:p w14:paraId="72BD17FA" w14:textId="1A5E92E8" w:rsidR="0003248A" w:rsidRPr="0003248A" w:rsidRDefault="004513EE" w:rsidP="0003248A">
      <w:pPr>
        <w:pStyle w:val="CommentText"/>
        <w:spacing w:after="0"/>
        <w:rPr>
          <w:iCs/>
        </w:rPr>
      </w:pPr>
      <w:r>
        <w:rPr>
          <w:iCs/>
        </w:rPr>
        <w:t>A</w:t>
      </w:r>
      <w:r w:rsidR="0003248A" w:rsidRPr="0003248A">
        <w:rPr>
          <w:iCs/>
        </w:rPr>
        <w:t xml:space="preserve"> major financial risk for NOPTA would be a significant </w:t>
      </w:r>
      <w:r w:rsidR="00611255">
        <w:rPr>
          <w:iCs/>
        </w:rPr>
        <w:t>decrease</w:t>
      </w:r>
      <w:r w:rsidR="009224A5">
        <w:rPr>
          <w:iCs/>
        </w:rPr>
        <w:t xml:space="preserve"> in the number of </w:t>
      </w:r>
      <w:r w:rsidR="00BE1DA7">
        <w:rPr>
          <w:iCs/>
        </w:rPr>
        <w:t>titles, specifically retention lease</w:t>
      </w:r>
      <w:r>
        <w:rPr>
          <w:iCs/>
        </w:rPr>
        <w:t>s</w:t>
      </w:r>
      <w:r w:rsidR="00BE1DA7">
        <w:rPr>
          <w:iCs/>
        </w:rPr>
        <w:t xml:space="preserve"> and production licences, given </w:t>
      </w:r>
      <w:proofErr w:type="gramStart"/>
      <w:r w:rsidR="00BE1DA7">
        <w:rPr>
          <w:iCs/>
        </w:rPr>
        <w:t>these</w:t>
      </w:r>
      <w:r w:rsidR="0003248A" w:rsidRPr="0003248A">
        <w:rPr>
          <w:iCs/>
        </w:rPr>
        <w:t xml:space="preserve"> </w:t>
      </w:r>
      <w:r w:rsidR="0001781B">
        <w:rPr>
          <w:iCs/>
        </w:rPr>
        <w:t>two</w:t>
      </w:r>
      <w:r w:rsidR="0079614A">
        <w:rPr>
          <w:iCs/>
        </w:rPr>
        <w:t xml:space="preserve"> title</w:t>
      </w:r>
      <w:proofErr w:type="gramEnd"/>
      <w:r w:rsidR="0079614A">
        <w:rPr>
          <w:iCs/>
        </w:rPr>
        <w:t xml:space="preserve"> types </w:t>
      </w:r>
      <w:r w:rsidR="00B261C6">
        <w:rPr>
          <w:iCs/>
        </w:rPr>
        <w:t>represent a significant pro</w:t>
      </w:r>
      <w:r w:rsidR="00EA2955">
        <w:rPr>
          <w:iCs/>
        </w:rPr>
        <w:t xml:space="preserve">portion of NOPTA’s revenue via the </w:t>
      </w:r>
      <w:r w:rsidR="00611255">
        <w:rPr>
          <w:iCs/>
        </w:rPr>
        <w:t xml:space="preserve">annual levy. </w:t>
      </w:r>
      <w:r w:rsidR="00306F5F" w:rsidRPr="00BE4D82">
        <w:rPr>
          <w:rFonts w:cstheme="minorHAnsi"/>
        </w:rPr>
        <w:t xml:space="preserve">NOPTA’s special account can help manage year-to-year fluctuations </w:t>
      </w:r>
      <w:r w:rsidR="00940C86">
        <w:rPr>
          <w:iCs/>
        </w:rPr>
        <w:t>and</w:t>
      </w:r>
      <w:r w:rsidR="00B14658">
        <w:rPr>
          <w:iCs/>
        </w:rPr>
        <w:t xml:space="preserve"> mitigate exposure to potential downturns in the offshore petroleum industry</w:t>
      </w:r>
      <w:r w:rsidR="00564C0B">
        <w:rPr>
          <w:iCs/>
        </w:rPr>
        <w:t xml:space="preserve"> in the short term</w:t>
      </w:r>
      <w:r w:rsidR="00AC68D1">
        <w:rPr>
          <w:iCs/>
        </w:rPr>
        <w:t xml:space="preserve">. Regular cost recovery reviews </w:t>
      </w:r>
      <w:r w:rsidR="00564C0B">
        <w:rPr>
          <w:iCs/>
        </w:rPr>
        <w:t xml:space="preserve">and CRIS updates </w:t>
      </w:r>
      <w:r w:rsidR="00AC68D1">
        <w:rPr>
          <w:iCs/>
        </w:rPr>
        <w:t>are undertaken to</w:t>
      </w:r>
      <w:r w:rsidR="00D565C3">
        <w:rPr>
          <w:iCs/>
        </w:rPr>
        <w:t xml:space="preserve"> </w:t>
      </w:r>
      <w:r w:rsidR="00564C0B" w:rsidRPr="00BE4D82">
        <w:rPr>
          <w:rFonts w:cstheme="minorHAnsi"/>
        </w:rPr>
        <w:t>manage permanent</w:t>
      </w:r>
      <w:r w:rsidR="00B355C7">
        <w:rPr>
          <w:rFonts w:cstheme="minorHAnsi"/>
        </w:rPr>
        <w:t xml:space="preserve"> </w:t>
      </w:r>
      <w:r w:rsidR="004A58EE">
        <w:rPr>
          <w:rFonts w:cstheme="minorHAnsi"/>
        </w:rPr>
        <w:t>long-term</w:t>
      </w:r>
      <w:r w:rsidR="00564C0B" w:rsidRPr="00BE4D82">
        <w:rPr>
          <w:rFonts w:cstheme="minorHAnsi"/>
        </w:rPr>
        <w:t xml:space="preserve"> changes in volumes or cost profiles that materially impact cost recovery</w:t>
      </w:r>
      <w:r w:rsidR="00564C0B">
        <w:rPr>
          <w:iCs/>
        </w:rPr>
        <w:t>.</w:t>
      </w:r>
      <w:r w:rsidR="00653662">
        <w:rPr>
          <w:iCs/>
        </w:rPr>
        <w:t xml:space="preserve"> </w:t>
      </w:r>
    </w:p>
    <w:p w14:paraId="52A9E797" w14:textId="4BDB7225" w:rsidR="00F2005F" w:rsidRPr="0003248A" w:rsidRDefault="00F2005F" w:rsidP="0003248A">
      <w:pPr>
        <w:pStyle w:val="CommentText"/>
        <w:spacing w:after="0"/>
        <w:rPr>
          <w:iCs/>
        </w:rPr>
      </w:pPr>
    </w:p>
    <w:p w14:paraId="49D206B4" w14:textId="2AA02A24" w:rsidR="00165B41" w:rsidRPr="003F0DF6" w:rsidRDefault="003F0DF6" w:rsidP="00D34C88">
      <w:pPr>
        <w:rPr>
          <w:iCs/>
        </w:rPr>
      </w:pPr>
      <w:r>
        <w:t>NOPTA will continue to monitor the cost recovery arrangements to ensure that they remain cost effective and equitable among titleholders. NOPTA will actively engage with industry representatives, raising issues relating to cost structures as they arise.</w:t>
      </w:r>
    </w:p>
    <w:p w14:paraId="188A814E" w14:textId="769BA4A1" w:rsidR="003E3848" w:rsidRPr="003E3848" w:rsidRDefault="00016586" w:rsidP="003E3848">
      <w:pPr>
        <w:pStyle w:val="Heading1"/>
        <w:numPr>
          <w:ilvl w:val="0"/>
          <w:numId w:val="2"/>
        </w:numPr>
      </w:pPr>
      <w:bookmarkStart w:id="31" w:name="_Toc215752351"/>
      <w:r w:rsidRPr="00D57921">
        <w:t>STAKEHOLDER ENGAGEMENT</w:t>
      </w:r>
      <w:bookmarkEnd w:id="31"/>
    </w:p>
    <w:p w14:paraId="25EB1056" w14:textId="75456754" w:rsidR="00D72DD5" w:rsidRDefault="003E3848" w:rsidP="00D72DD5">
      <w:pPr>
        <w:rPr>
          <w:b/>
          <w:bCs/>
          <w:i/>
          <w:iCs/>
        </w:rPr>
      </w:pPr>
      <w:r w:rsidRPr="003E3848">
        <w:rPr>
          <w:b/>
          <w:bCs/>
          <w:i/>
          <w:iCs/>
        </w:rPr>
        <w:t>Cost recovery consultation</w:t>
      </w:r>
    </w:p>
    <w:p w14:paraId="4FA91BF3" w14:textId="77777777" w:rsidR="00F712DA" w:rsidRDefault="00F712DA" w:rsidP="00F712DA">
      <w:r w:rsidRPr="002E3BE9">
        <w:t xml:space="preserve">NOPTA held an open consultation process on the draft 2026 CRIS between 6-20 November 2025. NOPTA utilised the department's Consultation Hub, the NOPTA website and approached oil and gas industry stakeholders directly via email. Two submissions were received during the industry consultation process. </w:t>
      </w:r>
    </w:p>
    <w:p w14:paraId="559639A3" w14:textId="77777777" w:rsidR="00F712DA" w:rsidRDefault="00F712DA" w:rsidP="00F712DA">
      <w:r w:rsidRPr="002E3BE9">
        <w:t xml:space="preserve">One submission raised concerns that some application fees had been increased by more than others and indicated a preference for a standard percentage increase across all fee types, for example 10 per cent per year. They also suggested the fee and levy increases should equate to shorter assessment timeframes to reduce the burden on industry. The second submission suggested that more work should be done internally to identify efficiencies prior to any further fee and levy increases being proposed. </w:t>
      </w:r>
    </w:p>
    <w:p w14:paraId="06F68157" w14:textId="25A211EB" w:rsidR="00F712DA" w:rsidRPr="002E3BE9" w:rsidRDefault="00F712DA" w:rsidP="00F712DA">
      <w:r w:rsidRPr="002E3BE9">
        <w:t>The feedback was considered in the finalisation of the CRIS. NOPTA ultimately made the decision to pursue the CRIS increase to enable appropriate resourcing to ensure NOPTA maintains a competent capacity as a regulator. It should be noted that price increases are driven by effort as per the Cost Recovery Policy and will not always equate to a flat percentage increase. NOPTA will continue to actively engage with industry representatives.</w:t>
      </w:r>
    </w:p>
    <w:p w14:paraId="11A00025" w14:textId="77777777" w:rsidR="0041178A" w:rsidRPr="00062A66" w:rsidRDefault="0041178A" w:rsidP="00D72DD5"/>
    <w:p w14:paraId="622351A6" w14:textId="755C6F1D" w:rsidR="004933BB" w:rsidRDefault="004933BB" w:rsidP="00D72DD5">
      <w:pPr>
        <w:rPr>
          <w:b/>
          <w:bCs/>
          <w:i/>
          <w:iCs/>
        </w:rPr>
      </w:pPr>
      <w:r w:rsidRPr="004933BB">
        <w:rPr>
          <w:b/>
          <w:bCs/>
          <w:i/>
          <w:iCs/>
        </w:rPr>
        <w:t>NOPTA international benchmarking</w:t>
      </w:r>
    </w:p>
    <w:p w14:paraId="34C20960" w14:textId="4B511380" w:rsidR="004933BB" w:rsidRDefault="0004657B" w:rsidP="00D72DD5">
      <w:r>
        <w:t>In early 2024 NOPTA conducted a benchmarking exercise, based on</w:t>
      </w:r>
      <w:r w:rsidR="00D34DCE">
        <w:t xml:space="preserve"> 2022-23 data</w:t>
      </w:r>
      <w:r w:rsidR="00AA6A60">
        <w:t>, against similar offshore resource petroleum regulators</w:t>
      </w:r>
      <w:r w:rsidR="005845ED">
        <w:t xml:space="preserve"> located in the United Kingdom </w:t>
      </w:r>
      <w:r w:rsidR="00831A06">
        <w:t>(North Sea Transitional Authority (NSTA))</w:t>
      </w:r>
      <w:r w:rsidR="00280EC2">
        <w:t>, Norway (Norwegian Petroleum Directorate (NPD)</w:t>
      </w:r>
      <w:r w:rsidR="004574B6">
        <w:t>), USA (Bureau of Ocean Energy Management (BOEM))</w:t>
      </w:r>
      <w:r w:rsidR="001D4EB6">
        <w:t xml:space="preserve"> and Canada (Canada-Newfoundland &amp; Labrador Offshore Petroleum Board (C-NLOPB)).</w:t>
      </w:r>
      <w:r w:rsidR="00857A6B">
        <w:t xml:space="preserve"> While the scope of work undertaken by each regulator does vary, benchmarking was conducted in relation to regulator activities for offshore petroleum titles only.</w:t>
      </w:r>
    </w:p>
    <w:p w14:paraId="11BAB543" w14:textId="77777777" w:rsidR="00B21D00" w:rsidRDefault="00B21D00" w:rsidP="00B21D00">
      <w:r>
        <w:t>The results suggest that NOPTA has performed well across all key metrics. Specifically, at the end of 2022/23, NOPTA:</w:t>
      </w:r>
    </w:p>
    <w:p w14:paraId="15647026" w14:textId="77777777" w:rsidR="002D0CAB" w:rsidRDefault="00B21D00" w:rsidP="00B21D00">
      <w:pPr>
        <w:pStyle w:val="ListParagraph"/>
        <w:numPr>
          <w:ilvl w:val="0"/>
          <w:numId w:val="30"/>
        </w:numPr>
        <w:rPr>
          <w:rFonts w:asciiTheme="minorHAnsi" w:hAnsiTheme="minorHAnsi" w:cstheme="minorHAnsi"/>
          <w:sz w:val="20"/>
          <w:szCs w:val="20"/>
        </w:rPr>
      </w:pPr>
      <w:r w:rsidRPr="00B21D00">
        <w:rPr>
          <w:rFonts w:asciiTheme="minorHAnsi" w:hAnsiTheme="minorHAnsi" w:cstheme="minorHAnsi"/>
          <w:sz w:val="20"/>
          <w:szCs w:val="20"/>
        </w:rPr>
        <w:t>Managed the largest total acreage under active license (320,162 km</w:t>
      </w:r>
      <w:bookmarkStart w:id="32" w:name="_Hlk168561948"/>
      <w:r w:rsidRPr="00B21D00">
        <w:rPr>
          <w:rFonts w:asciiTheme="minorHAnsi" w:hAnsiTheme="minorHAnsi" w:cstheme="minorHAnsi"/>
          <w:sz w:val="20"/>
          <w:szCs w:val="20"/>
        </w:rPr>
        <w:t>²</w:t>
      </w:r>
      <w:bookmarkEnd w:id="32"/>
      <w:r w:rsidRPr="00B21D00">
        <w:rPr>
          <w:rFonts w:asciiTheme="minorHAnsi" w:hAnsiTheme="minorHAnsi" w:cstheme="minorHAnsi"/>
          <w:sz w:val="20"/>
          <w:szCs w:val="20"/>
        </w:rPr>
        <w:t>). This is more than the total combined acreage of the comparative regulators at 223,923 km².</w:t>
      </w:r>
    </w:p>
    <w:p w14:paraId="75043BBA" w14:textId="77777777" w:rsidR="002D0CAB" w:rsidRPr="002D0CAB" w:rsidRDefault="00B21D00" w:rsidP="00B21D00">
      <w:pPr>
        <w:pStyle w:val="ListParagraph"/>
        <w:numPr>
          <w:ilvl w:val="0"/>
          <w:numId w:val="30"/>
        </w:numPr>
        <w:rPr>
          <w:rFonts w:asciiTheme="minorHAnsi" w:hAnsiTheme="minorHAnsi" w:cstheme="minorHAnsi"/>
          <w:sz w:val="20"/>
          <w:szCs w:val="20"/>
        </w:rPr>
      </w:pPr>
      <w:r w:rsidRPr="002D0CAB">
        <w:rPr>
          <w:rFonts w:asciiTheme="minorHAnsi" w:hAnsiTheme="minorHAnsi" w:cstheme="minorHAnsi"/>
          <w:sz w:val="20"/>
          <w:szCs w:val="20"/>
        </w:rPr>
        <w:t xml:space="preserve">Oversaw more active titles (344) than Canada, although fewer than the USA, UK, and Norway. </w:t>
      </w:r>
    </w:p>
    <w:p w14:paraId="63298CBC" w14:textId="23DCE733" w:rsidR="002D0CAB" w:rsidRPr="002D0CAB" w:rsidRDefault="00B21D00" w:rsidP="00B21D00">
      <w:pPr>
        <w:pStyle w:val="ListParagraph"/>
        <w:numPr>
          <w:ilvl w:val="0"/>
          <w:numId w:val="30"/>
        </w:numPr>
        <w:rPr>
          <w:rFonts w:asciiTheme="minorHAnsi" w:hAnsiTheme="minorHAnsi" w:cstheme="minorHAnsi"/>
          <w:sz w:val="20"/>
          <w:szCs w:val="20"/>
        </w:rPr>
      </w:pPr>
      <w:r w:rsidRPr="002D0CAB">
        <w:rPr>
          <w:rFonts w:asciiTheme="minorHAnsi" w:hAnsiTheme="minorHAnsi" w:cstheme="minorHAnsi"/>
          <w:sz w:val="20"/>
          <w:szCs w:val="20"/>
        </w:rPr>
        <w:t>Had the lowest annual operating budget of all the regulators ($16.965</w:t>
      </w:r>
      <w:r w:rsidR="00BB7E1C">
        <w:rPr>
          <w:rFonts w:asciiTheme="minorHAnsi" w:hAnsiTheme="minorHAnsi" w:cstheme="minorHAnsi"/>
          <w:sz w:val="20"/>
          <w:szCs w:val="20"/>
        </w:rPr>
        <w:t xml:space="preserve"> million</w:t>
      </w:r>
      <w:r w:rsidRPr="002D0CAB">
        <w:rPr>
          <w:rFonts w:asciiTheme="minorHAnsi" w:hAnsiTheme="minorHAnsi" w:cstheme="minorHAnsi"/>
          <w:sz w:val="20"/>
          <w:szCs w:val="20"/>
        </w:rPr>
        <w:t>), and with the smallest full-time equivalent (FTE) headcount (86), achieved the second lowest average annual operating cost per title ($48,333) compared to the other regulators.</w:t>
      </w:r>
    </w:p>
    <w:p w14:paraId="62710213" w14:textId="5F40FC3F" w:rsidR="00B21D00" w:rsidRPr="002C10D3" w:rsidRDefault="00B21D00" w:rsidP="00D72DD5">
      <w:pPr>
        <w:pStyle w:val="ListParagraph"/>
        <w:numPr>
          <w:ilvl w:val="0"/>
          <w:numId w:val="30"/>
        </w:numPr>
        <w:rPr>
          <w:rFonts w:asciiTheme="minorHAnsi" w:hAnsiTheme="minorHAnsi" w:cstheme="minorHAnsi"/>
          <w:sz w:val="20"/>
          <w:szCs w:val="20"/>
        </w:rPr>
      </w:pPr>
      <w:r w:rsidRPr="002D0CAB">
        <w:rPr>
          <w:rFonts w:asciiTheme="minorHAnsi" w:hAnsiTheme="minorHAnsi" w:cstheme="minorHAnsi"/>
          <w:sz w:val="20"/>
          <w:szCs w:val="20"/>
        </w:rPr>
        <w:t>NOPTA has more total GHG acreage under active license (66,741 km</w:t>
      </w:r>
      <w:r w:rsidR="002476E2" w:rsidRPr="00B21D00">
        <w:rPr>
          <w:rFonts w:asciiTheme="minorHAnsi" w:hAnsiTheme="minorHAnsi" w:cstheme="minorHAnsi"/>
          <w:sz w:val="20"/>
          <w:szCs w:val="20"/>
        </w:rPr>
        <w:t>²</w:t>
      </w:r>
      <w:r w:rsidRPr="002D0CAB">
        <w:rPr>
          <w:rFonts w:asciiTheme="minorHAnsi" w:hAnsiTheme="minorHAnsi" w:cstheme="minorHAnsi"/>
          <w:sz w:val="20"/>
          <w:szCs w:val="20"/>
        </w:rPr>
        <w:t>) than the UK (16,469 km</w:t>
      </w:r>
      <w:r w:rsidR="002476E2" w:rsidRPr="00B21D00">
        <w:rPr>
          <w:rFonts w:asciiTheme="minorHAnsi" w:hAnsiTheme="minorHAnsi" w:cstheme="minorHAnsi"/>
          <w:sz w:val="20"/>
          <w:szCs w:val="20"/>
        </w:rPr>
        <w:t>²</w:t>
      </w:r>
      <w:r w:rsidRPr="002D0CAB">
        <w:rPr>
          <w:rFonts w:asciiTheme="minorHAnsi" w:hAnsiTheme="minorHAnsi" w:cstheme="minorHAnsi"/>
          <w:sz w:val="20"/>
          <w:szCs w:val="20"/>
        </w:rPr>
        <w:t>), but NOPTA has fewer active GHG titles (7) than the UK (27).</w:t>
      </w:r>
    </w:p>
    <w:p w14:paraId="2A4D4C27" w14:textId="5DFE6660" w:rsidR="003D5987" w:rsidRPr="00D57921" w:rsidRDefault="00021D3A" w:rsidP="00AF30D7">
      <w:pPr>
        <w:pStyle w:val="Heading1"/>
        <w:numPr>
          <w:ilvl w:val="0"/>
          <w:numId w:val="2"/>
        </w:numPr>
      </w:pPr>
      <w:bookmarkStart w:id="33" w:name="_Toc215752352"/>
      <w:bookmarkStart w:id="34" w:name="_Hlk150170509"/>
      <w:r w:rsidRPr="00D57921">
        <w:t xml:space="preserve">FINANCIAL </w:t>
      </w:r>
      <w:r w:rsidR="00EE2622" w:rsidRPr="00D57921">
        <w:t>PERFORMANCE</w:t>
      </w:r>
      <w:bookmarkEnd w:id="33"/>
      <w:r w:rsidR="00EE2622" w:rsidRPr="00D57921">
        <w:t xml:space="preserve"> </w:t>
      </w:r>
    </w:p>
    <w:p w14:paraId="63F63F6D" w14:textId="0898EABC" w:rsidR="00C75DAE" w:rsidRDefault="00C75DAE" w:rsidP="007C1E69">
      <w:pPr>
        <w:rPr>
          <w:iCs/>
        </w:rPr>
      </w:pPr>
      <w:r w:rsidRPr="00E36048">
        <w:rPr>
          <w:iCs/>
        </w:rPr>
        <w:t xml:space="preserve">Financial estimates are provided below in </w:t>
      </w:r>
      <w:r w:rsidRPr="00E36048">
        <w:rPr>
          <w:i/>
        </w:rPr>
        <w:t>6.1. Financial Estimates</w:t>
      </w:r>
      <w:r w:rsidRPr="00E36048">
        <w:rPr>
          <w:iCs/>
        </w:rPr>
        <w:t xml:space="preserve"> based on increases occurring on </w:t>
      </w:r>
      <w:r w:rsidRPr="000662EF">
        <w:t xml:space="preserve">1 </w:t>
      </w:r>
      <w:r w:rsidR="00E841E1">
        <w:rPr>
          <w:iCs/>
        </w:rPr>
        <w:t>Ma</w:t>
      </w:r>
      <w:r w:rsidR="00006FB0">
        <w:rPr>
          <w:iCs/>
        </w:rPr>
        <w:t>y</w:t>
      </w:r>
      <w:r w:rsidRPr="000662EF">
        <w:t xml:space="preserve"> 202</w:t>
      </w:r>
      <w:r w:rsidR="005D7082">
        <w:t>6</w:t>
      </w:r>
      <w:r w:rsidRPr="00E36048">
        <w:rPr>
          <w:iCs/>
        </w:rPr>
        <w:t>. As</w:t>
      </w:r>
      <w:r>
        <w:rPr>
          <w:iCs/>
        </w:rPr>
        <w:t xml:space="preserve"> financial estimates change, the CRIS will be updated accordingly.</w:t>
      </w:r>
    </w:p>
    <w:p w14:paraId="3F0CE4FA" w14:textId="635E720C" w:rsidR="00C75DAE" w:rsidRPr="00C75DAE" w:rsidRDefault="00C75DAE" w:rsidP="007C1E69">
      <w:pPr>
        <w:rPr>
          <w:iCs/>
        </w:rPr>
      </w:pPr>
      <w:r>
        <w:rPr>
          <w:iCs/>
        </w:rPr>
        <w:t xml:space="preserve">NOPTA will continue to assess fees and levies to ensure they are efficient, and report on cost effectiveness as part of its annual report of </w:t>
      </w:r>
      <w:r w:rsidR="009448A4">
        <w:rPr>
          <w:iCs/>
        </w:rPr>
        <w:t>activities</w:t>
      </w:r>
      <w:r>
        <w:rPr>
          <w:iCs/>
        </w:rPr>
        <w:t>.</w:t>
      </w:r>
    </w:p>
    <w:p w14:paraId="601533FE" w14:textId="67BD4DAE" w:rsidR="00350881" w:rsidRPr="00350881" w:rsidRDefault="007C1E69" w:rsidP="00350881">
      <w:pPr>
        <w:pStyle w:val="Heading2"/>
        <w:numPr>
          <w:ilvl w:val="1"/>
          <w:numId w:val="2"/>
        </w:numPr>
      </w:pPr>
      <w:r>
        <w:t xml:space="preserve"> </w:t>
      </w:r>
      <w:bookmarkStart w:id="35" w:name="_Toc215752353"/>
      <w:r>
        <w:t>Financial Estimates</w:t>
      </w:r>
      <w:bookmarkEnd w:id="35"/>
    </w:p>
    <w:p w14:paraId="35D1092A" w14:textId="77777777" w:rsidR="00350881" w:rsidRDefault="00350881" w:rsidP="0080050D">
      <w:pPr>
        <w:rPr>
          <w:b/>
          <w:bCs/>
          <w:smallCaps/>
          <w:color w:val="595959" w:themeColor="text1" w:themeTint="A6"/>
          <w:spacing w:val="6"/>
        </w:rPr>
      </w:pPr>
    </w:p>
    <w:p w14:paraId="6E9ACB22" w14:textId="5344EC2E" w:rsidR="0080050D" w:rsidRDefault="004979DF" w:rsidP="0080050D">
      <w:pPr>
        <w:rPr>
          <w:b/>
          <w:bCs/>
          <w:smallCaps/>
          <w:color w:val="595959" w:themeColor="text1" w:themeTint="A6"/>
          <w:spacing w:val="6"/>
        </w:rPr>
      </w:pPr>
      <w:r w:rsidRPr="00412A85">
        <w:rPr>
          <w:b/>
          <w:bCs/>
          <w:smallCaps/>
          <w:color w:val="595959" w:themeColor="text1" w:themeTint="A6"/>
          <w:spacing w:val="6"/>
        </w:rPr>
        <w:t xml:space="preserve">Table </w:t>
      </w:r>
      <w:r w:rsidR="00AF228C">
        <w:rPr>
          <w:b/>
          <w:bCs/>
          <w:smallCaps/>
          <w:color w:val="595959" w:themeColor="text1" w:themeTint="A6"/>
          <w:spacing w:val="6"/>
        </w:rPr>
        <w:t>7</w:t>
      </w:r>
      <w:r w:rsidR="00350881" w:rsidRPr="00412A85">
        <w:rPr>
          <w:b/>
          <w:bCs/>
          <w:smallCaps/>
          <w:color w:val="595959" w:themeColor="text1" w:themeTint="A6"/>
          <w:spacing w:val="6"/>
        </w:rPr>
        <w:t xml:space="preserve"> </w:t>
      </w:r>
      <w:proofErr w:type="spellStart"/>
      <w:r w:rsidR="00350881" w:rsidRPr="00412A85">
        <w:rPr>
          <w:b/>
          <w:bCs/>
          <w:smallCaps/>
          <w:color w:val="595959" w:themeColor="text1" w:themeTint="A6"/>
          <w:spacing w:val="6"/>
        </w:rPr>
        <w:t>nopta</w:t>
      </w:r>
      <w:proofErr w:type="spellEnd"/>
      <w:r w:rsidR="00350881" w:rsidRPr="00412A85">
        <w:rPr>
          <w:b/>
          <w:bCs/>
          <w:smallCaps/>
          <w:color w:val="595959" w:themeColor="text1" w:themeTint="A6"/>
          <w:spacing w:val="6"/>
        </w:rPr>
        <w:t xml:space="preserve"> financial estimates from financial year 202</w:t>
      </w:r>
      <w:r w:rsidR="000020BE">
        <w:rPr>
          <w:b/>
          <w:bCs/>
          <w:smallCaps/>
          <w:color w:val="595959" w:themeColor="text1" w:themeTint="A6"/>
          <w:spacing w:val="6"/>
        </w:rPr>
        <w:t>5</w:t>
      </w:r>
      <w:r w:rsidR="00350881" w:rsidRPr="00412A85">
        <w:rPr>
          <w:b/>
          <w:bCs/>
          <w:smallCaps/>
          <w:color w:val="595959" w:themeColor="text1" w:themeTint="A6"/>
          <w:spacing w:val="6"/>
        </w:rPr>
        <w:t>-2</w:t>
      </w:r>
      <w:r w:rsidR="000020BE">
        <w:rPr>
          <w:b/>
          <w:bCs/>
          <w:smallCaps/>
          <w:color w:val="595959" w:themeColor="text1" w:themeTint="A6"/>
          <w:spacing w:val="6"/>
        </w:rPr>
        <w:t>6</w:t>
      </w:r>
      <w:r w:rsidR="00350881" w:rsidRPr="00412A85">
        <w:rPr>
          <w:b/>
          <w:bCs/>
          <w:smallCaps/>
          <w:color w:val="595959" w:themeColor="text1" w:themeTint="A6"/>
          <w:spacing w:val="6"/>
        </w:rPr>
        <w:t xml:space="preserve"> to 2028-29</w:t>
      </w:r>
      <w:r w:rsidR="00006EC0">
        <w:rPr>
          <w:rStyle w:val="FootnoteReference"/>
          <w:b/>
          <w:bCs/>
          <w:smallCaps/>
          <w:spacing w:val="6"/>
        </w:rPr>
        <w:footnoteReference w:id="26"/>
      </w:r>
    </w:p>
    <w:tbl>
      <w:tblPr>
        <w:tblW w:w="7120" w:type="dxa"/>
        <w:tblLook w:val="04A0" w:firstRow="1" w:lastRow="0" w:firstColumn="1" w:lastColumn="0" w:noHBand="0" w:noVBand="1"/>
      </w:tblPr>
      <w:tblGrid>
        <w:gridCol w:w="1860"/>
        <w:gridCol w:w="1420"/>
        <w:gridCol w:w="1360"/>
        <w:gridCol w:w="1280"/>
        <w:gridCol w:w="1200"/>
      </w:tblGrid>
      <w:tr w:rsidR="001C34D3" w:rsidRPr="001C34D3" w14:paraId="18394240" w14:textId="77777777" w:rsidTr="001C34D3">
        <w:trPr>
          <w:trHeight w:val="772"/>
        </w:trPr>
        <w:tc>
          <w:tcPr>
            <w:tcW w:w="1860" w:type="dxa"/>
            <w:vMerge w:val="restart"/>
            <w:tcBorders>
              <w:top w:val="single" w:sz="8" w:space="0" w:color="4F81BD"/>
              <w:left w:val="single" w:sz="8" w:space="0" w:color="4F81BD"/>
              <w:bottom w:val="single" w:sz="8" w:space="0" w:color="4F81BD"/>
              <w:right w:val="nil"/>
            </w:tcBorders>
            <w:shd w:val="clear" w:color="000000" w:fill="4F81BD"/>
            <w:vAlign w:val="center"/>
            <w:hideMark/>
          </w:tcPr>
          <w:p w14:paraId="69B361A2" w14:textId="77777777" w:rsidR="001C34D3" w:rsidRPr="001C34D3" w:rsidRDefault="001C34D3" w:rsidP="001C34D3">
            <w:pPr>
              <w:spacing w:after="0" w:line="240" w:lineRule="auto"/>
              <w:rPr>
                <w:rFonts w:ascii="Calibri" w:eastAsia="Times New Roman" w:hAnsi="Calibri" w:cs="Calibri"/>
                <w:b/>
                <w:bCs/>
                <w:color w:val="FFFFFF"/>
                <w:lang w:eastAsia="en-AU"/>
              </w:rPr>
            </w:pPr>
            <w:r w:rsidRPr="001C34D3">
              <w:rPr>
                <w:rFonts w:ascii="Calibri" w:eastAsia="Times New Roman" w:hAnsi="Calibri" w:cs="Calibri"/>
                <w:b/>
                <w:bCs/>
                <w:color w:val="FFFFFF"/>
                <w:lang w:eastAsia="en-AU"/>
              </w:rPr>
              <w:t>Financial Item</w:t>
            </w:r>
          </w:p>
        </w:tc>
        <w:tc>
          <w:tcPr>
            <w:tcW w:w="1420" w:type="dxa"/>
            <w:tcBorders>
              <w:top w:val="single" w:sz="8" w:space="0" w:color="4F81BD"/>
              <w:left w:val="nil"/>
              <w:bottom w:val="nil"/>
              <w:right w:val="single" w:sz="8" w:space="0" w:color="4F81BD"/>
            </w:tcBorders>
            <w:shd w:val="clear" w:color="000000" w:fill="4F81BD"/>
            <w:vAlign w:val="center"/>
            <w:hideMark/>
          </w:tcPr>
          <w:p w14:paraId="21B585B4" w14:textId="77777777" w:rsidR="001C34D3" w:rsidRPr="001C34D3" w:rsidRDefault="001C34D3" w:rsidP="001C34D3">
            <w:pPr>
              <w:spacing w:after="0" w:line="240" w:lineRule="auto"/>
              <w:jc w:val="center"/>
              <w:rPr>
                <w:rFonts w:ascii="Calibri" w:eastAsia="Times New Roman" w:hAnsi="Calibri" w:cs="Calibri"/>
                <w:b/>
                <w:bCs/>
                <w:color w:val="FFFFFF"/>
                <w:lang w:eastAsia="en-AU"/>
              </w:rPr>
            </w:pPr>
            <w:r w:rsidRPr="001C34D3">
              <w:rPr>
                <w:rFonts w:ascii="Calibri" w:eastAsia="Times New Roman" w:hAnsi="Calibri" w:cs="Calibri"/>
                <w:b/>
                <w:bCs/>
                <w:color w:val="FFFFFF"/>
                <w:lang w:eastAsia="en-AU"/>
              </w:rPr>
              <w:t>2025-26</w:t>
            </w:r>
            <w:r w:rsidRPr="001C34D3">
              <w:rPr>
                <w:rFonts w:ascii="Calibri" w:eastAsia="Times New Roman" w:hAnsi="Calibri" w:cs="Calibri"/>
                <w:b/>
                <w:bCs/>
                <w:color w:val="FFFFFF"/>
                <w:lang w:eastAsia="en-AU"/>
              </w:rPr>
              <w:br/>
              <w:t>Budget</w:t>
            </w:r>
          </w:p>
        </w:tc>
        <w:tc>
          <w:tcPr>
            <w:tcW w:w="1360" w:type="dxa"/>
            <w:tcBorders>
              <w:top w:val="single" w:sz="8" w:space="0" w:color="4F81BD"/>
              <w:left w:val="nil"/>
              <w:bottom w:val="nil"/>
              <w:right w:val="single" w:sz="8" w:space="0" w:color="4F81BD"/>
            </w:tcBorders>
            <w:shd w:val="clear" w:color="000000" w:fill="4F81BD"/>
            <w:vAlign w:val="center"/>
            <w:hideMark/>
          </w:tcPr>
          <w:p w14:paraId="4BD71BEA" w14:textId="77777777" w:rsidR="001C34D3" w:rsidRPr="001C34D3" w:rsidRDefault="001C34D3" w:rsidP="001C34D3">
            <w:pPr>
              <w:spacing w:after="0" w:line="240" w:lineRule="auto"/>
              <w:jc w:val="center"/>
              <w:rPr>
                <w:rFonts w:ascii="Calibri" w:eastAsia="Times New Roman" w:hAnsi="Calibri" w:cs="Calibri"/>
                <w:b/>
                <w:bCs/>
                <w:color w:val="FFFFFF"/>
                <w:lang w:eastAsia="en-AU"/>
              </w:rPr>
            </w:pPr>
            <w:r w:rsidRPr="001C34D3">
              <w:rPr>
                <w:rFonts w:ascii="Calibri" w:eastAsia="Times New Roman" w:hAnsi="Calibri" w:cs="Calibri"/>
                <w:b/>
                <w:bCs/>
                <w:color w:val="FFFFFF"/>
                <w:lang w:eastAsia="en-AU"/>
              </w:rPr>
              <w:t>2026-27</w:t>
            </w:r>
            <w:r w:rsidRPr="001C34D3">
              <w:rPr>
                <w:rFonts w:ascii="Calibri" w:eastAsia="Times New Roman" w:hAnsi="Calibri" w:cs="Calibri"/>
                <w:b/>
                <w:bCs/>
                <w:color w:val="FFFFFF"/>
                <w:lang w:eastAsia="en-AU"/>
              </w:rPr>
              <w:br/>
              <w:t>Forward Estimate</w:t>
            </w:r>
          </w:p>
        </w:tc>
        <w:tc>
          <w:tcPr>
            <w:tcW w:w="1280" w:type="dxa"/>
            <w:tcBorders>
              <w:top w:val="single" w:sz="8" w:space="0" w:color="4F81BD"/>
              <w:left w:val="nil"/>
              <w:bottom w:val="nil"/>
              <w:right w:val="single" w:sz="8" w:space="0" w:color="4F81BD"/>
            </w:tcBorders>
            <w:shd w:val="clear" w:color="000000" w:fill="4F81BD"/>
            <w:vAlign w:val="center"/>
            <w:hideMark/>
          </w:tcPr>
          <w:p w14:paraId="1656AB77" w14:textId="77777777" w:rsidR="001C34D3" w:rsidRPr="001C34D3" w:rsidRDefault="001C34D3" w:rsidP="001C34D3">
            <w:pPr>
              <w:spacing w:after="0" w:line="240" w:lineRule="auto"/>
              <w:jc w:val="center"/>
              <w:rPr>
                <w:rFonts w:ascii="Calibri" w:eastAsia="Times New Roman" w:hAnsi="Calibri" w:cs="Calibri"/>
                <w:b/>
                <w:bCs/>
                <w:color w:val="FFFFFF"/>
                <w:lang w:eastAsia="en-AU"/>
              </w:rPr>
            </w:pPr>
            <w:r w:rsidRPr="001C34D3">
              <w:rPr>
                <w:rFonts w:ascii="Calibri" w:eastAsia="Times New Roman" w:hAnsi="Calibri" w:cs="Calibri"/>
                <w:b/>
                <w:bCs/>
                <w:color w:val="FFFFFF"/>
                <w:lang w:eastAsia="en-AU"/>
              </w:rPr>
              <w:t>2027-28</w:t>
            </w:r>
            <w:r w:rsidRPr="001C34D3">
              <w:rPr>
                <w:rFonts w:ascii="Calibri" w:eastAsia="Times New Roman" w:hAnsi="Calibri" w:cs="Calibri"/>
                <w:b/>
                <w:bCs/>
                <w:color w:val="FFFFFF"/>
                <w:lang w:eastAsia="en-AU"/>
              </w:rPr>
              <w:br/>
              <w:t>Forward Estimate</w:t>
            </w:r>
          </w:p>
        </w:tc>
        <w:tc>
          <w:tcPr>
            <w:tcW w:w="1200" w:type="dxa"/>
            <w:tcBorders>
              <w:top w:val="single" w:sz="8" w:space="0" w:color="4F81BD"/>
              <w:left w:val="nil"/>
              <w:bottom w:val="nil"/>
              <w:right w:val="single" w:sz="8" w:space="0" w:color="4F81BD"/>
            </w:tcBorders>
            <w:shd w:val="clear" w:color="000000" w:fill="4F81BD"/>
            <w:vAlign w:val="center"/>
            <w:hideMark/>
          </w:tcPr>
          <w:p w14:paraId="15FCA456" w14:textId="77777777" w:rsidR="001C34D3" w:rsidRPr="001C34D3" w:rsidRDefault="001C34D3" w:rsidP="001C34D3">
            <w:pPr>
              <w:spacing w:after="0" w:line="240" w:lineRule="auto"/>
              <w:jc w:val="center"/>
              <w:rPr>
                <w:rFonts w:ascii="Calibri" w:eastAsia="Times New Roman" w:hAnsi="Calibri" w:cs="Calibri"/>
                <w:b/>
                <w:bCs/>
                <w:color w:val="FFFFFF"/>
                <w:lang w:eastAsia="en-AU"/>
              </w:rPr>
            </w:pPr>
            <w:r w:rsidRPr="001C34D3">
              <w:rPr>
                <w:rFonts w:ascii="Calibri" w:eastAsia="Times New Roman" w:hAnsi="Calibri" w:cs="Calibri"/>
                <w:b/>
                <w:bCs/>
                <w:color w:val="FFFFFF"/>
                <w:lang w:eastAsia="en-AU"/>
              </w:rPr>
              <w:t>2028-29</w:t>
            </w:r>
            <w:r w:rsidRPr="001C34D3">
              <w:rPr>
                <w:rFonts w:ascii="Calibri" w:eastAsia="Times New Roman" w:hAnsi="Calibri" w:cs="Calibri"/>
                <w:b/>
                <w:bCs/>
                <w:color w:val="FFFFFF"/>
                <w:lang w:eastAsia="en-AU"/>
              </w:rPr>
              <w:br/>
              <w:t>Forward Estimate</w:t>
            </w:r>
          </w:p>
        </w:tc>
      </w:tr>
      <w:tr w:rsidR="001C34D3" w:rsidRPr="001C34D3" w14:paraId="452964B7" w14:textId="77777777" w:rsidTr="001C34D3">
        <w:trPr>
          <w:trHeight w:val="300"/>
        </w:trPr>
        <w:tc>
          <w:tcPr>
            <w:tcW w:w="1860" w:type="dxa"/>
            <w:vMerge/>
            <w:tcBorders>
              <w:top w:val="single" w:sz="8" w:space="0" w:color="4F81BD"/>
              <w:left w:val="single" w:sz="8" w:space="0" w:color="4F81BD"/>
              <w:bottom w:val="single" w:sz="8" w:space="0" w:color="4F81BD"/>
              <w:right w:val="nil"/>
            </w:tcBorders>
            <w:vAlign w:val="center"/>
            <w:hideMark/>
          </w:tcPr>
          <w:p w14:paraId="67AF3DE8" w14:textId="77777777" w:rsidR="001C34D3" w:rsidRPr="001C34D3" w:rsidRDefault="001C34D3" w:rsidP="001C34D3">
            <w:pPr>
              <w:spacing w:after="0" w:line="240" w:lineRule="auto"/>
              <w:rPr>
                <w:rFonts w:ascii="Calibri" w:eastAsia="Times New Roman" w:hAnsi="Calibri" w:cs="Calibri"/>
                <w:b/>
                <w:bCs/>
                <w:color w:val="FFFFFF"/>
                <w:lang w:eastAsia="en-AU"/>
              </w:rPr>
            </w:pPr>
          </w:p>
        </w:tc>
        <w:tc>
          <w:tcPr>
            <w:tcW w:w="1420" w:type="dxa"/>
            <w:tcBorders>
              <w:top w:val="nil"/>
              <w:left w:val="nil"/>
              <w:bottom w:val="single" w:sz="8" w:space="0" w:color="4F81BD"/>
              <w:right w:val="nil"/>
            </w:tcBorders>
            <w:shd w:val="clear" w:color="000000" w:fill="4F81BD"/>
            <w:vAlign w:val="center"/>
            <w:hideMark/>
          </w:tcPr>
          <w:p w14:paraId="48E6D103" w14:textId="77777777" w:rsidR="001C34D3" w:rsidRPr="001C34D3" w:rsidRDefault="001C34D3" w:rsidP="001C34D3">
            <w:pPr>
              <w:spacing w:after="0" w:line="240" w:lineRule="auto"/>
              <w:jc w:val="center"/>
              <w:rPr>
                <w:rFonts w:ascii="Calibri" w:eastAsia="Times New Roman" w:hAnsi="Calibri" w:cs="Calibri"/>
                <w:color w:val="FFFFFF"/>
                <w:lang w:eastAsia="en-AU"/>
              </w:rPr>
            </w:pPr>
            <w:r w:rsidRPr="001C34D3">
              <w:rPr>
                <w:rFonts w:ascii="Calibri" w:eastAsia="Times New Roman" w:hAnsi="Calibri" w:cs="Calibri"/>
                <w:color w:val="FFFFFF"/>
                <w:lang w:eastAsia="en-AU"/>
              </w:rPr>
              <w:t>$000</w:t>
            </w:r>
          </w:p>
        </w:tc>
        <w:tc>
          <w:tcPr>
            <w:tcW w:w="1360" w:type="dxa"/>
            <w:tcBorders>
              <w:top w:val="nil"/>
              <w:left w:val="nil"/>
              <w:bottom w:val="single" w:sz="8" w:space="0" w:color="4F81BD"/>
              <w:right w:val="nil"/>
            </w:tcBorders>
            <w:shd w:val="clear" w:color="000000" w:fill="4F81BD"/>
            <w:vAlign w:val="center"/>
            <w:hideMark/>
          </w:tcPr>
          <w:p w14:paraId="59ED30DC" w14:textId="77777777" w:rsidR="001C34D3" w:rsidRPr="001C34D3" w:rsidRDefault="001C34D3" w:rsidP="001C34D3">
            <w:pPr>
              <w:spacing w:after="0" w:line="240" w:lineRule="auto"/>
              <w:jc w:val="center"/>
              <w:rPr>
                <w:rFonts w:ascii="Calibri" w:eastAsia="Times New Roman" w:hAnsi="Calibri" w:cs="Calibri"/>
                <w:color w:val="FFFFFF"/>
                <w:lang w:eastAsia="en-AU"/>
              </w:rPr>
            </w:pPr>
            <w:r w:rsidRPr="001C34D3">
              <w:rPr>
                <w:rFonts w:ascii="Calibri" w:eastAsia="Times New Roman" w:hAnsi="Calibri" w:cs="Calibri"/>
                <w:color w:val="FFFFFF"/>
                <w:lang w:eastAsia="en-AU"/>
              </w:rPr>
              <w:t>$000</w:t>
            </w:r>
          </w:p>
        </w:tc>
        <w:tc>
          <w:tcPr>
            <w:tcW w:w="1280" w:type="dxa"/>
            <w:tcBorders>
              <w:top w:val="nil"/>
              <w:left w:val="nil"/>
              <w:bottom w:val="single" w:sz="8" w:space="0" w:color="4F81BD"/>
              <w:right w:val="nil"/>
            </w:tcBorders>
            <w:shd w:val="clear" w:color="000000" w:fill="4F81BD"/>
            <w:vAlign w:val="center"/>
            <w:hideMark/>
          </w:tcPr>
          <w:p w14:paraId="7B7860C7" w14:textId="77777777" w:rsidR="001C34D3" w:rsidRPr="001C34D3" w:rsidRDefault="001C34D3" w:rsidP="001C34D3">
            <w:pPr>
              <w:spacing w:after="0" w:line="240" w:lineRule="auto"/>
              <w:jc w:val="center"/>
              <w:rPr>
                <w:rFonts w:ascii="Calibri" w:eastAsia="Times New Roman" w:hAnsi="Calibri" w:cs="Calibri"/>
                <w:color w:val="FFFFFF"/>
                <w:lang w:eastAsia="en-AU"/>
              </w:rPr>
            </w:pPr>
            <w:r w:rsidRPr="001C34D3">
              <w:rPr>
                <w:rFonts w:ascii="Calibri" w:eastAsia="Times New Roman" w:hAnsi="Calibri" w:cs="Calibri"/>
                <w:color w:val="FFFFFF"/>
                <w:lang w:eastAsia="en-AU"/>
              </w:rPr>
              <w:t>$000</w:t>
            </w:r>
          </w:p>
        </w:tc>
        <w:tc>
          <w:tcPr>
            <w:tcW w:w="1200" w:type="dxa"/>
            <w:tcBorders>
              <w:top w:val="nil"/>
              <w:left w:val="nil"/>
              <w:bottom w:val="single" w:sz="8" w:space="0" w:color="4F81BD"/>
              <w:right w:val="nil"/>
            </w:tcBorders>
            <w:shd w:val="clear" w:color="000000" w:fill="4F81BD"/>
            <w:vAlign w:val="center"/>
            <w:hideMark/>
          </w:tcPr>
          <w:p w14:paraId="5425B1F8" w14:textId="77777777" w:rsidR="001C34D3" w:rsidRPr="001C34D3" w:rsidRDefault="001C34D3" w:rsidP="001C34D3">
            <w:pPr>
              <w:spacing w:after="0" w:line="240" w:lineRule="auto"/>
              <w:jc w:val="center"/>
              <w:rPr>
                <w:rFonts w:ascii="Calibri" w:eastAsia="Times New Roman" w:hAnsi="Calibri" w:cs="Calibri"/>
                <w:color w:val="FFFFFF"/>
                <w:lang w:eastAsia="en-AU"/>
              </w:rPr>
            </w:pPr>
            <w:r w:rsidRPr="001C34D3">
              <w:rPr>
                <w:rFonts w:ascii="Calibri" w:eastAsia="Times New Roman" w:hAnsi="Calibri" w:cs="Calibri"/>
                <w:color w:val="FFFFFF"/>
                <w:lang w:eastAsia="en-AU"/>
              </w:rPr>
              <w:t>$000</w:t>
            </w:r>
          </w:p>
        </w:tc>
      </w:tr>
      <w:tr w:rsidR="001C34D3" w:rsidRPr="001C34D3" w14:paraId="6C2F485C" w14:textId="77777777" w:rsidTr="001C34D3">
        <w:trPr>
          <w:trHeight w:val="300"/>
        </w:trPr>
        <w:tc>
          <w:tcPr>
            <w:tcW w:w="1860" w:type="dxa"/>
            <w:tcBorders>
              <w:top w:val="nil"/>
              <w:left w:val="single" w:sz="8" w:space="0" w:color="95B3D7"/>
              <w:bottom w:val="single" w:sz="8" w:space="0" w:color="95B3D7"/>
              <w:right w:val="single" w:sz="8" w:space="0" w:color="95B3D7"/>
            </w:tcBorders>
            <w:shd w:val="clear" w:color="000000" w:fill="DBE5F1"/>
            <w:vAlign w:val="center"/>
            <w:hideMark/>
          </w:tcPr>
          <w:p w14:paraId="6009905A" w14:textId="77777777" w:rsidR="001C34D3" w:rsidRPr="001C34D3" w:rsidRDefault="001C34D3" w:rsidP="001C34D3">
            <w:pPr>
              <w:spacing w:after="0" w:line="240" w:lineRule="auto"/>
              <w:rPr>
                <w:rFonts w:ascii="Calibri" w:eastAsia="Times New Roman" w:hAnsi="Calibri" w:cs="Calibri"/>
                <w:color w:val="17365D"/>
                <w:lang w:eastAsia="en-AU"/>
              </w:rPr>
            </w:pPr>
            <w:r w:rsidRPr="001C34D3">
              <w:rPr>
                <w:rFonts w:ascii="Calibri" w:eastAsia="Times New Roman" w:hAnsi="Calibri" w:cs="Calibri"/>
                <w:color w:val="17365D"/>
                <w:lang w:eastAsia="en-AU"/>
              </w:rPr>
              <w:t>Total expenses</w:t>
            </w:r>
          </w:p>
        </w:tc>
        <w:tc>
          <w:tcPr>
            <w:tcW w:w="1420" w:type="dxa"/>
            <w:tcBorders>
              <w:top w:val="nil"/>
              <w:left w:val="nil"/>
              <w:bottom w:val="single" w:sz="8" w:space="0" w:color="95B3D7"/>
              <w:right w:val="single" w:sz="8" w:space="0" w:color="95B3D7"/>
            </w:tcBorders>
            <w:shd w:val="clear" w:color="000000" w:fill="DBE5F1"/>
            <w:vAlign w:val="center"/>
            <w:hideMark/>
          </w:tcPr>
          <w:p w14:paraId="69F3BEA9" w14:textId="77777777" w:rsidR="001C34D3" w:rsidRPr="001C34D3" w:rsidRDefault="001C34D3" w:rsidP="001C34D3">
            <w:pPr>
              <w:spacing w:after="0" w:line="240" w:lineRule="auto"/>
              <w:jc w:val="center"/>
              <w:rPr>
                <w:rFonts w:ascii="Calibri" w:eastAsia="Times New Roman" w:hAnsi="Calibri" w:cs="Calibri"/>
                <w:color w:val="17365D"/>
                <w:lang w:eastAsia="en-AU"/>
              </w:rPr>
            </w:pPr>
            <w:r w:rsidRPr="001C34D3">
              <w:rPr>
                <w:rFonts w:ascii="Calibri" w:eastAsia="Times New Roman" w:hAnsi="Calibri" w:cs="Calibri"/>
                <w:color w:val="17365D"/>
                <w:lang w:eastAsia="en-AU"/>
              </w:rPr>
              <w:t>24,519</w:t>
            </w:r>
          </w:p>
        </w:tc>
        <w:tc>
          <w:tcPr>
            <w:tcW w:w="1360" w:type="dxa"/>
            <w:tcBorders>
              <w:top w:val="nil"/>
              <w:left w:val="nil"/>
              <w:bottom w:val="single" w:sz="8" w:space="0" w:color="95B3D7"/>
              <w:right w:val="single" w:sz="8" w:space="0" w:color="95B3D7"/>
            </w:tcBorders>
            <w:shd w:val="clear" w:color="000000" w:fill="DBE5F1"/>
            <w:vAlign w:val="center"/>
            <w:hideMark/>
          </w:tcPr>
          <w:p w14:paraId="46E63DCC" w14:textId="77777777" w:rsidR="001C34D3" w:rsidRPr="001C34D3" w:rsidRDefault="001C34D3" w:rsidP="001C34D3">
            <w:pPr>
              <w:spacing w:after="0" w:line="240" w:lineRule="auto"/>
              <w:jc w:val="center"/>
              <w:rPr>
                <w:rFonts w:ascii="Calibri" w:eastAsia="Times New Roman" w:hAnsi="Calibri" w:cs="Calibri"/>
                <w:color w:val="17365D"/>
                <w:lang w:eastAsia="en-AU"/>
              </w:rPr>
            </w:pPr>
            <w:r w:rsidRPr="001C34D3">
              <w:rPr>
                <w:rFonts w:ascii="Calibri" w:eastAsia="Times New Roman" w:hAnsi="Calibri" w:cs="Calibri"/>
                <w:color w:val="17365D"/>
                <w:lang w:eastAsia="en-AU"/>
              </w:rPr>
              <w:t>25,589</w:t>
            </w:r>
          </w:p>
        </w:tc>
        <w:tc>
          <w:tcPr>
            <w:tcW w:w="1280" w:type="dxa"/>
            <w:tcBorders>
              <w:top w:val="nil"/>
              <w:left w:val="nil"/>
              <w:bottom w:val="single" w:sz="8" w:space="0" w:color="95B3D7"/>
              <w:right w:val="single" w:sz="8" w:space="0" w:color="95B3D7"/>
            </w:tcBorders>
            <w:shd w:val="clear" w:color="000000" w:fill="DBE5F1"/>
            <w:vAlign w:val="center"/>
            <w:hideMark/>
          </w:tcPr>
          <w:p w14:paraId="09DDA43D" w14:textId="77777777" w:rsidR="001C34D3" w:rsidRPr="001C34D3" w:rsidRDefault="001C34D3" w:rsidP="001C34D3">
            <w:pPr>
              <w:spacing w:after="0" w:line="240" w:lineRule="auto"/>
              <w:jc w:val="center"/>
              <w:rPr>
                <w:rFonts w:ascii="Calibri" w:eastAsia="Times New Roman" w:hAnsi="Calibri" w:cs="Calibri"/>
                <w:color w:val="17365D"/>
                <w:lang w:eastAsia="en-AU"/>
              </w:rPr>
            </w:pPr>
            <w:r w:rsidRPr="001C34D3">
              <w:rPr>
                <w:rFonts w:ascii="Calibri" w:eastAsia="Times New Roman" w:hAnsi="Calibri" w:cs="Calibri"/>
                <w:color w:val="17365D"/>
                <w:lang w:eastAsia="en-AU"/>
              </w:rPr>
              <w:t>25,761</w:t>
            </w:r>
          </w:p>
        </w:tc>
        <w:tc>
          <w:tcPr>
            <w:tcW w:w="1200" w:type="dxa"/>
            <w:tcBorders>
              <w:top w:val="nil"/>
              <w:left w:val="nil"/>
              <w:bottom w:val="single" w:sz="8" w:space="0" w:color="95B3D7"/>
              <w:right w:val="single" w:sz="8" w:space="0" w:color="95B3D7"/>
            </w:tcBorders>
            <w:shd w:val="clear" w:color="000000" w:fill="DBE5F1"/>
            <w:vAlign w:val="center"/>
            <w:hideMark/>
          </w:tcPr>
          <w:p w14:paraId="16F26592" w14:textId="77777777" w:rsidR="001C34D3" w:rsidRPr="001C34D3" w:rsidRDefault="001C34D3" w:rsidP="001C34D3">
            <w:pPr>
              <w:spacing w:after="0" w:line="240" w:lineRule="auto"/>
              <w:jc w:val="center"/>
              <w:rPr>
                <w:rFonts w:ascii="Calibri" w:eastAsia="Times New Roman" w:hAnsi="Calibri" w:cs="Calibri"/>
                <w:color w:val="17365D"/>
                <w:lang w:eastAsia="en-AU"/>
              </w:rPr>
            </w:pPr>
            <w:r w:rsidRPr="001C34D3">
              <w:rPr>
                <w:rFonts w:ascii="Calibri" w:eastAsia="Times New Roman" w:hAnsi="Calibri" w:cs="Calibri"/>
                <w:color w:val="17365D"/>
                <w:lang w:eastAsia="en-AU"/>
              </w:rPr>
              <w:t>26,210</w:t>
            </w:r>
          </w:p>
        </w:tc>
      </w:tr>
      <w:tr w:rsidR="001C34D3" w:rsidRPr="001C34D3" w14:paraId="2927521A" w14:textId="77777777" w:rsidTr="001C34D3">
        <w:trPr>
          <w:trHeight w:val="300"/>
        </w:trPr>
        <w:tc>
          <w:tcPr>
            <w:tcW w:w="1860" w:type="dxa"/>
            <w:tcBorders>
              <w:top w:val="nil"/>
              <w:left w:val="single" w:sz="8" w:space="0" w:color="95B3D7"/>
              <w:bottom w:val="single" w:sz="8" w:space="0" w:color="95B3D7"/>
              <w:right w:val="single" w:sz="8" w:space="0" w:color="95B3D7"/>
            </w:tcBorders>
            <w:vAlign w:val="center"/>
            <w:hideMark/>
          </w:tcPr>
          <w:p w14:paraId="6CF7E5B5" w14:textId="77777777" w:rsidR="001C34D3" w:rsidRPr="001C34D3" w:rsidRDefault="001C34D3" w:rsidP="001C34D3">
            <w:pPr>
              <w:spacing w:after="0" w:line="240" w:lineRule="auto"/>
              <w:rPr>
                <w:rFonts w:ascii="Calibri" w:eastAsia="Times New Roman" w:hAnsi="Calibri" w:cs="Calibri"/>
                <w:color w:val="17365D"/>
                <w:lang w:eastAsia="en-AU"/>
              </w:rPr>
            </w:pPr>
            <w:r w:rsidRPr="001C34D3">
              <w:rPr>
                <w:rFonts w:ascii="Calibri" w:eastAsia="Times New Roman" w:hAnsi="Calibri" w:cs="Calibri"/>
                <w:color w:val="17365D"/>
                <w:lang w:eastAsia="en-AU"/>
              </w:rPr>
              <w:t>Total revenue</w:t>
            </w:r>
          </w:p>
        </w:tc>
        <w:tc>
          <w:tcPr>
            <w:tcW w:w="1420" w:type="dxa"/>
            <w:tcBorders>
              <w:top w:val="nil"/>
              <w:left w:val="nil"/>
              <w:bottom w:val="single" w:sz="8" w:space="0" w:color="95B3D7"/>
              <w:right w:val="single" w:sz="8" w:space="0" w:color="95B3D7"/>
            </w:tcBorders>
            <w:vAlign w:val="center"/>
            <w:hideMark/>
          </w:tcPr>
          <w:p w14:paraId="7D344D5B" w14:textId="77777777" w:rsidR="001C34D3" w:rsidRPr="001C34D3" w:rsidRDefault="001C34D3" w:rsidP="001C34D3">
            <w:pPr>
              <w:spacing w:after="0" w:line="240" w:lineRule="auto"/>
              <w:jc w:val="center"/>
              <w:rPr>
                <w:rFonts w:ascii="Calibri" w:eastAsia="Times New Roman" w:hAnsi="Calibri" w:cs="Calibri"/>
                <w:color w:val="17365D"/>
                <w:lang w:eastAsia="en-AU"/>
              </w:rPr>
            </w:pPr>
            <w:r w:rsidRPr="001C34D3">
              <w:rPr>
                <w:rFonts w:ascii="Calibri" w:eastAsia="Times New Roman" w:hAnsi="Calibri" w:cs="Calibri"/>
                <w:color w:val="17365D"/>
                <w:lang w:eastAsia="en-AU"/>
              </w:rPr>
              <w:t>21,092</w:t>
            </w:r>
          </w:p>
        </w:tc>
        <w:tc>
          <w:tcPr>
            <w:tcW w:w="1360" w:type="dxa"/>
            <w:tcBorders>
              <w:top w:val="nil"/>
              <w:left w:val="nil"/>
              <w:bottom w:val="single" w:sz="8" w:space="0" w:color="95B3D7"/>
              <w:right w:val="single" w:sz="8" w:space="0" w:color="95B3D7"/>
            </w:tcBorders>
            <w:vAlign w:val="center"/>
            <w:hideMark/>
          </w:tcPr>
          <w:p w14:paraId="5A889EF5" w14:textId="77777777" w:rsidR="001C34D3" w:rsidRPr="001C34D3" w:rsidRDefault="001C34D3" w:rsidP="001C34D3">
            <w:pPr>
              <w:spacing w:after="0" w:line="240" w:lineRule="auto"/>
              <w:jc w:val="center"/>
              <w:rPr>
                <w:rFonts w:ascii="Calibri" w:eastAsia="Times New Roman" w:hAnsi="Calibri" w:cs="Calibri"/>
                <w:color w:val="17365D"/>
                <w:lang w:eastAsia="en-AU"/>
              </w:rPr>
            </w:pPr>
            <w:r w:rsidRPr="001C34D3">
              <w:rPr>
                <w:rFonts w:ascii="Calibri" w:eastAsia="Times New Roman" w:hAnsi="Calibri" w:cs="Calibri"/>
                <w:color w:val="17365D"/>
                <w:lang w:eastAsia="en-AU"/>
              </w:rPr>
              <w:t>25,492</w:t>
            </w:r>
          </w:p>
        </w:tc>
        <w:tc>
          <w:tcPr>
            <w:tcW w:w="1280" w:type="dxa"/>
            <w:tcBorders>
              <w:top w:val="nil"/>
              <w:left w:val="nil"/>
              <w:bottom w:val="single" w:sz="8" w:space="0" w:color="95B3D7"/>
              <w:right w:val="single" w:sz="8" w:space="0" w:color="95B3D7"/>
            </w:tcBorders>
            <w:vAlign w:val="center"/>
            <w:hideMark/>
          </w:tcPr>
          <w:p w14:paraId="4647036E" w14:textId="77777777" w:rsidR="001C34D3" w:rsidRPr="001C34D3" w:rsidRDefault="001C34D3" w:rsidP="001C34D3">
            <w:pPr>
              <w:spacing w:after="0" w:line="240" w:lineRule="auto"/>
              <w:jc w:val="center"/>
              <w:rPr>
                <w:rFonts w:ascii="Calibri" w:eastAsia="Times New Roman" w:hAnsi="Calibri" w:cs="Calibri"/>
                <w:color w:val="17365D"/>
                <w:lang w:eastAsia="en-AU"/>
              </w:rPr>
            </w:pPr>
            <w:r w:rsidRPr="001C34D3">
              <w:rPr>
                <w:rFonts w:ascii="Calibri" w:eastAsia="Times New Roman" w:hAnsi="Calibri" w:cs="Calibri"/>
                <w:color w:val="17365D"/>
                <w:lang w:eastAsia="en-AU"/>
              </w:rPr>
              <w:t>24,855</w:t>
            </w:r>
          </w:p>
        </w:tc>
        <w:tc>
          <w:tcPr>
            <w:tcW w:w="1200" w:type="dxa"/>
            <w:tcBorders>
              <w:top w:val="nil"/>
              <w:left w:val="nil"/>
              <w:bottom w:val="single" w:sz="8" w:space="0" w:color="95B3D7"/>
              <w:right w:val="single" w:sz="8" w:space="0" w:color="95B3D7"/>
            </w:tcBorders>
            <w:vAlign w:val="center"/>
            <w:hideMark/>
          </w:tcPr>
          <w:p w14:paraId="2D5B786A" w14:textId="77777777" w:rsidR="001C34D3" w:rsidRPr="001C34D3" w:rsidRDefault="001C34D3" w:rsidP="001C34D3">
            <w:pPr>
              <w:spacing w:after="0" w:line="240" w:lineRule="auto"/>
              <w:jc w:val="center"/>
              <w:rPr>
                <w:rFonts w:ascii="Calibri" w:eastAsia="Times New Roman" w:hAnsi="Calibri" w:cs="Calibri"/>
                <w:color w:val="17365D"/>
                <w:lang w:eastAsia="en-AU"/>
              </w:rPr>
            </w:pPr>
            <w:r w:rsidRPr="001C34D3">
              <w:rPr>
                <w:rFonts w:ascii="Calibri" w:eastAsia="Times New Roman" w:hAnsi="Calibri" w:cs="Calibri"/>
                <w:color w:val="17365D"/>
                <w:lang w:eastAsia="en-AU"/>
              </w:rPr>
              <w:t>24,234</w:t>
            </w:r>
          </w:p>
        </w:tc>
      </w:tr>
      <w:tr w:rsidR="001C34D3" w:rsidRPr="001C34D3" w14:paraId="538DE415" w14:textId="77777777" w:rsidTr="001C34D3">
        <w:trPr>
          <w:trHeight w:val="592"/>
        </w:trPr>
        <w:tc>
          <w:tcPr>
            <w:tcW w:w="1860" w:type="dxa"/>
            <w:tcBorders>
              <w:top w:val="nil"/>
              <w:left w:val="single" w:sz="8" w:space="0" w:color="95B3D7"/>
              <w:bottom w:val="single" w:sz="8" w:space="0" w:color="95B3D7"/>
              <w:right w:val="single" w:sz="8" w:space="0" w:color="95B3D7"/>
            </w:tcBorders>
            <w:shd w:val="clear" w:color="000000" w:fill="DBE5F1"/>
            <w:vAlign w:val="center"/>
            <w:hideMark/>
          </w:tcPr>
          <w:p w14:paraId="64856FE2" w14:textId="77777777" w:rsidR="001C34D3" w:rsidRPr="001C34D3" w:rsidRDefault="001C34D3" w:rsidP="001C34D3">
            <w:pPr>
              <w:spacing w:after="0" w:line="240" w:lineRule="auto"/>
              <w:rPr>
                <w:rFonts w:ascii="Calibri" w:eastAsia="Times New Roman" w:hAnsi="Calibri" w:cs="Calibri"/>
                <w:color w:val="17365D"/>
                <w:lang w:eastAsia="en-AU"/>
              </w:rPr>
            </w:pPr>
            <w:r w:rsidRPr="001C34D3">
              <w:rPr>
                <w:rFonts w:ascii="Calibri" w:eastAsia="Times New Roman" w:hAnsi="Calibri" w:cs="Calibri"/>
                <w:color w:val="17365D"/>
                <w:lang w:eastAsia="en-AU"/>
              </w:rPr>
              <w:t>Balance = revenue - expenses</w:t>
            </w:r>
          </w:p>
        </w:tc>
        <w:tc>
          <w:tcPr>
            <w:tcW w:w="1420" w:type="dxa"/>
            <w:tcBorders>
              <w:top w:val="nil"/>
              <w:left w:val="nil"/>
              <w:bottom w:val="single" w:sz="8" w:space="0" w:color="95B3D7"/>
              <w:right w:val="single" w:sz="8" w:space="0" w:color="95B3D7"/>
            </w:tcBorders>
            <w:shd w:val="clear" w:color="000000" w:fill="DBE5F1"/>
            <w:vAlign w:val="center"/>
            <w:hideMark/>
          </w:tcPr>
          <w:p w14:paraId="6E221308" w14:textId="77777777" w:rsidR="001C34D3" w:rsidRPr="001C34D3" w:rsidRDefault="001C34D3" w:rsidP="001C34D3">
            <w:pPr>
              <w:spacing w:after="0" w:line="240" w:lineRule="auto"/>
              <w:jc w:val="center"/>
              <w:rPr>
                <w:rFonts w:ascii="Calibri" w:eastAsia="Times New Roman" w:hAnsi="Calibri" w:cs="Calibri"/>
                <w:color w:val="17365D"/>
                <w:lang w:eastAsia="en-AU"/>
              </w:rPr>
            </w:pPr>
            <w:r w:rsidRPr="001C34D3">
              <w:rPr>
                <w:rFonts w:ascii="Calibri" w:eastAsia="Times New Roman" w:hAnsi="Calibri" w:cs="Calibri"/>
                <w:color w:val="17365D"/>
                <w:lang w:eastAsia="en-AU"/>
              </w:rPr>
              <w:t>(3,427)</w:t>
            </w:r>
          </w:p>
        </w:tc>
        <w:tc>
          <w:tcPr>
            <w:tcW w:w="1360" w:type="dxa"/>
            <w:tcBorders>
              <w:top w:val="nil"/>
              <w:left w:val="nil"/>
              <w:bottom w:val="single" w:sz="8" w:space="0" w:color="95B3D7"/>
              <w:right w:val="single" w:sz="8" w:space="0" w:color="95B3D7"/>
            </w:tcBorders>
            <w:shd w:val="clear" w:color="000000" w:fill="DBE5F1"/>
            <w:vAlign w:val="center"/>
            <w:hideMark/>
          </w:tcPr>
          <w:p w14:paraId="2C410342" w14:textId="77777777" w:rsidR="001C34D3" w:rsidRPr="001C34D3" w:rsidRDefault="001C34D3" w:rsidP="001C34D3">
            <w:pPr>
              <w:spacing w:after="0" w:line="240" w:lineRule="auto"/>
              <w:jc w:val="center"/>
              <w:rPr>
                <w:rFonts w:ascii="Calibri" w:eastAsia="Times New Roman" w:hAnsi="Calibri" w:cs="Calibri"/>
                <w:color w:val="17365D"/>
                <w:lang w:eastAsia="en-AU"/>
              </w:rPr>
            </w:pPr>
            <w:r w:rsidRPr="001C34D3">
              <w:rPr>
                <w:rFonts w:ascii="Calibri" w:eastAsia="Times New Roman" w:hAnsi="Calibri" w:cs="Calibri"/>
                <w:color w:val="17365D"/>
                <w:lang w:eastAsia="en-AU"/>
              </w:rPr>
              <w:t>(97)</w:t>
            </w:r>
          </w:p>
        </w:tc>
        <w:tc>
          <w:tcPr>
            <w:tcW w:w="1280" w:type="dxa"/>
            <w:tcBorders>
              <w:top w:val="nil"/>
              <w:left w:val="nil"/>
              <w:bottom w:val="single" w:sz="8" w:space="0" w:color="95B3D7"/>
              <w:right w:val="single" w:sz="8" w:space="0" w:color="95B3D7"/>
            </w:tcBorders>
            <w:shd w:val="clear" w:color="000000" w:fill="DBE5F1"/>
            <w:vAlign w:val="center"/>
            <w:hideMark/>
          </w:tcPr>
          <w:p w14:paraId="5526BD70" w14:textId="77777777" w:rsidR="001C34D3" w:rsidRPr="001C34D3" w:rsidRDefault="001C34D3" w:rsidP="001C34D3">
            <w:pPr>
              <w:spacing w:after="0" w:line="240" w:lineRule="auto"/>
              <w:jc w:val="center"/>
              <w:rPr>
                <w:rFonts w:ascii="Calibri" w:eastAsia="Times New Roman" w:hAnsi="Calibri" w:cs="Calibri"/>
                <w:color w:val="17365D"/>
                <w:lang w:eastAsia="en-AU"/>
              </w:rPr>
            </w:pPr>
            <w:r w:rsidRPr="001C34D3">
              <w:rPr>
                <w:rFonts w:ascii="Calibri" w:eastAsia="Times New Roman" w:hAnsi="Calibri" w:cs="Calibri"/>
                <w:color w:val="17365D"/>
                <w:lang w:eastAsia="en-AU"/>
              </w:rPr>
              <w:t>(906)</w:t>
            </w:r>
          </w:p>
        </w:tc>
        <w:tc>
          <w:tcPr>
            <w:tcW w:w="1200" w:type="dxa"/>
            <w:tcBorders>
              <w:top w:val="nil"/>
              <w:left w:val="nil"/>
              <w:bottom w:val="single" w:sz="8" w:space="0" w:color="95B3D7"/>
              <w:right w:val="single" w:sz="8" w:space="0" w:color="95B3D7"/>
            </w:tcBorders>
            <w:shd w:val="clear" w:color="000000" w:fill="DBE5F1"/>
            <w:vAlign w:val="center"/>
            <w:hideMark/>
          </w:tcPr>
          <w:p w14:paraId="4A3E4FF2" w14:textId="77777777" w:rsidR="001C34D3" w:rsidRPr="001C34D3" w:rsidRDefault="001C34D3" w:rsidP="001C34D3">
            <w:pPr>
              <w:spacing w:after="0" w:line="240" w:lineRule="auto"/>
              <w:jc w:val="center"/>
              <w:rPr>
                <w:rFonts w:ascii="Calibri" w:eastAsia="Times New Roman" w:hAnsi="Calibri" w:cs="Calibri"/>
                <w:color w:val="17365D"/>
                <w:lang w:eastAsia="en-AU"/>
              </w:rPr>
            </w:pPr>
            <w:r w:rsidRPr="001C34D3">
              <w:rPr>
                <w:rFonts w:ascii="Calibri" w:eastAsia="Times New Roman" w:hAnsi="Calibri" w:cs="Calibri"/>
                <w:color w:val="17365D"/>
                <w:lang w:eastAsia="en-AU"/>
              </w:rPr>
              <w:t>(1,976)</w:t>
            </w:r>
          </w:p>
        </w:tc>
      </w:tr>
    </w:tbl>
    <w:p w14:paraId="474703E6" w14:textId="77777777" w:rsidR="00981BC5" w:rsidRDefault="00981BC5" w:rsidP="00981BC5"/>
    <w:p w14:paraId="260E6AA7" w14:textId="77777777" w:rsidR="00494525" w:rsidRPr="00494525" w:rsidRDefault="00494525" w:rsidP="00494525">
      <w:pPr>
        <w:rPr>
          <w:iCs/>
        </w:rPr>
      </w:pPr>
    </w:p>
    <w:p w14:paraId="56EA6ADE" w14:textId="54D3E9BD" w:rsidR="007C1E69" w:rsidRDefault="007C1E69" w:rsidP="00AF30D7">
      <w:pPr>
        <w:pStyle w:val="Heading2"/>
        <w:numPr>
          <w:ilvl w:val="1"/>
          <w:numId w:val="2"/>
        </w:numPr>
      </w:pPr>
      <w:r>
        <w:t xml:space="preserve"> </w:t>
      </w:r>
      <w:bookmarkStart w:id="36" w:name="_Toc215752354"/>
      <w:r>
        <w:t>Financial Outcomes</w:t>
      </w:r>
      <w:bookmarkEnd w:id="36"/>
    </w:p>
    <w:p w14:paraId="4918CC3C" w14:textId="77777777" w:rsidR="00350881" w:rsidRDefault="00350881" w:rsidP="00350881">
      <w:pPr>
        <w:rPr>
          <w:b/>
          <w:bCs/>
          <w:smallCaps/>
          <w:color w:val="595959" w:themeColor="text1" w:themeTint="A6"/>
          <w:spacing w:val="6"/>
        </w:rPr>
      </w:pPr>
    </w:p>
    <w:p w14:paraId="33733C06" w14:textId="6E989EF5" w:rsidR="009A038A" w:rsidRPr="00B25330" w:rsidRDefault="00350881" w:rsidP="009A038A">
      <w:pPr>
        <w:rPr>
          <w:b/>
          <w:bCs/>
          <w:smallCaps/>
          <w:color w:val="595959" w:themeColor="text1" w:themeTint="A6"/>
          <w:spacing w:val="6"/>
        </w:rPr>
      </w:pPr>
      <w:r w:rsidRPr="00412A85">
        <w:rPr>
          <w:b/>
          <w:bCs/>
          <w:smallCaps/>
          <w:color w:val="595959" w:themeColor="text1" w:themeTint="A6"/>
          <w:spacing w:val="6"/>
        </w:rPr>
        <w:t xml:space="preserve">Table </w:t>
      </w:r>
      <w:r w:rsidR="00AF228C">
        <w:rPr>
          <w:b/>
          <w:bCs/>
          <w:smallCaps/>
          <w:color w:val="595959" w:themeColor="text1" w:themeTint="A6"/>
          <w:spacing w:val="6"/>
        </w:rPr>
        <w:t>8</w:t>
      </w:r>
      <w:r w:rsidRPr="00412A85">
        <w:rPr>
          <w:b/>
          <w:bCs/>
          <w:smallCaps/>
          <w:color w:val="595959" w:themeColor="text1" w:themeTint="A6"/>
          <w:spacing w:val="6"/>
        </w:rPr>
        <w:t xml:space="preserve"> </w:t>
      </w:r>
      <w:proofErr w:type="spellStart"/>
      <w:r w:rsidRPr="00412A85">
        <w:rPr>
          <w:b/>
          <w:bCs/>
          <w:smallCaps/>
          <w:color w:val="595959" w:themeColor="text1" w:themeTint="A6"/>
          <w:spacing w:val="6"/>
        </w:rPr>
        <w:t>nopta</w:t>
      </w:r>
      <w:proofErr w:type="spellEnd"/>
      <w:r w:rsidRPr="00412A85">
        <w:rPr>
          <w:b/>
          <w:bCs/>
          <w:smallCaps/>
          <w:color w:val="595959" w:themeColor="text1" w:themeTint="A6"/>
          <w:spacing w:val="6"/>
        </w:rPr>
        <w:t xml:space="preserve"> financial</w:t>
      </w:r>
      <w:r w:rsidR="007A0A53" w:rsidRPr="00412A85">
        <w:rPr>
          <w:b/>
          <w:bCs/>
          <w:smallCaps/>
          <w:color w:val="595959" w:themeColor="text1" w:themeTint="A6"/>
          <w:spacing w:val="6"/>
        </w:rPr>
        <w:t xml:space="preserve"> actual</w:t>
      </w:r>
      <w:r w:rsidRPr="00412A85">
        <w:rPr>
          <w:b/>
          <w:bCs/>
          <w:smallCaps/>
          <w:color w:val="595959" w:themeColor="text1" w:themeTint="A6"/>
          <w:spacing w:val="6"/>
        </w:rPr>
        <w:t>s from financial year 202</w:t>
      </w:r>
      <w:r w:rsidR="007A0A53" w:rsidRPr="00412A85">
        <w:rPr>
          <w:b/>
          <w:bCs/>
          <w:smallCaps/>
          <w:color w:val="595959" w:themeColor="text1" w:themeTint="A6"/>
          <w:spacing w:val="6"/>
        </w:rPr>
        <w:t>0</w:t>
      </w:r>
      <w:r w:rsidRPr="00412A85">
        <w:rPr>
          <w:b/>
          <w:bCs/>
          <w:smallCaps/>
          <w:color w:val="595959" w:themeColor="text1" w:themeTint="A6"/>
          <w:spacing w:val="6"/>
        </w:rPr>
        <w:t>-2</w:t>
      </w:r>
      <w:r w:rsidR="007A0A53" w:rsidRPr="00412A85">
        <w:rPr>
          <w:b/>
          <w:bCs/>
          <w:smallCaps/>
          <w:color w:val="595959" w:themeColor="text1" w:themeTint="A6"/>
          <w:spacing w:val="6"/>
        </w:rPr>
        <w:t>1</w:t>
      </w:r>
      <w:r w:rsidRPr="00412A85">
        <w:rPr>
          <w:b/>
          <w:bCs/>
          <w:smallCaps/>
          <w:color w:val="595959" w:themeColor="text1" w:themeTint="A6"/>
          <w:spacing w:val="6"/>
        </w:rPr>
        <w:t xml:space="preserve"> to 202</w:t>
      </w:r>
      <w:r w:rsidR="007A0A53" w:rsidRPr="00412A85">
        <w:rPr>
          <w:b/>
          <w:bCs/>
          <w:smallCaps/>
          <w:color w:val="595959" w:themeColor="text1" w:themeTint="A6"/>
          <w:spacing w:val="6"/>
        </w:rPr>
        <w:t>4</w:t>
      </w:r>
      <w:r w:rsidRPr="00412A85">
        <w:rPr>
          <w:b/>
          <w:bCs/>
          <w:smallCaps/>
          <w:color w:val="595959" w:themeColor="text1" w:themeTint="A6"/>
          <w:spacing w:val="6"/>
        </w:rPr>
        <w:t>-2</w:t>
      </w:r>
      <w:r w:rsidR="007A0A53" w:rsidRPr="00412A85">
        <w:rPr>
          <w:b/>
          <w:bCs/>
          <w:smallCaps/>
          <w:color w:val="595959" w:themeColor="text1" w:themeTint="A6"/>
          <w:spacing w:val="6"/>
        </w:rPr>
        <w:t>5</w:t>
      </w:r>
    </w:p>
    <w:tbl>
      <w:tblPr>
        <w:tblW w:w="8080" w:type="dxa"/>
        <w:tblLook w:val="04A0" w:firstRow="1" w:lastRow="0" w:firstColumn="1" w:lastColumn="0" w:noHBand="0" w:noVBand="1"/>
      </w:tblPr>
      <w:tblGrid>
        <w:gridCol w:w="2000"/>
        <w:gridCol w:w="1520"/>
        <w:gridCol w:w="1520"/>
        <w:gridCol w:w="1520"/>
        <w:gridCol w:w="1520"/>
      </w:tblGrid>
      <w:tr w:rsidR="008C3965" w:rsidRPr="008C3965" w14:paraId="56CC68F6" w14:textId="77777777" w:rsidTr="0CB66AEC">
        <w:trPr>
          <w:trHeight w:val="292"/>
        </w:trPr>
        <w:tc>
          <w:tcPr>
            <w:tcW w:w="2000" w:type="dxa"/>
            <w:vMerge w:val="restart"/>
            <w:tcBorders>
              <w:top w:val="single" w:sz="8" w:space="0" w:color="4F81BD"/>
              <w:left w:val="single" w:sz="8" w:space="0" w:color="4F81BD"/>
              <w:bottom w:val="single" w:sz="8" w:space="0" w:color="4F81BD"/>
              <w:right w:val="nil"/>
            </w:tcBorders>
            <w:shd w:val="clear" w:color="auto" w:fill="4F81BD"/>
            <w:vAlign w:val="center"/>
            <w:hideMark/>
          </w:tcPr>
          <w:p w14:paraId="693F467B" w14:textId="77777777" w:rsidR="008C3965" w:rsidRPr="008C3965" w:rsidRDefault="008C3965" w:rsidP="008C3965">
            <w:pPr>
              <w:spacing w:after="0" w:line="240" w:lineRule="auto"/>
              <w:rPr>
                <w:rFonts w:ascii="Calibri" w:eastAsia="Times New Roman" w:hAnsi="Calibri" w:cs="Calibri"/>
                <w:b/>
                <w:bCs/>
                <w:color w:val="FFFFFF"/>
                <w:lang w:eastAsia="en-AU"/>
              </w:rPr>
            </w:pPr>
            <w:r w:rsidRPr="008C3965">
              <w:rPr>
                <w:rFonts w:ascii="Calibri" w:eastAsia="Times New Roman" w:hAnsi="Calibri" w:cs="Calibri"/>
                <w:b/>
                <w:bCs/>
                <w:color w:val="FFFFFF"/>
                <w:lang w:eastAsia="en-AU"/>
              </w:rPr>
              <w:t>Financial Item</w:t>
            </w:r>
          </w:p>
        </w:tc>
        <w:tc>
          <w:tcPr>
            <w:tcW w:w="1520" w:type="dxa"/>
            <w:tcBorders>
              <w:top w:val="single" w:sz="8" w:space="0" w:color="4F81BD"/>
              <w:left w:val="nil"/>
              <w:bottom w:val="nil"/>
              <w:right w:val="nil"/>
            </w:tcBorders>
            <w:shd w:val="clear" w:color="auto" w:fill="4F81BD"/>
            <w:vAlign w:val="center"/>
            <w:hideMark/>
          </w:tcPr>
          <w:p w14:paraId="3B7FB9BF" w14:textId="77777777" w:rsidR="008C3965" w:rsidRPr="008C3965" w:rsidRDefault="008C3965" w:rsidP="008C3965">
            <w:pPr>
              <w:spacing w:after="0" w:line="240" w:lineRule="auto"/>
              <w:jc w:val="center"/>
              <w:rPr>
                <w:rFonts w:ascii="Calibri" w:eastAsia="Times New Roman" w:hAnsi="Calibri" w:cs="Calibri"/>
                <w:b/>
                <w:bCs/>
                <w:color w:val="FFFFFF"/>
                <w:lang w:eastAsia="en-AU"/>
              </w:rPr>
            </w:pPr>
            <w:r w:rsidRPr="008C3965">
              <w:rPr>
                <w:rFonts w:ascii="Calibri" w:eastAsia="Times New Roman" w:hAnsi="Calibri" w:cs="Calibri"/>
                <w:b/>
                <w:bCs/>
                <w:color w:val="FFFFFF"/>
                <w:lang w:eastAsia="en-AU"/>
              </w:rPr>
              <w:t>2021-22</w:t>
            </w:r>
          </w:p>
        </w:tc>
        <w:tc>
          <w:tcPr>
            <w:tcW w:w="1520" w:type="dxa"/>
            <w:tcBorders>
              <w:top w:val="single" w:sz="8" w:space="0" w:color="4F81BD"/>
              <w:left w:val="nil"/>
              <w:bottom w:val="nil"/>
              <w:right w:val="nil"/>
            </w:tcBorders>
            <w:shd w:val="clear" w:color="auto" w:fill="4F81BD"/>
            <w:vAlign w:val="center"/>
            <w:hideMark/>
          </w:tcPr>
          <w:p w14:paraId="2E059ECB" w14:textId="77777777" w:rsidR="008C3965" w:rsidRPr="008C3965" w:rsidRDefault="008C3965" w:rsidP="008C3965">
            <w:pPr>
              <w:spacing w:after="0" w:line="240" w:lineRule="auto"/>
              <w:jc w:val="center"/>
              <w:rPr>
                <w:rFonts w:ascii="Calibri" w:eastAsia="Times New Roman" w:hAnsi="Calibri" w:cs="Calibri"/>
                <w:b/>
                <w:bCs/>
                <w:color w:val="FFFFFF"/>
                <w:lang w:eastAsia="en-AU"/>
              </w:rPr>
            </w:pPr>
            <w:r w:rsidRPr="008C3965">
              <w:rPr>
                <w:rFonts w:ascii="Calibri" w:eastAsia="Times New Roman" w:hAnsi="Calibri" w:cs="Calibri"/>
                <w:b/>
                <w:bCs/>
                <w:color w:val="FFFFFF"/>
                <w:lang w:eastAsia="en-AU"/>
              </w:rPr>
              <w:t>2022-23</w:t>
            </w:r>
          </w:p>
        </w:tc>
        <w:tc>
          <w:tcPr>
            <w:tcW w:w="1520" w:type="dxa"/>
            <w:tcBorders>
              <w:top w:val="single" w:sz="8" w:space="0" w:color="4F81BD"/>
              <w:left w:val="nil"/>
              <w:bottom w:val="nil"/>
              <w:right w:val="nil"/>
            </w:tcBorders>
            <w:shd w:val="clear" w:color="auto" w:fill="4F81BD"/>
            <w:vAlign w:val="center"/>
            <w:hideMark/>
          </w:tcPr>
          <w:p w14:paraId="28A99363" w14:textId="77777777" w:rsidR="008C3965" w:rsidRPr="008C3965" w:rsidRDefault="008C3965" w:rsidP="008C3965">
            <w:pPr>
              <w:spacing w:after="0" w:line="240" w:lineRule="auto"/>
              <w:jc w:val="center"/>
              <w:rPr>
                <w:rFonts w:ascii="Calibri" w:eastAsia="Times New Roman" w:hAnsi="Calibri" w:cs="Calibri"/>
                <w:b/>
                <w:bCs/>
                <w:color w:val="FFFFFF"/>
                <w:lang w:eastAsia="en-AU"/>
              </w:rPr>
            </w:pPr>
            <w:r w:rsidRPr="008C3965">
              <w:rPr>
                <w:rFonts w:ascii="Calibri" w:eastAsia="Times New Roman" w:hAnsi="Calibri" w:cs="Calibri"/>
                <w:b/>
                <w:bCs/>
                <w:color w:val="FFFFFF"/>
                <w:lang w:eastAsia="en-AU"/>
              </w:rPr>
              <w:t>2023-24</w:t>
            </w:r>
          </w:p>
        </w:tc>
        <w:tc>
          <w:tcPr>
            <w:tcW w:w="1520" w:type="dxa"/>
            <w:tcBorders>
              <w:top w:val="single" w:sz="8" w:space="0" w:color="4F81BD"/>
              <w:left w:val="nil"/>
              <w:bottom w:val="nil"/>
              <w:right w:val="nil"/>
            </w:tcBorders>
            <w:shd w:val="clear" w:color="auto" w:fill="4F81BD"/>
            <w:vAlign w:val="center"/>
            <w:hideMark/>
          </w:tcPr>
          <w:p w14:paraId="0C87F4F1" w14:textId="77777777" w:rsidR="008C3965" w:rsidRPr="008C3965" w:rsidRDefault="008C3965" w:rsidP="008C3965">
            <w:pPr>
              <w:spacing w:after="0" w:line="240" w:lineRule="auto"/>
              <w:jc w:val="center"/>
              <w:rPr>
                <w:rFonts w:ascii="Calibri" w:eastAsia="Times New Roman" w:hAnsi="Calibri" w:cs="Calibri"/>
                <w:b/>
                <w:bCs/>
                <w:color w:val="FFFFFF"/>
                <w:lang w:eastAsia="en-AU"/>
              </w:rPr>
            </w:pPr>
            <w:r w:rsidRPr="008C3965">
              <w:rPr>
                <w:rFonts w:ascii="Calibri" w:eastAsia="Times New Roman" w:hAnsi="Calibri" w:cs="Calibri"/>
                <w:b/>
                <w:bCs/>
                <w:color w:val="FFFFFF"/>
                <w:lang w:eastAsia="en-AU"/>
              </w:rPr>
              <w:t>2024-25</w:t>
            </w:r>
          </w:p>
        </w:tc>
      </w:tr>
      <w:tr w:rsidR="008C3965" w:rsidRPr="008C3965" w14:paraId="3D7C0CCE" w14:textId="77777777" w:rsidTr="0CB66AEC">
        <w:trPr>
          <w:trHeight w:val="300"/>
        </w:trPr>
        <w:tc>
          <w:tcPr>
            <w:tcW w:w="2000" w:type="dxa"/>
            <w:vMerge/>
            <w:vAlign w:val="center"/>
            <w:hideMark/>
          </w:tcPr>
          <w:p w14:paraId="7AE39408" w14:textId="77777777" w:rsidR="008C3965" w:rsidRPr="008C3965" w:rsidRDefault="008C3965" w:rsidP="008C3965">
            <w:pPr>
              <w:spacing w:after="0" w:line="240" w:lineRule="auto"/>
              <w:rPr>
                <w:rFonts w:ascii="Calibri" w:eastAsia="Times New Roman" w:hAnsi="Calibri" w:cs="Calibri"/>
                <w:b/>
                <w:bCs/>
                <w:color w:val="FFFFFF"/>
                <w:lang w:eastAsia="en-AU"/>
              </w:rPr>
            </w:pPr>
          </w:p>
        </w:tc>
        <w:tc>
          <w:tcPr>
            <w:tcW w:w="1520" w:type="dxa"/>
            <w:tcBorders>
              <w:top w:val="nil"/>
              <w:left w:val="nil"/>
              <w:bottom w:val="single" w:sz="8" w:space="0" w:color="4F81BD"/>
              <w:right w:val="nil"/>
            </w:tcBorders>
            <w:shd w:val="clear" w:color="auto" w:fill="4F81BD"/>
            <w:vAlign w:val="center"/>
            <w:hideMark/>
          </w:tcPr>
          <w:p w14:paraId="07B301FA" w14:textId="77777777" w:rsidR="008C3965" w:rsidRPr="008C3965" w:rsidRDefault="008C3965" w:rsidP="008C3965">
            <w:pPr>
              <w:spacing w:after="0" w:line="240" w:lineRule="auto"/>
              <w:jc w:val="center"/>
              <w:rPr>
                <w:rFonts w:ascii="Calibri" w:eastAsia="Times New Roman" w:hAnsi="Calibri" w:cs="Calibri"/>
                <w:color w:val="FFFFFF"/>
                <w:lang w:eastAsia="en-AU"/>
              </w:rPr>
            </w:pPr>
            <w:r w:rsidRPr="008C3965">
              <w:rPr>
                <w:rFonts w:ascii="Calibri" w:eastAsia="Times New Roman" w:hAnsi="Calibri" w:cs="Calibri"/>
                <w:color w:val="FFFFFF"/>
                <w:lang w:eastAsia="en-AU"/>
              </w:rPr>
              <w:t>$000</w:t>
            </w:r>
          </w:p>
        </w:tc>
        <w:tc>
          <w:tcPr>
            <w:tcW w:w="1520" w:type="dxa"/>
            <w:tcBorders>
              <w:top w:val="nil"/>
              <w:left w:val="nil"/>
              <w:bottom w:val="single" w:sz="8" w:space="0" w:color="4F81BD"/>
              <w:right w:val="nil"/>
            </w:tcBorders>
            <w:shd w:val="clear" w:color="auto" w:fill="4F81BD"/>
            <w:vAlign w:val="center"/>
            <w:hideMark/>
          </w:tcPr>
          <w:p w14:paraId="795F8C17" w14:textId="77777777" w:rsidR="008C3965" w:rsidRPr="008C3965" w:rsidRDefault="008C3965" w:rsidP="008C3965">
            <w:pPr>
              <w:spacing w:after="0" w:line="240" w:lineRule="auto"/>
              <w:jc w:val="center"/>
              <w:rPr>
                <w:rFonts w:ascii="Calibri" w:eastAsia="Times New Roman" w:hAnsi="Calibri" w:cs="Calibri"/>
                <w:color w:val="FFFFFF"/>
                <w:lang w:eastAsia="en-AU"/>
              </w:rPr>
            </w:pPr>
            <w:r w:rsidRPr="008C3965">
              <w:rPr>
                <w:rFonts w:ascii="Calibri" w:eastAsia="Times New Roman" w:hAnsi="Calibri" w:cs="Calibri"/>
                <w:color w:val="FFFFFF"/>
                <w:lang w:eastAsia="en-AU"/>
              </w:rPr>
              <w:t>$000</w:t>
            </w:r>
          </w:p>
        </w:tc>
        <w:tc>
          <w:tcPr>
            <w:tcW w:w="1520" w:type="dxa"/>
            <w:tcBorders>
              <w:top w:val="nil"/>
              <w:left w:val="nil"/>
              <w:bottom w:val="single" w:sz="8" w:space="0" w:color="4F81BD"/>
              <w:right w:val="nil"/>
            </w:tcBorders>
            <w:shd w:val="clear" w:color="auto" w:fill="4F81BD"/>
            <w:vAlign w:val="center"/>
            <w:hideMark/>
          </w:tcPr>
          <w:p w14:paraId="618E3801" w14:textId="77777777" w:rsidR="008C3965" w:rsidRPr="008C3965" w:rsidRDefault="008C3965" w:rsidP="008C3965">
            <w:pPr>
              <w:spacing w:after="0" w:line="240" w:lineRule="auto"/>
              <w:jc w:val="center"/>
              <w:rPr>
                <w:rFonts w:ascii="Calibri" w:eastAsia="Times New Roman" w:hAnsi="Calibri" w:cs="Calibri"/>
                <w:color w:val="FFFFFF"/>
                <w:lang w:eastAsia="en-AU"/>
              </w:rPr>
            </w:pPr>
            <w:r w:rsidRPr="008C3965">
              <w:rPr>
                <w:rFonts w:ascii="Calibri" w:eastAsia="Times New Roman" w:hAnsi="Calibri" w:cs="Calibri"/>
                <w:color w:val="FFFFFF"/>
                <w:lang w:eastAsia="en-AU"/>
              </w:rPr>
              <w:t>$000</w:t>
            </w:r>
          </w:p>
        </w:tc>
        <w:tc>
          <w:tcPr>
            <w:tcW w:w="1520" w:type="dxa"/>
            <w:tcBorders>
              <w:top w:val="nil"/>
              <w:left w:val="nil"/>
              <w:bottom w:val="single" w:sz="8" w:space="0" w:color="4F81BD"/>
              <w:right w:val="nil"/>
            </w:tcBorders>
            <w:shd w:val="clear" w:color="auto" w:fill="4F81BD"/>
            <w:vAlign w:val="center"/>
            <w:hideMark/>
          </w:tcPr>
          <w:p w14:paraId="28075CB3" w14:textId="77777777" w:rsidR="008C3965" w:rsidRPr="008C3965" w:rsidRDefault="008C3965" w:rsidP="008C3965">
            <w:pPr>
              <w:spacing w:after="0" w:line="240" w:lineRule="auto"/>
              <w:jc w:val="center"/>
              <w:rPr>
                <w:rFonts w:ascii="Calibri" w:eastAsia="Times New Roman" w:hAnsi="Calibri" w:cs="Calibri"/>
                <w:color w:val="FFFFFF"/>
                <w:lang w:eastAsia="en-AU"/>
              </w:rPr>
            </w:pPr>
            <w:r w:rsidRPr="008C3965">
              <w:rPr>
                <w:rFonts w:ascii="Calibri" w:eastAsia="Times New Roman" w:hAnsi="Calibri" w:cs="Calibri"/>
                <w:color w:val="FFFFFF"/>
                <w:lang w:eastAsia="en-AU"/>
              </w:rPr>
              <w:t>$000</w:t>
            </w:r>
          </w:p>
        </w:tc>
      </w:tr>
      <w:tr w:rsidR="008C3965" w:rsidRPr="008C3965" w14:paraId="6C6EFD21" w14:textId="77777777" w:rsidTr="0CB66AEC">
        <w:trPr>
          <w:trHeight w:val="300"/>
        </w:trPr>
        <w:tc>
          <w:tcPr>
            <w:tcW w:w="2000" w:type="dxa"/>
            <w:tcBorders>
              <w:top w:val="nil"/>
              <w:left w:val="single" w:sz="8" w:space="0" w:color="95B3D7"/>
              <w:bottom w:val="single" w:sz="8" w:space="0" w:color="95B3D7"/>
              <w:right w:val="single" w:sz="8" w:space="0" w:color="95B3D7"/>
            </w:tcBorders>
            <w:shd w:val="clear" w:color="auto" w:fill="DBE5F1"/>
            <w:vAlign w:val="center"/>
            <w:hideMark/>
          </w:tcPr>
          <w:p w14:paraId="5B040324" w14:textId="77777777" w:rsidR="008C3965" w:rsidRPr="008C3965" w:rsidRDefault="008C3965" w:rsidP="008C3965">
            <w:pPr>
              <w:spacing w:after="0" w:line="240" w:lineRule="auto"/>
              <w:rPr>
                <w:rFonts w:ascii="Calibri" w:eastAsia="Times New Roman" w:hAnsi="Calibri" w:cs="Calibri"/>
                <w:color w:val="17365D"/>
                <w:lang w:eastAsia="en-AU"/>
              </w:rPr>
            </w:pPr>
            <w:r w:rsidRPr="008C3965">
              <w:rPr>
                <w:rFonts w:ascii="Calibri" w:eastAsia="Times New Roman" w:hAnsi="Calibri" w:cs="Calibri"/>
                <w:color w:val="17365D"/>
                <w:lang w:eastAsia="en-AU"/>
              </w:rPr>
              <w:t>Revenue = X</w:t>
            </w:r>
          </w:p>
        </w:tc>
        <w:tc>
          <w:tcPr>
            <w:tcW w:w="1520" w:type="dxa"/>
            <w:tcBorders>
              <w:top w:val="nil"/>
              <w:left w:val="nil"/>
              <w:bottom w:val="single" w:sz="8" w:space="0" w:color="95B3D7"/>
              <w:right w:val="single" w:sz="8" w:space="0" w:color="95B3D7"/>
            </w:tcBorders>
            <w:shd w:val="clear" w:color="auto" w:fill="DBE5F1"/>
            <w:vAlign w:val="center"/>
            <w:hideMark/>
          </w:tcPr>
          <w:p w14:paraId="43F960C8" w14:textId="77777777" w:rsidR="008C3965" w:rsidRPr="008C3965" w:rsidRDefault="008C3965" w:rsidP="008C3965">
            <w:pPr>
              <w:spacing w:after="0" w:line="240" w:lineRule="auto"/>
              <w:jc w:val="center"/>
              <w:rPr>
                <w:rFonts w:ascii="Calibri" w:eastAsia="Times New Roman" w:hAnsi="Calibri" w:cs="Calibri"/>
                <w:color w:val="17365D"/>
                <w:lang w:eastAsia="en-AU"/>
              </w:rPr>
            </w:pPr>
            <w:r w:rsidRPr="008C3965">
              <w:rPr>
                <w:rFonts w:ascii="Calibri" w:eastAsia="Times New Roman" w:hAnsi="Calibri" w:cs="Calibri"/>
                <w:color w:val="17365D"/>
                <w:lang w:eastAsia="en-AU"/>
              </w:rPr>
              <w:t>18,243</w:t>
            </w:r>
          </w:p>
        </w:tc>
        <w:tc>
          <w:tcPr>
            <w:tcW w:w="1520" w:type="dxa"/>
            <w:tcBorders>
              <w:top w:val="nil"/>
              <w:left w:val="nil"/>
              <w:bottom w:val="single" w:sz="8" w:space="0" w:color="95B3D7"/>
              <w:right w:val="single" w:sz="8" w:space="0" w:color="95B3D7"/>
            </w:tcBorders>
            <w:shd w:val="clear" w:color="auto" w:fill="DBE5F1"/>
            <w:vAlign w:val="center"/>
            <w:hideMark/>
          </w:tcPr>
          <w:p w14:paraId="5102B74A" w14:textId="77777777" w:rsidR="008C3965" w:rsidRPr="008C3965" w:rsidRDefault="008C3965" w:rsidP="008C3965">
            <w:pPr>
              <w:spacing w:after="0" w:line="240" w:lineRule="auto"/>
              <w:jc w:val="center"/>
              <w:rPr>
                <w:rFonts w:ascii="Calibri" w:eastAsia="Times New Roman" w:hAnsi="Calibri" w:cs="Calibri"/>
                <w:color w:val="17365D"/>
                <w:lang w:eastAsia="en-AU"/>
              </w:rPr>
            </w:pPr>
            <w:r w:rsidRPr="008C3965">
              <w:rPr>
                <w:rFonts w:ascii="Calibri" w:eastAsia="Times New Roman" w:hAnsi="Calibri" w:cs="Calibri"/>
                <w:color w:val="17365D"/>
                <w:lang w:eastAsia="en-AU"/>
              </w:rPr>
              <w:t>17,675</w:t>
            </w:r>
          </w:p>
        </w:tc>
        <w:tc>
          <w:tcPr>
            <w:tcW w:w="1520" w:type="dxa"/>
            <w:tcBorders>
              <w:top w:val="nil"/>
              <w:left w:val="nil"/>
              <w:bottom w:val="single" w:sz="8" w:space="0" w:color="95B3D7"/>
              <w:right w:val="single" w:sz="8" w:space="0" w:color="95B3D7"/>
            </w:tcBorders>
            <w:shd w:val="clear" w:color="auto" w:fill="DBE5F1"/>
            <w:vAlign w:val="center"/>
            <w:hideMark/>
          </w:tcPr>
          <w:p w14:paraId="703E7B87" w14:textId="77777777" w:rsidR="008C3965" w:rsidRPr="008C3965" w:rsidRDefault="008C3965" w:rsidP="008C3965">
            <w:pPr>
              <w:spacing w:after="0" w:line="240" w:lineRule="auto"/>
              <w:jc w:val="center"/>
              <w:rPr>
                <w:rFonts w:ascii="Calibri" w:eastAsia="Times New Roman" w:hAnsi="Calibri" w:cs="Calibri"/>
                <w:color w:val="17365D"/>
                <w:lang w:eastAsia="en-AU"/>
              </w:rPr>
            </w:pPr>
            <w:r w:rsidRPr="008C3965">
              <w:rPr>
                <w:rFonts w:ascii="Calibri" w:eastAsia="Times New Roman" w:hAnsi="Calibri" w:cs="Calibri"/>
                <w:color w:val="17365D"/>
                <w:lang w:eastAsia="en-AU"/>
              </w:rPr>
              <w:t>17,706</w:t>
            </w:r>
          </w:p>
        </w:tc>
        <w:tc>
          <w:tcPr>
            <w:tcW w:w="1520" w:type="dxa"/>
            <w:tcBorders>
              <w:top w:val="nil"/>
              <w:left w:val="nil"/>
              <w:bottom w:val="single" w:sz="8" w:space="0" w:color="95B3D7"/>
              <w:right w:val="single" w:sz="8" w:space="0" w:color="95B3D7"/>
            </w:tcBorders>
            <w:shd w:val="clear" w:color="auto" w:fill="DBE5F1"/>
            <w:vAlign w:val="center"/>
            <w:hideMark/>
          </w:tcPr>
          <w:p w14:paraId="2815EE98" w14:textId="77777777" w:rsidR="008C3965" w:rsidRPr="008C3965" w:rsidRDefault="008C3965" w:rsidP="008C3965">
            <w:pPr>
              <w:spacing w:after="0" w:line="240" w:lineRule="auto"/>
              <w:jc w:val="center"/>
              <w:rPr>
                <w:rFonts w:ascii="Calibri" w:eastAsia="Times New Roman" w:hAnsi="Calibri" w:cs="Calibri"/>
                <w:color w:val="17365D"/>
                <w:lang w:eastAsia="en-AU"/>
              </w:rPr>
            </w:pPr>
            <w:r w:rsidRPr="008C3965">
              <w:rPr>
                <w:rFonts w:ascii="Calibri" w:eastAsia="Times New Roman" w:hAnsi="Calibri" w:cs="Calibri"/>
                <w:color w:val="17365D"/>
                <w:lang w:eastAsia="en-AU"/>
              </w:rPr>
              <w:t>19,325</w:t>
            </w:r>
          </w:p>
        </w:tc>
      </w:tr>
      <w:tr w:rsidR="008C3965" w:rsidRPr="008C3965" w14:paraId="0BBD5D3C" w14:textId="77777777" w:rsidTr="0CB66AEC">
        <w:trPr>
          <w:trHeight w:val="300"/>
        </w:trPr>
        <w:tc>
          <w:tcPr>
            <w:tcW w:w="2000" w:type="dxa"/>
            <w:tcBorders>
              <w:top w:val="nil"/>
              <w:left w:val="single" w:sz="8" w:space="0" w:color="95B3D7"/>
              <w:bottom w:val="single" w:sz="8" w:space="0" w:color="95B3D7"/>
              <w:right w:val="single" w:sz="8" w:space="0" w:color="95B3D7"/>
            </w:tcBorders>
            <w:vAlign w:val="center"/>
            <w:hideMark/>
          </w:tcPr>
          <w:p w14:paraId="78F1D8DD" w14:textId="77777777" w:rsidR="008C3965" w:rsidRPr="008C3965" w:rsidRDefault="008C3965" w:rsidP="008C3965">
            <w:pPr>
              <w:spacing w:after="0" w:line="240" w:lineRule="auto"/>
              <w:rPr>
                <w:rFonts w:ascii="Calibri" w:eastAsia="Times New Roman" w:hAnsi="Calibri" w:cs="Calibri"/>
                <w:color w:val="17365D"/>
                <w:lang w:eastAsia="en-AU"/>
              </w:rPr>
            </w:pPr>
            <w:r w:rsidRPr="008C3965">
              <w:rPr>
                <w:rFonts w:ascii="Calibri" w:eastAsia="Times New Roman" w:hAnsi="Calibri" w:cs="Calibri"/>
                <w:color w:val="17365D"/>
                <w:lang w:eastAsia="en-AU"/>
              </w:rPr>
              <w:t>Expenses = Y</w:t>
            </w:r>
          </w:p>
        </w:tc>
        <w:tc>
          <w:tcPr>
            <w:tcW w:w="1520" w:type="dxa"/>
            <w:tcBorders>
              <w:top w:val="nil"/>
              <w:left w:val="nil"/>
              <w:bottom w:val="single" w:sz="8" w:space="0" w:color="95B3D7"/>
              <w:right w:val="single" w:sz="8" w:space="0" w:color="95B3D7"/>
            </w:tcBorders>
            <w:vAlign w:val="center"/>
            <w:hideMark/>
          </w:tcPr>
          <w:p w14:paraId="71199C7B" w14:textId="77777777" w:rsidR="008C3965" w:rsidRPr="008C3965" w:rsidRDefault="008C3965" w:rsidP="008C3965">
            <w:pPr>
              <w:spacing w:after="0" w:line="240" w:lineRule="auto"/>
              <w:jc w:val="center"/>
              <w:rPr>
                <w:rFonts w:ascii="Calibri" w:eastAsia="Times New Roman" w:hAnsi="Calibri" w:cs="Calibri"/>
                <w:color w:val="17365D"/>
                <w:lang w:eastAsia="en-AU"/>
              </w:rPr>
            </w:pPr>
            <w:r w:rsidRPr="008C3965">
              <w:rPr>
                <w:rFonts w:ascii="Calibri" w:eastAsia="Times New Roman" w:hAnsi="Calibri" w:cs="Calibri"/>
                <w:color w:val="17365D"/>
                <w:lang w:eastAsia="en-AU"/>
              </w:rPr>
              <w:t>16,493</w:t>
            </w:r>
          </w:p>
        </w:tc>
        <w:tc>
          <w:tcPr>
            <w:tcW w:w="1520" w:type="dxa"/>
            <w:tcBorders>
              <w:top w:val="nil"/>
              <w:left w:val="nil"/>
              <w:bottom w:val="single" w:sz="8" w:space="0" w:color="95B3D7"/>
              <w:right w:val="single" w:sz="8" w:space="0" w:color="95B3D7"/>
            </w:tcBorders>
            <w:vAlign w:val="center"/>
            <w:hideMark/>
          </w:tcPr>
          <w:p w14:paraId="7E9500CF" w14:textId="77777777" w:rsidR="008C3965" w:rsidRPr="008C3965" w:rsidRDefault="008C3965" w:rsidP="008C3965">
            <w:pPr>
              <w:spacing w:after="0" w:line="240" w:lineRule="auto"/>
              <w:jc w:val="center"/>
              <w:rPr>
                <w:rFonts w:ascii="Calibri" w:eastAsia="Times New Roman" w:hAnsi="Calibri" w:cs="Calibri"/>
                <w:color w:val="17365D"/>
                <w:lang w:eastAsia="en-AU"/>
              </w:rPr>
            </w:pPr>
            <w:r w:rsidRPr="008C3965">
              <w:rPr>
                <w:rFonts w:ascii="Calibri" w:eastAsia="Times New Roman" w:hAnsi="Calibri" w:cs="Calibri"/>
                <w:color w:val="17365D"/>
                <w:lang w:eastAsia="en-AU"/>
              </w:rPr>
              <w:t>16,965</w:t>
            </w:r>
          </w:p>
        </w:tc>
        <w:tc>
          <w:tcPr>
            <w:tcW w:w="1520" w:type="dxa"/>
            <w:tcBorders>
              <w:top w:val="nil"/>
              <w:left w:val="nil"/>
              <w:bottom w:val="single" w:sz="8" w:space="0" w:color="95B3D7"/>
              <w:right w:val="single" w:sz="8" w:space="0" w:color="95B3D7"/>
            </w:tcBorders>
            <w:vAlign w:val="center"/>
            <w:hideMark/>
          </w:tcPr>
          <w:p w14:paraId="354CF538" w14:textId="77777777" w:rsidR="008C3965" w:rsidRPr="008C3965" w:rsidRDefault="008C3965" w:rsidP="008C3965">
            <w:pPr>
              <w:spacing w:after="0" w:line="240" w:lineRule="auto"/>
              <w:jc w:val="center"/>
              <w:rPr>
                <w:rFonts w:ascii="Calibri" w:eastAsia="Times New Roman" w:hAnsi="Calibri" w:cs="Calibri"/>
                <w:color w:val="17365D"/>
                <w:lang w:eastAsia="en-AU"/>
              </w:rPr>
            </w:pPr>
            <w:r w:rsidRPr="008C3965">
              <w:rPr>
                <w:rFonts w:ascii="Calibri" w:eastAsia="Times New Roman" w:hAnsi="Calibri" w:cs="Calibri"/>
                <w:color w:val="17365D"/>
                <w:lang w:eastAsia="en-AU"/>
              </w:rPr>
              <w:t>20,111</w:t>
            </w:r>
          </w:p>
        </w:tc>
        <w:tc>
          <w:tcPr>
            <w:tcW w:w="1520" w:type="dxa"/>
            <w:tcBorders>
              <w:top w:val="nil"/>
              <w:left w:val="nil"/>
              <w:bottom w:val="single" w:sz="8" w:space="0" w:color="95B3D7"/>
              <w:right w:val="single" w:sz="8" w:space="0" w:color="95B3D7"/>
            </w:tcBorders>
            <w:vAlign w:val="center"/>
            <w:hideMark/>
          </w:tcPr>
          <w:p w14:paraId="64682E19" w14:textId="7AFD264E" w:rsidR="008C3965" w:rsidRPr="008C3965" w:rsidRDefault="008C3965" w:rsidP="008C3965">
            <w:pPr>
              <w:spacing w:after="0" w:line="240" w:lineRule="auto"/>
              <w:jc w:val="center"/>
              <w:rPr>
                <w:rFonts w:ascii="Calibri" w:eastAsia="Times New Roman" w:hAnsi="Calibri" w:cs="Calibri"/>
                <w:color w:val="17365D"/>
                <w:lang w:eastAsia="en-AU"/>
              </w:rPr>
            </w:pPr>
            <w:r w:rsidRPr="661E133C">
              <w:rPr>
                <w:rFonts w:ascii="Calibri" w:eastAsia="Times New Roman" w:hAnsi="Calibri" w:cs="Calibri"/>
                <w:color w:val="17365D"/>
                <w:lang w:eastAsia="en-AU"/>
              </w:rPr>
              <w:t>21,</w:t>
            </w:r>
            <w:r w:rsidR="184E2C3C" w:rsidRPr="661E133C">
              <w:rPr>
                <w:rFonts w:ascii="Calibri" w:eastAsia="Times New Roman" w:hAnsi="Calibri" w:cs="Calibri"/>
                <w:color w:val="17365D"/>
                <w:lang w:eastAsia="en-AU"/>
              </w:rPr>
              <w:t>241</w:t>
            </w:r>
          </w:p>
        </w:tc>
      </w:tr>
      <w:tr w:rsidR="008C3965" w:rsidRPr="008C3965" w14:paraId="0686DACC" w14:textId="77777777" w:rsidTr="0CB66AEC">
        <w:trPr>
          <w:trHeight w:val="300"/>
        </w:trPr>
        <w:tc>
          <w:tcPr>
            <w:tcW w:w="2000" w:type="dxa"/>
            <w:tcBorders>
              <w:top w:val="nil"/>
              <w:left w:val="single" w:sz="8" w:space="0" w:color="95B3D7"/>
              <w:bottom w:val="single" w:sz="8" w:space="0" w:color="95B3D7"/>
              <w:right w:val="single" w:sz="8" w:space="0" w:color="95B3D7"/>
            </w:tcBorders>
            <w:shd w:val="clear" w:color="auto" w:fill="DBE5F1"/>
            <w:vAlign w:val="center"/>
            <w:hideMark/>
          </w:tcPr>
          <w:p w14:paraId="7AAE8CB4" w14:textId="77777777" w:rsidR="008C3965" w:rsidRPr="008C3965" w:rsidRDefault="008C3965" w:rsidP="008C3965">
            <w:pPr>
              <w:spacing w:after="0" w:line="240" w:lineRule="auto"/>
              <w:rPr>
                <w:rFonts w:ascii="Calibri" w:eastAsia="Times New Roman" w:hAnsi="Calibri" w:cs="Calibri"/>
                <w:color w:val="17365D"/>
                <w:lang w:eastAsia="en-AU"/>
              </w:rPr>
            </w:pPr>
            <w:r w:rsidRPr="008C3965">
              <w:rPr>
                <w:rFonts w:ascii="Calibri" w:eastAsia="Times New Roman" w:hAnsi="Calibri" w:cs="Calibri"/>
                <w:color w:val="17365D"/>
                <w:lang w:eastAsia="en-AU"/>
              </w:rPr>
              <w:t>Balance = X-Y</w:t>
            </w:r>
          </w:p>
        </w:tc>
        <w:tc>
          <w:tcPr>
            <w:tcW w:w="1520" w:type="dxa"/>
            <w:tcBorders>
              <w:top w:val="nil"/>
              <w:left w:val="nil"/>
              <w:bottom w:val="single" w:sz="8" w:space="0" w:color="95B3D7"/>
              <w:right w:val="single" w:sz="8" w:space="0" w:color="95B3D7"/>
            </w:tcBorders>
            <w:shd w:val="clear" w:color="auto" w:fill="DBE5F1"/>
            <w:vAlign w:val="center"/>
            <w:hideMark/>
          </w:tcPr>
          <w:p w14:paraId="1558C14A" w14:textId="77777777" w:rsidR="008C3965" w:rsidRPr="008C3965" w:rsidRDefault="008C3965" w:rsidP="008C3965">
            <w:pPr>
              <w:spacing w:after="0" w:line="240" w:lineRule="auto"/>
              <w:jc w:val="center"/>
              <w:rPr>
                <w:rFonts w:ascii="Calibri" w:eastAsia="Times New Roman" w:hAnsi="Calibri" w:cs="Calibri"/>
                <w:color w:val="17365D"/>
                <w:lang w:eastAsia="en-AU"/>
              </w:rPr>
            </w:pPr>
            <w:r w:rsidRPr="008C3965">
              <w:rPr>
                <w:rFonts w:ascii="Calibri" w:eastAsia="Times New Roman" w:hAnsi="Calibri" w:cs="Calibri"/>
                <w:color w:val="17365D"/>
                <w:lang w:eastAsia="en-AU"/>
              </w:rPr>
              <w:t>1,750</w:t>
            </w:r>
          </w:p>
        </w:tc>
        <w:tc>
          <w:tcPr>
            <w:tcW w:w="1520" w:type="dxa"/>
            <w:tcBorders>
              <w:top w:val="nil"/>
              <w:left w:val="nil"/>
              <w:bottom w:val="single" w:sz="8" w:space="0" w:color="95B3D7"/>
              <w:right w:val="single" w:sz="8" w:space="0" w:color="95B3D7"/>
            </w:tcBorders>
            <w:shd w:val="clear" w:color="auto" w:fill="DBE5F1"/>
            <w:vAlign w:val="center"/>
            <w:hideMark/>
          </w:tcPr>
          <w:p w14:paraId="08FBFCF1" w14:textId="77777777" w:rsidR="008C3965" w:rsidRPr="008C3965" w:rsidRDefault="008C3965" w:rsidP="008C3965">
            <w:pPr>
              <w:spacing w:after="0" w:line="240" w:lineRule="auto"/>
              <w:jc w:val="center"/>
              <w:rPr>
                <w:rFonts w:ascii="Calibri" w:eastAsia="Times New Roman" w:hAnsi="Calibri" w:cs="Calibri"/>
                <w:color w:val="17365D"/>
                <w:lang w:eastAsia="en-AU"/>
              </w:rPr>
            </w:pPr>
            <w:r w:rsidRPr="008C3965">
              <w:rPr>
                <w:rFonts w:ascii="Calibri" w:eastAsia="Times New Roman" w:hAnsi="Calibri" w:cs="Calibri"/>
                <w:color w:val="17365D"/>
                <w:lang w:eastAsia="en-AU"/>
              </w:rPr>
              <w:t>710</w:t>
            </w:r>
          </w:p>
        </w:tc>
        <w:tc>
          <w:tcPr>
            <w:tcW w:w="1520" w:type="dxa"/>
            <w:tcBorders>
              <w:top w:val="nil"/>
              <w:left w:val="nil"/>
              <w:bottom w:val="single" w:sz="8" w:space="0" w:color="95B3D7"/>
              <w:right w:val="single" w:sz="8" w:space="0" w:color="95B3D7"/>
            </w:tcBorders>
            <w:shd w:val="clear" w:color="auto" w:fill="DDEBF7"/>
            <w:vAlign w:val="center"/>
            <w:hideMark/>
          </w:tcPr>
          <w:p w14:paraId="462360D9" w14:textId="77777777" w:rsidR="008C3965" w:rsidRPr="008C3965" w:rsidRDefault="008C3965" w:rsidP="008C3965">
            <w:pPr>
              <w:spacing w:after="0" w:line="240" w:lineRule="auto"/>
              <w:jc w:val="center"/>
              <w:rPr>
                <w:rFonts w:ascii="Calibri" w:eastAsia="Times New Roman" w:hAnsi="Calibri" w:cs="Calibri"/>
                <w:color w:val="17365D"/>
                <w:lang w:eastAsia="en-AU"/>
              </w:rPr>
            </w:pPr>
            <w:r w:rsidRPr="008C3965">
              <w:rPr>
                <w:rFonts w:ascii="Calibri" w:eastAsia="Times New Roman" w:hAnsi="Calibri" w:cs="Calibri"/>
                <w:color w:val="17365D"/>
                <w:lang w:eastAsia="en-AU"/>
              </w:rPr>
              <w:t>(2,405)</w:t>
            </w:r>
          </w:p>
        </w:tc>
        <w:tc>
          <w:tcPr>
            <w:tcW w:w="1520" w:type="dxa"/>
            <w:tcBorders>
              <w:top w:val="nil"/>
              <w:left w:val="nil"/>
              <w:bottom w:val="single" w:sz="8" w:space="0" w:color="95B3D7"/>
              <w:right w:val="single" w:sz="8" w:space="0" w:color="95B3D7"/>
            </w:tcBorders>
            <w:shd w:val="clear" w:color="auto" w:fill="DDEBF7"/>
            <w:vAlign w:val="center"/>
            <w:hideMark/>
          </w:tcPr>
          <w:p w14:paraId="5647409E" w14:textId="322C8068" w:rsidR="008C3965" w:rsidRPr="008C3965" w:rsidRDefault="008C3965" w:rsidP="008C3965">
            <w:pPr>
              <w:spacing w:after="0" w:line="240" w:lineRule="auto"/>
              <w:jc w:val="center"/>
              <w:rPr>
                <w:rFonts w:ascii="Calibri" w:eastAsia="Times New Roman" w:hAnsi="Calibri" w:cs="Calibri"/>
                <w:color w:val="17365D"/>
                <w:lang w:eastAsia="en-AU"/>
              </w:rPr>
            </w:pPr>
            <w:r w:rsidRPr="0CB66AEC">
              <w:rPr>
                <w:rFonts w:ascii="Calibri" w:eastAsia="Times New Roman" w:hAnsi="Calibri" w:cs="Calibri"/>
                <w:color w:val="17365D"/>
                <w:lang w:eastAsia="en-AU"/>
              </w:rPr>
              <w:t>(</w:t>
            </w:r>
            <w:r w:rsidR="1B2C7082" w:rsidRPr="0CB66AEC">
              <w:rPr>
                <w:rFonts w:ascii="Calibri" w:eastAsia="Times New Roman" w:hAnsi="Calibri" w:cs="Calibri"/>
                <w:color w:val="17365D"/>
                <w:lang w:eastAsia="en-AU"/>
              </w:rPr>
              <w:t>1,916</w:t>
            </w:r>
            <w:r w:rsidRPr="0CB66AEC">
              <w:rPr>
                <w:rFonts w:ascii="Calibri" w:eastAsia="Times New Roman" w:hAnsi="Calibri" w:cs="Calibri"/>
                <w:color w:val="17365D"/>
                <w:lang w:eastAsia="en-AU"/>
              </w:rPr>
              <w:t>)</w:t>
            </w:r>
          </w:p>
        </w:tc>
      </w:tr>
    </w:tbl>
    <w:p w14:paraId="0F16BF71" w14:textId="77777777" w:rsidR="00021D3A" w:rsidRDefault="00021D3A" w:rsidP="003E694A">
      <w:pPr>
        <w:tabs>
          <w:tab w:val="left" w:pos="2410"/>
          <w:tab w:val="left" w:pos="2693"/>
        </w:tabs>
        <w:rPr>
          <w:sz w:val="22"/>
          <w:szCs w:val="22"/>
        </w:rPr>
      </w:pPr>
    </w:p>
    <w:p w14:paraId="3D33C8D0" w14:textId="339834BE" w:rsidR="00021D3A" w:rsidRDefault="00021D3A" w:rsidP="00AF30D7">
      <w:pPr>
        <w:pStyle w:val="Heading1"/>
        <w:numPr>
          <w:ilvl w:val="0"/>
          <w:numId w:val="2"/>
        </w:numPr>
      </w:pPr>
      <w:bookmarkStart w:id="37" w:name="_Toc215752355"/>
      <w:bookmarkEnd w:id="34"/>
      <w:r w:rsidRPr="00D1274B">
        <w:t>NON-FINANCIAL PERFORMANCE</w:t>
      </w:r>
      <w:bookmarkEnd w:id="37"/>
      <w:r w:rsidRPr="00D1274B">
        <w:t xml:space="preserve"> </w:t>
      </w:r>
    </w:p>
    <w:p w14:paraId="487353F7" w14:textId="6DB92755" w:rsidR="00916F58" w:rsidRDefault="00916F58" w:rsidP="00916F58">
      <w:pPr>
        <w:rPr>
          <w:rFonts w:cstheme="minorHAnsi"/>
        </w:rPr>
      </w:pPr>
      <w:r>
        <w:rPr>
          <w:rFonts w:cstheme="minorHAnsi"/>
        </w:rPr>
        <w:t xml:space="preserve">NOPTA is subject to a range of governance controls including independent statutory reviews. </w:t>
      </w:r>
      <w:r w:rsidRPr="001F7EF1">
        <w:rPr>
          <w:rFonts w:cstheme="minorHAnsi"/>
        </w:rPr>
        <w:t>In accordance with section 695</w:t>
      </w:r>
      <w:proofErr w:type="gramStart"/>
      <w:r w:rsidRPr="001F7EF1">
        <w:rPr>
          <w:rFonts w:cstheme="minorHAnsi"/>
        </w:rPr>
        <w:t>P(</w:t>
      </w:r>
      <w:proofErr w:type="gramEnd"/>
      <w:r w:rsidRPr="001F7EF1">
        <w:rPr>
          <w:rFonts w:cstheme="minorHAnsi"/>
        </w:rPr>
        <w:t xml:space="preserve">1) of the OPGGS Act, a </w:t>
      </w:r>
      <w:r w:rsidR="000E2571">
        <w:rPr>
          <w:rFonts w:cstheme="minorHAnsi"/>
        </w:rPr>
        <w:t>5</w:t>
      </w:r>
      <w:r w:rsidR="000E2571" w:rsidRPr="001F7EF1">
        <w:rPr>
          <w:rFonts w:cstheme="minorHAnsi"/>
        </w:rPr>
        <w:t>-year</w:t>
      </w:r>
      <w:r w:rsidRPr="001F7EF1">
        <w:rPr>
          <w:rFonts w:cstheme="minorHAnsi"/>
        </w:rPr>
        <w:t xml:space="preserve"> review of the effectiveness of the Titles Administrator in contributing to the efficiency of decision making by </w:t>
      </w:r>
      <w:r>
        <w:rPr>
          <w:rFonts w:cstheme="minorHAnsi"/>
        </w:rPr>
        <w:t>the</w:t>
      </w:r>
      <w:r w:rsidRPr="001F7EF1">
        <w:rPr>
          <w:rFonts w:cstheme="minorHAnsi"/>
        </w:rPr>
        <w:t xml:space="preserve"> Joint Authority was conducted</w:t>
      </w:r>
      <w:r>
        <w:rPr>
          <w:rFonts w:cstheme="minorHAnsi"/>
        </w:rPr>
        <w:t xml:space="preserve"> by Deloitte in 2020-21</w:t>
      </w:r>
      <w:r w:rsidRPr="001F7EF1">
        <w:rPr>
          <w:rFonts w:cstheme="minorHAnsi"/>
        </w:rPr>
        <w:t>. The final report was tabled in the Commonwealth Parliament on 22</w:t>
      </w:r>
      <w:r>
        <w:rPr>
          <w:rFonts w:cstheme="minorHAnsi"/>
        </w:rPr>
        <w:t> </w:t>
      </w:r>
      <w:r w:rsidRPr="001F7EF1">
        <w:rPr>
          <w:rFonts w:cstheme="minorHAnsi"/>
        </w:rPr>
        <w:t>July</w:t>
      </w:r>
      <w:r>
        <w:rPr>
          <w:rFonts w:cstheme="minorHAnsi"/>
        </w:rPr>
        <w:t> </w:t>
      </w:r>
      <w:r w:rsidRPr="001F7EF1">
        <w:rPr>
          <w:rFonts w:cstheme="minorHAnsi"/>
        </w:rPr>
        <w:t>2021</w:t>
      </w:r>
      <w:r>
        <w:rPr>
          <w:rStyle w:val="FootnoteReference"/>
          <w:rFonts w:cstheme="minorHAnsi"/>
        </w:rPr>
        <w:footnoteReference w:id="27"/>
      </w:r>
      <w:r w:rsidRPr="001F7EF1">
        <w:rPr>
          <w:rFonts w:cstheme="minorHAnsi"/>
        </w:rPr>
        <w:t>.</w:t>
      </w:r>
      <w:r>
        <w:rPr>
          <w:rFonts w:cstheme="minorHAnsi"/>
        </w:rPr>
        <w:t xml:space="preserve"> Deloitte </w:t>
      </w:r>
      <w:r w:rsidRPr="001F7EF1">
        <w:rPr>
          <w:rFonts w:cstheme="minorHAnsi"/>
        </w:rPr>
        <w:t xml:space="preserve">found </w:t>
      </w:r>
      <w:r>
        <w:rPr>
          <w:rFonts w:cstheme="minorHAnsi"/>
        </w:rPr>
        <w:t xml:space="preserve">since 2014-15 </w:t>
      </w:r>
      <w:r w:rsidRPr="001F7EF1">
        <w:rPr>
          <w:rFonts w:cstheme="minorHAnsi"/>
        </w:rPr>
        <w:t xml:space="preserve">NOPTA </w:t>
      </w:r>
      <w:r>
        <w:rPr>
          <w:rFonts w:cstheme="minorHAnsi"/>
        </w:rPr>
        <w:t xml:space="preserve">has </w:t>
      </w:r>
      <w:r w:rsidRPr="001F7EF1">
        <w:rPr>
          <w:rFonts w:cstheme="minorHAnsi"/>
        </w:rPr>
        <w:t>been effective and efficient in carrying out its functions under section 695B of the OPGGS Act and effective in contributing to the efficiency of the decision</w:t>
      </w:r>
      <w:r>
        <w:rPr>
          <w:rFonts w:cstheme="minorHAnsi"/>
        </w:rPr>
        <w:t xml:space="preserve"> making </w:t>
      </w:r>
      <w:r w:rsidRPr="007363E0">
        <w:rPr>
          <w:rFonts w:cstheme="minorHAnsi"/>
        </w:rPr>
        <w:t xml:space="preserve">by </w:t>
      </w:r>
      <w:r>
        <w:rPr>
          <w:rFonts w:cstheme="minorHAnsi"/>
        </w:rPr>
        <w:t>the</w:t>
      </w:r>
      <w:r w:rsidRPr="007363E0">
        <w:rPr>
          <w:rFonts w:cstheme="minorHAnsi"/>
        </w:rPr>
        <w:t xml:space="preserve"> Joint Authority</w:t>
      </w:r>
      <w:r>
        <w:rPr>
          <w:rFonts w:cstheme="minorHAnsi"/>
        </w:rPr>
        <w:t>.</w:t>
      </w:r>
    </w:p>
    <w:p w14:paraId="57935EB1" w14:textId="59B455A2" w:rsidR="00916F58" w:rsidRDefault="00783C35" w:rsidP="00916F58">
      <w:pPr>
        <w:rPr>
          <w:rFonts w:cstheme="minorHAnsi"/>
        </w:rPr>
      </w:pPr>
      <w:r w:rsidRPr="00D060E4">
        <w:rPr>
          <w:rFonts w:cstheme="minorHAnsi"/>
        </w:rPr>
        <w:t>I</w:t>
      </w:r>
      <w:r w:rsidR="00916F58" w:rsidRPr="00D060E4">
        <w:rPr>
          <w:rFonts w:cstheme="minorHAnsi"/>
        </w:rPr>
        <w:t xml:space="preserve">n the </w:t>
      </w:r>
      <w:r w:rsidR="00733550" w:rsidRPr="00D060E4">
        <w:rPr>
          <w:rFonts w:cstheme="minorHAnsi"/>
        </w:rPr>
        <w:t>DISR Corporate Plan</w:t>
      </w:r>
      <w:r w:rsidR="006F3F14" w:rsidRPr="00D060E4">
        <w:rPr>
          <w:rStyle w:val="FootnoteReference"/>
          <w:rFonts w:cstheme="minorHAnsi"/>
        </w:rPr>
        <w:footnoteReference w:id="28"/>
      </w:r>
      <w:r w:rsidR="00916F58" w:rsidRPr="00D060E4">
        <w:rPr>
          <w:rFonts w:cstheme="minorHAnsi"/>
        </w:rPr>
        <w:t xml:space="preserve"> </w:t>
      </w:r>
      <w:r w:rsidRPr="00D060E4">
        <w:rPr>
          <w:rFonts w:cstheme="minorHAnsi"/>
        </w:rPr>
        <w:t xml:space="preserve">NOPTA’s performance measure </w:t>
      </w:r>
      <w:r w:rsidR="00916F58" w:rsidRPr="00D060E4">
        <w:rPr>
          <w:rFonts w:cstheme="minorHAnsi"/>
        </w:rPr>
        <w:t xml:space="preserve">is published assessment timeframes for applications made under the OPGGS Act are met 90% of the time. </w:t>
      </w:r>
      <w:r w:rsidRPr="00C7007B">
        <w:rPr>
          <w:rFonts w:cstheme="minorHAnsi"/>
        </w:rPr>
        <w:t>In 202</w:t>
      </w:r>
      <w:r w:rsidR="00364A9E" w:rsidRPr="00C7007B">
        <w:rPr>
          <w:rFonts w:cstheme="minorHAnsi"/>
        </w:rPr>
        <w:t>4</w:t>
      </w:r>
      <w:r w:rsidRPr="00C7007B">
        <w:rPr>
          <w:rFonts w:cstheme="minorHAnsi"/>
        </w:rPr>
        <w:t>-2</w:t>
      </w:r>
      <w:r w:rsidR="00364A9E" w:rsidRPr="00C7007B">
        <w:rPr>
          <w:rFonts w:cstheme="minorHAnsi"/>
        </w:rPr>
        <w:t>5</w:t>
      </w:r>
      <w:r w:rsidRPr="00C7007B">
        <w:rPr>
          <w:rFonts w:cstheme="minorHAnsi"/>
        </w:rPr>
        <w:t xml:space="preserve"> NOPTA</w:t>
      </w:r>
      <w:r w:rsidRPr="00D060E4">
        <w:rPr>
          <w:rFonts w:cstheme="minorHAnsi"/>
        </w:rPr>
        <w:t xml:space="preserve"> </w:t>
      </w:r>
      <w:r w:rsidR="00E22492" w:rsidRPr="00D060E4">
        <w:t xml:space="preserve">met the indicative target timeframes (consistent with the DISR performance measure) for assessing Joint Authority, Titles Administrator and Responsible Commonwealth Minister </w:t>
      </w:r>
      <w:r w:rsidR="00E22492" w:rsidRPr="00C7007B">
        <w:t>applications 9</w:t>
      </w:r>
      <w:r w:rsidR="009C0AAA" w:rsidRPr="00C7007B">
        <w:t>9</w:t>
      </w:r>
      <w:r w:rsidR="00E22492" w:rsidRPr="00C7007B">
        <w:t>%</w:t>
      </w:r>
      <w:r w:rsidR="00E22492" w:rsidRPr="00D060E4">
        <w:t xml:space="preserve"> of the time</w:t>
      </w:r>
      <w:r w:rsidRPr="00D060E4">
        <w:rPr>
          <w:rFonts w:cstheme="minorHAnsi"/>
        </w:rPr>
        <w:t>.</w:t>
      </w:r>
    </w:p>
    <w:p w14:paraId="039DCF07" w14:textId="77777777" w:rsidR="00916F58" w:rsidRDefault="00916F58" w:rsidP="00916F58">
      <w:pPr>
        <w:rPr>
          <w:rFonts w:cstheme="minorHAnsi"/>
        </w:rPr>
      </w:pPr>
      <w:r w:rsidRPr="00037881">
        <w:rPr>
          <w:rFonts w:cstheme="minorHAnsi"/>
        </w:rPr>
        <w:t xml:space="preserve">NOPTA provides input for the </w:t>
      </w:r>
      <w:r>
        <w:rPr>
          <w:rFonts w:cstheme="minorHAnsi"/>
        </w:rPr>
        <w:t>DISR</w:t>
      </w:r>
      <w:r w:rsidRPr="00037881">
        <w:rPr>
          <w:rFonts w:cstheme="minorHAnsi"/>
        </w:rPr>
        <w:t xml:space="preserve">’s broader annual reporting process pursuant to its requirement under s695N of the </w:t>
      </w:r>
      <w:r>
        <w:rPr>
          <w:rFonts w:cstheme="minorHAnsi"/>
        </w:rPr>
        <w:t>OPGGS Act</w:t>
      </w:r>
      <w:r w:rsidRPr="00037881">
        <w:rPr>
          <w:rFonts w:cstheme="minorHAnsi"/>
        </w:rPr>
        <w:t xml:space="preserve">. NOPTA also publishes a separate annual report of its activities, which is consistent with its input into the department’s annual report but is expanded to provide a broader overview of NOPTA’s operations and can be found on </w:t>
      </w:r>
      <w:r>
        <w:rPr>
          <w:rFonts w:cstheme="minorHAnsi"/>
        </w:rPr>
        <w:t xml:space="preserve">the </w:t>
      </w:r>
      <w:r w:rsidRPr="00037881">
        <w:rPr>
          <w:rFonts w:cstheme="minorHAnsi"/>
        </w:rPr>
        <w:t>NOPTA web</w:t>
      </w:r>
      <w:r w:rsidRPr="00950A04">
        <w:rPr>
          <w:rFonts w:cstheme="minorHAnsi"/>
        </w:rPr>
        <w:t>site</w:t>
      </w:r>
      <w:r w:rsidRPr="00950A04">
        <w:rPr>
          <w:rStyle w:val="FootnoteReference"/>
          <w:rFonts w:cstheme="minorHAnsi"/>
        </w:rPr>
        <w:footnoteReference w:id="29"/>
      </w:r>
      <w:r w:rsidRPr="00950A04">
        <w:rPr>
          <w:rFonts w:cstheme="minorHAnsi"/>
        </w:rPr>
        <w:t>.</w:t>
      </w:r>
      <w:r w:rsidRPr="00037881">
        <w:rPr>
          <w:rFonts w:cstheme="minorHAnsi"/>
        </w:rPr>
        <w:t> </w:t>
      </w:r>
    </w:p>
    <w:p w14:paraId="1AF60929" w14:textId="67E79D35" w:rsidR="003106ED" w:rsidRPr="00324103" w:rsidRDefault="003106ED" w:rsidP="003106ED">
      <w:pPr>
        <w:spacing w:after="0" w:line="276" w:lineRule="auto"/>
        <w:rPr>
          <w:rFonts w:cstheme="minorHAnsi"/>
          <w:b/>
          <w:bCs/>
          <w:i/>
          <w:iCs/>
        </w:rPr>
      </w:pPr>
      <w:bookmarkStart w:id="38" w:name="_Toc84844734"/>
      <w:r w:rsidRPr="00324103">
        <w:rPr>
          <w:rFonts w:cstheme="minorHAnsi"/>
          <w:b/>
          <w:bCs/>
          <w:i/>
          <w:iCs/>
        </w:rPr>
        <w:t>NOPTA stakeholder survey</w:t>
      </w:r>
      <w:bookmarkEnd w:id="38"/>
      <w:r w:rsidRPr="00324103">
        <w:rPr>
          <w:b/>
          <w:bCs/>
        </w:rPr>
        <w:t xml:space="preserve"> </w:t>
      </w:r>
    </w:p>
    <w:p w14:paraId="06A1D00D" w14:textId="5E599687" w:rsidR="00916F58" w:rsidRDefault="003106ED" w:rsidP="003106ED">
      <w:pPr>
        <w:spacing w:after="0"/>
      </w:pPr>
      <w:r>
        <w:t>As part of NOPTA’s ongoing performance reporting obligations, NOPTA undertakes regular stakeholder surveys to assess client satisfaction with its performance in key areas. In May 2023 NOPTA engaged KPMG to undertake its 2023 Stakeholder Survey. The survey was focused on the Titles Administrator function only. This was NOPTA’s sixth comprehensive survey of stakeholder views. Stakeholder feedback has provided us with important insights in the areas of accessibility of information, regulatory effort, resource management, communication, cost recovery and risk. The outcomes of the survey represent an excellent result for NOPTA. Some of these key highlights were:</w:t>
      </w:r>
    </w:p>
    <w:p w14:paraId="2E963B55" w14:textId="77777777" w:rsidR="0003248A" w:rsidRPr="004E2194" w:rsidRDefault="003106ED" w:rsidP="00AF30D7">
      <w:pPr>
        <w:pStyle w:val="ListParagraph"/>
        <w:numPr>
          <w:ilvl w:val="1"/>
          <w:numId w:val="10"/>
        </w:numPr>
        <w:spacing w:before="160" w:after="160" w:line="276" w:lineRule="auto"/>
        <w:contextualSpacing/>
        <w:rPr>
          <w:rFonts w:asciiTheme="minorHAnsi" w:hAnsiTheme="minorHAnsi" w:cstheme="minorHAnsi"/>
          <w:sz w:val="20"/>
          <w:szCs w:val="20"/>
        </w:rPr>
      </w:pPr>
      <w:r w:rsidRPr="004E2194">
        <w:rPr>
          <w:rFonts w:asciiTheme="minorHAnsi" w:hAnsiTheme="minorHAnsi" w:cstheme="minorHAnsi"/>
          <w:sz w:val="20"/>
          <w:szCs w:val="20"/>
        </w:rPr>
        <w:t>NOPTA’s role is very well understood, with 76% of stakeholders understanding NOPTA’s role to a great extent.</w:t>
      </w:r>
      <w:r w:rsidR="0003248A" w:rsidRPr="004E2194">
        <w:rPr>
          <w:rFonts w:asciiTheme="minorHAnsi" w:hAnsiTheme="minorHAnsi" w:cstheme="minorHAnsi"/>
          <w:sz w:val="20"/>
          <w:szCs w:val="20"/>
        </w:rPr>
        <w:t xml:space="preserve"> </w:t>
      </w:r>
    </w:p>
    <w:p w14:paraId="30C83EF4" w14:textId="0E454262" w:rsidR="0003248A" w:rsidRPr="004E2194" w:rsidRDefault="0003248A" w:rsidP="00AF30D7">
      <w:pPr>
        <w:pStyle w:val="ListParagraph"/>
        <w:numPr>
          <w:ilvl w:val="1"/>
          <w:numId w:val="10"/>
        </w:numPr>
        <w:spacing w:before="160" w:after="160" w:line="276" w:lineRule="auto"/>
        <w:contextualSpacing/>
        <w:rPr>
          <w:rFonts w:asciiTheme="minorHAnsi" w:hAnsiTheme="minorHAnsi" w:cstheme="minorHAnsi"/>
          <w:sz w:val="20"/>
          <w:szCs w:val="20"/>
        </w:rPr>
      </w:pPr>
      <w:proofErr w:type="gramStart"/>
      <w:r w:rsidRPr="004E2194">
        <w:rPr>
          <w:rFonts w:asciiTheme="minorHAnsi" w:hAnsiTheme="minorHAnsi" w:cstheme="minorHAnsi"/>
          <w:sz w:val="20"/>
          <w:szCs w:val="20"/>
        </w:rPr>
        <w:t>The majority of</w:t>
      </w:r>
      <w:proofErr w:type="gramEnd"/>
      <w:r w:rsidRPr="004E2194">
        <w:rPr>
          <w:rFonts w:asciiTheme="minorHAnsi" w:hAnsiTheme="minorHAnsi" w:cstheme="minorHAnsi"/>
          <w:sz w:val="20"/>
          <w:szCs w:val="20"/>
        </w:rPr>
        <w:t xml:space="preserve"> respondents were either very or somewhat satisfied with the technical expertise of NOPTA staff (100%)</w:t>
      </w:r>
    </w:p>
    <w:p w14:paraId="4F9D50F2" w14:textId="6E709934" w:rsidR="003106ED" w:rsidRPr="004E2194" w:rsidRDefault="003106ED" w:rsidP="00AF30D7">
      <w:pPr>
        <w:pStyle w:val="ListParagraph"/>
        <w:numPr>
          <w:ilvl w:val="1"/>
          <w:numId w:val="10"/>
        </w:numPr>
        <w:spacing w:before="160" w:after="160" w:line="276" w:lineRule="auto"/>
        <w:contextualSpacing/>
        <w:rPr>
          <w:rFonts w:asciiTheme="minorHAnsi" w:hAnsiTheme="minorHAnsi" w:cstheme="minorHAnsi"/>
          <w:sz w:val="20"/>
          <w:szCs w:val="20"/>
        </w:rPr>
      </w:pPr>
      <w:r w:rsidRPr="004E2194">
        <w:rPr>
          <w:rFonts w:asciiTheme="minorHAnsi" w:hAnsiTheme="minorHAnsi" w:cstheme="minorHAnsi"/>
          <w:sz w:val="20"/>
          <w:szCs w:val="20"/>
        </w:rPr>
        <w:t xml:space="preserve">All stakeholders thought that NOPTA makes a valuable contribution to the process of managing Australia’s resources </w:t>
      </w:r>
      <w:proofErr w:type="gramStart"/>
      <w:r w:rsidRPr="004E2194">
        <w:rPr>
          <w:rFonts w:asciiTheme="minorHAnsi" w:hAnsiTheme="minorHAnsi" w:cstheme="minorHAnsi"/>
          <w:sz w:val="20"/>
          <w:szCs w:val="20"/>
        </w:rPr>
        <w:t>to a great extent</w:t>
      </w:r>
      <w:proofErr w:type="gramEnd"/>
      <w:r w:rsidRPr="004E2194">
        <w:rPr>
          <w:rFonts w:asciiTheme="minorHAnsi" w:hAnsiTheme="minorHAnsi" w:cstheme="minorHAnsi"/>
          <w:sz w:val="20"/>
          <w:szCs w:val="20"/>
        </w:rPr>
        <w:t xml:space="preserve"> or some extent (100%)</w:t>
      </w:r>
    </w:p>
    <w:p w14:paraId="218CE75B" w14:textId="4FF7C4CD" w:rsidR="003106ED" w:rsidRPr="004E2194" w:rsidRDefault="003106ED" w:rsidP="00AF30D7">
      <w:pPr>
        <w:pStyle w:val="ListParagraph"/>
        <w:numPr>
          <w:ilvl w:val="1"/>
          <w:numId w:val="10"/>
        </w:numPr>
        <w:spacing w:before="160" w:after="160" w:line="276" w:lineRule="auto"/>
        <w:contextualSpacing/>
        <w:rPr>
          <w:rFonts w:asciiTheme="minorHAnsi" w:hAnsiTheme="minorHAnsi" w:cstheme="minorHAnsi"/>
          <w:sz w:val="20"/>
          <w:szCs w:val="20"/>
        </w:rPr>
      </w:pPr>
      <w:r w:rsidRPr="004E2194">
        <w:rPr>
          <w:rFonts w:asciiTheme="minorHAnsi" w:hAnsiTheme="minorHAnsi" w:cstheme="minorHAnsi"/>
          <w:sz w:val="20"/>
          <w:szCs w:val="20"/>
        </w:rPr>
        <w:t>Respondents largely viewed NOPTA’s current fees and levies as very reasonable or reasonable (88%)</w:t>
      </w:r>
    </w:p>
    <w:p w14:paraId="3DEB672D" w14:textId="77777777" w:rsidR="0003248A" w:rsidRPr="003106ED" w:rsidRDefault="0003248A" w:rsidP="0003248A">
      <w:pPr>
        <w:pStyle w:val="ListParagraph"/>
        <w:numPr>
          <w:ilvl w:val="0"/>
          <w:numId w:val="0"/>
        </w:numPr>
        <w:spacing w:after="0"/>
        <w:ind w:left="357"/>
        <w:rPr>
          <w:rFonts w:asciiTheme="minorHAnsi" w:eastAsiaTheme="minorEastAsia" w:hAnsiTheme="minorHAnsi"/>
          <w:sz w:val="20"/>
          <w:szCs w:val="20"/>
        </w:rPr>
      </w:pPr>
    </w:p>
    <w:p w14:paraId="7D7053F1" w14:textId="0B1E6043" w:rsidR="003106ED" w:rsidRPr="003106ED" w:rsidRDefault="003106ED" w:rsidP="0003248A">
      <w:pPr>
        <w:rPr>
          <w:iCs/>
        </w:rPr>
      </w:pPr>
      <w:r>
        <w:t>We also obtained feedback regarding areas where stakeholders consider NOPTA’s performance could be improved. These include matters relevant to collaboration with stakeholders, timeliness of decisions, regulatory effort, and providing additional support with new legislative requirements. NOPTA is actively pursuing a range of priorities to optimise our performance and enhance the processes through which we collaborate and engage with our stakeholders. Our online portals and systems are under constant improvement and have had recent upgrades to facilitate online submissions, as well as ongoing work to streamline our internal assessment processes to improve timeframe efficiencies and better track and report on application processing performance. NOPTA will continue to improve its communications and engagement with stakeholders and will refine its communication strategy accordingly.</w:t>
      </w:r>
    </w:p>
    <w:p w14:paraId="6B3174B8" w14:textId="77777777" w:rsidR="00CC0AF2" w:rsidRDefault="00CC0AF2" w:rsidP="00A30233"/>
    <w:p w14:paraId="57E805B0" w14:textId="77777777" w:rsidR="00F51CBB" w:rsidRPr="00A30233" w:rsidRDefault="00F51CBB" w:rsidP="00A30233"/>
    <w:p w14:paraId="364125DF" w14:textId="2E5AFC7D" w:rsidR="009D2E68" w:rsidRPr="00B556BB" w:rsidRDefault="00021D3A" w:rsidP="00B556BB">
      <w:pPr>
        <w:pStyle w:val="Heading1"/>
        <w:numPr>
          <w:ilvl w:val="0"/>
          <w:numId w:val="2"/>
        </w:numPr>
      </w:pPr>
      <w:bookmarkStart w:id="39" w:name="_Toc215752356"/>
      <w:r w:rsidRPr="00D57921">
        <w:t>KEY FORWARD DATES AND EVENTS</w:t>
      </w:r>
      <w:bookmarkEnd w:id="39"/>
    </w:p>
    <w:p w14:paraId="4DB27D25" w14:textId="5F4A6331" w:rsidR="008A3D1C" w:rsidRDefault="008A3D1C" w:rsidP="00D34C88"/>
    <w:tbl>
      <w:tblPr>
        <w:tblStyle w:val="TableGrid"/>
        <w:tblW w:w="966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Key forward dates and events"/>
      </w:tblPr>
      <w:tblGrid>
        <w:gridCol w:w="1560"/>
        <w:gridCol w:w="8108"/>
      </w:tblGrid>
      <w:tr w:rsidR="00A26A13" w:rsidRPr="00AC1494" w14:paraId="6F1F3218" w14:textId="77777777" w:rsidTr="000662EF">
        <w:trPr>
          <w:trHeight w:val="252"/>
        </w:trPr>
        <w:tc>
          <w:tcPr>
            <w:tcW w:w="1560" w:type="dxa"/>
          </w:tcPr>
          <w:p w14:paraId="2F2A556B" w14:textId="109C9DE4" w:rsidR="00127C47" w:rsidRPr="00AC1494" w:rsidRDefault="00131C0B">
            <w:pPr>
              <w:rPr>
                <w:rFonts w:asciiTheme="minorHAnsi" w:hAnsiTheme="minorHAnsi" w:cstheme="minorHAnsi"/>
                <w:iCs/>
              </w:rPr>
            </w:pPr>
            <w:r>
              <w:rPr>
                <w:rFonts w:asciiTheme="minorHAnsi" w:hAnsiTheme="minorHAnsi" w:cstheme="minorHAnsi"/>
                <w:iCs/>
              </w:rPr>
              <w:t>Nov</w:t>
            </w:r>
            <w:r w:rsidR="0072457C">
              <w:rPr>
                <w:rFonts w:asciiTheme="minorHAnsi" w:hAnsiTheme="minorHAnsi" w:cstheme="minorHAnsi"/>
                <w:iCs/>
              </w:rPr>
              <w:t>/Dec</w:t>
            </w:r>
            <w:r w:rsidR="00373E60">
              <w:rPr>
                <w:rFonts w:asciiTheme="minorHAnsi" w:hAnsiTheme="minorHAnsi" w:cstheme="minorHAnsi"/>
                <w:iCs/>
              </w:rPr>
              <w:t xml:space="preserve"> 2025</w:t>
            </w:r>
          </w:p>
        </w:tc>
        <w:tc>
          <w:tcPr>
            <w:tcW w:w="8108" w:type="dxa"/>
          </w:tcPr>
          <w:p w14:paraId="061BAF42" w14:textId="22B2E2A3" w:rsidR="00127C47" w:rsidRPr="00AC1494" w:rsidRDefault="001544F9">
            <w:pPr>
              <w:rPr>
                <w:rFonts w:asciiTheme="minorHAnsi" w:hAnsiTheme="minorHAnsi" w:cstheme="minorHAnsi"/>
                <w:i/>
                <w:iCs/>
                <w:color w:val="808080"/>
                <w:u w:val="single"/>
              </w:rPr>
            </w:pPr>
            <w:r>
              <w:rPr>
                <w:rFonts w:asciiTheme="minorHAnsi" w:hAnsiTheme="minorHAnsi" w:cstheme="minorHAnsi"/>
                <w:iCs/>
              </w:rPr>
              <w:t>Stakeholder Engagement</w:t>
            </w:r>
          </w:p>
        </w:tc>
      </w:tr>
      <w:tr w:rsidR="00A26A13" w:rsidRPr="00AC1494" w14:paraId="2ABED6B7" w14:textId="77777777" w:rsidTr="000662EF">
        <w:trPr>
          <w:trHeight w:val="265"/>
        </w:trPr>
        <w:tc>
          <w:tcPr>
            <w:tcW w:w="1560" w:type="dxa"/>
          </w:tcPr>
          <w:p w14:paraId="2AFB5410" w14:textId="6B715C68" w:rsidR="00E22299" w:rsidRPr="005F1D1E" w:rsidRDefault="003C1AED">
            <w:pPr>
              <w:rPr>
                <w:rFonts w:asciiTheme="minorHAnsi" w:hAnsiTheme="minorHAnsi" w:cstheme="minorHAnsi"/>
                <w:iCs/>
              </w:rPr>
            </w:pPr>
            <w:r>
              <w:rPr>
                <w:rFonts w:asciiTheme="minorHAnsi" w:hAnsiTheme="minorHAnsi" w:cstheme="minorHAnsi"/>
                <w:iCs/>
              </w:rPr>
              <w:t>Nov</w:t>
            </w:r>
            <w:r w:rsidR="0072457C">
              <w:rPr>
                <w:rFonts w:asciiTheme="minorHAnsi" w:hAnsiTheme="minorHAnsi" w:cstheme="minorHAnsi"/>
                <w:iCs/>
              </w:rPr>
              <w:t>/Dec</w:t>
            </w:r>
            <w:r w:rsidR="00373E60">
              <w:rPr>
                <w:rFonts w:asciiTheme="minorHAnsi" w:hAnsiTheme="minorHAnsi" w:cstheme="minorHAnsi"/>
                <w:iCs/>
              </w:rPr>
              <w:t xml:space="preserve"> 2025</w:t>
            </w:r>
          </w:p>
        </w:tc>
        <w:tc>
          <w:tcPr>
            <w:tcW w:w="8108" w:type="dxa"/>
          </w:tcPr>
          <w:p w14:paraId="06D4BF62" w14:textId="50E3BAE8" w:rsidR="00E22299" w:rsidRPr="00C90087" w:rsidRDefault="00B46C4E">
            <w:pPr>
              <w:rPr>
                <w:rFonts w:asciiTheme="minorHAnsi" w:hAnsiTheme="minorHAnsi" w:cstheme="minorHAnsi"/>
                <w:iCs/>
              </w:rPr>
            </w:pPr>
            <w:r w:rsidRPr="005F1D1E">
              <w:rPr>
                <w:rFonts w:asciiTheme="minorHAnsi" w:hAnsiTheme="minorHAnsi" w:cstheme="minorHAnsi"/>
                <w:iCs/>
              </w:rPr>
              <w:t xml:space="preserve">Amend draft CRIS to incorporate </w:t>
            </w:r>
            <w:r w:rsidR="00441D5C">
              <w:rPr>
                <w:rFonts w:asciiTheme="minorHAnsi" w:hAnsiTheme="minorHAnsi" w:cstheme="minorHAnsi"/>
                <w:iCs/>
              </w:rPr>
              <w:t>s</w:t>
            </w:r>
            <w:r w:rsidRPr="005F1D1E">
              <w:rPr>
                <w:rFonts w:asciiTheme="minorHAnsi" w:hAnsiTheme="minorHAnsi" w:cstheme="minorHAnsi"/>
                <w:iCs/>
              </w:rPr>
              <w:t xml:space="preserve">takeholder engagement </w:t>
            </w:r>
            <w:r w:rsidR="00E020AD">
              <w:rPr>
                <w:rFonts w:asciiTheme="minorHAnsi" w:hAnsiTheme="minorHAnsi" w:cstheme="minorHAnsi"/>
                <w:iCs/>
              </w:rPr>
              <w:t>outcomes</w:t>
            </w:r>
          </w:p>
        </w:tc>
      </w:tr>
      <w:tr w:rsidR="00A26A13" w:rsidRPr="00AC1494" w14:paraId="3E98C884" w14:textId="77777777" w:rsidTr="000662EF">
        <w:trPr>
          <w:trHeight w:val="265"/>
        </w:trPr>
        <w:tc>
          <w:tcPr>
            <w:tcW w:w="1560" w:type="dxa"/>
          </w:tcPr>
          <w:p w14:paraId="0E1C832F" w14:textId="7F49041A" w:rsidR="00E22299" w:rsidRPr="005F1D1E" w:rsidRDefault="003C1AED">
            <w:pPr>
              <w:rPr>
                <w:rFonts w:asciiTheme="minorHAnsi" w:hAnsiTheme="minorHAnsi" w:cstheme="minorHAnsi"/>
                <w:iCs/>
              </w:rPr>
            </w:pPr>
            <w:r>
              <w:rPr>
                <w:rFonts w:asciiTheme="minorHAnsi" w:hAnsiTheme="minorHAnsi" w:cstheme="minorHAnsi"/>
                <w:iCs/>
              </w:rPr>
              <w:t>Nov</w:t>
            </w:r>
            <w:r w:rsidR="0072457C">
              <w:rPr>
                <w:rFonts w:asciiTheme="minorHAnsi" w:hAnsiTheme="minorHAnsi" w:cstheme="minorHAnsi"/>
                <w:iCs/>
              </w:rPr>
              <w:t>/Dec</w:t>
            </w:r>
            <w:r w:rsidR="00373E60">
              <w:rPr>
                <w:rFonts w:asciiTheme="minorHAnsi" w:hAnsiTheme="minorHAnsi" w:cstheme="minorHAnsi"/>
                <w:iCs/>
              </w:rPr>
              <w:t xml:space="preserve"> </w:t>
            </w:r>
            <w:r w:rsidR="00B556BB">
              <w:rPr>
                <w:rFonts w:asciiTheme="minorHAnsi" w:hAnsiTheme="minorHAnsi" w:cstheme="minorHAnsi"/>
                <w:iCs/>
              </w:rPr>
              <w:t>2025</w:t>
            </w:r>
          </w:p>
        </w:tc>
        <w:tc>
          <w:tcPr>
            <w:tcW w:w="8108" w:type="dxa"/>
          </w:tcPr>
          <w:p w14:paraId="76E15C24" w14:textId="74B78F2E" w:rsidR="00E22299" w:rsidRPr="005F1D1E" w:rsidRDefault="00502E1E">
            <w:pPr>
              <w:rPr>
                <w:rFonts w:asciiTheme="minorHAnsi" w:hAnsiTheme="minorHAnsi" w:cstheme="minorHAnsi"/>
                <w:iCs/>
              </w:rPr>
            </w:pPr>
            <w:r>
              <w:rPr>
                <w:rFonts w:asciiTheme="minorHAnsi" w:hAnsiTheme="minorHAnsi" w:cstheme="minorHAnsi"/>
                <w:iCs/>
              </w:rPr>
              <w:t>Submi</w:t>
            </w:r>
            <w:r w:rsidR="00A34571">
              <w:rPr>
                <w:rFonts w:asciiTheme="minorHAnsi" w:hAnsiTheme="minorHAnsi" w:cstheme="minorHAnsi"/>
                <w:iCs/>
              </w:rPr>
              <w:t>t</w:t>
            </w:r>
            <w:r>
              <w:rPr>
                <w:rFonts w:asciiTheme="minorHAnsi" w:hAnsiTheme="minorHAnsi" w:cstheme="minorHAnsi"/>
                <w:iCs/>
              </w:rPr>
              <w:t xml:space="preserve"> </w:t>
            </w:r>
            <w:r w:rsidR="00A34571">
              <w:rPr>
                <w:rFonts w:asciiTheme="minorHAnsi" w:hAnsiTheme="minorHAnsi" w:cstheme="minorHAnsi"/>
                <w:iCs/>
              </w:rPr>
              <w:t>C</w:t>
            </w:r>
            <w:r>
              <w:rPr>
                <w:rFonts w:asciiTheme="minorHAnsi" w:hAnsiTheme="minorHAnsi" w:cstheme="minorHAnsi"/>
                <w:iCs/>
              </w:rPr>
              <w:t xml:space="preserve">harging Risk </w:t>
            </w:r>
            <w:r w:rsidR="00A34571">
              <w:rPr>
                <w:rFonts w:asciiTheme="minorHAnsi" w:hAnsiTheme="minorHAnsi" w:cstheme="minorHAnsi"/>
                <w:iCs/>
              </w:rPr>
              <w:t>Assessment to the Department of Finance</w:t>
            </w:r>
          </w:p>
        </w:tc>
      </w:tr>
      <w:tr w:rsidR="00A26A13" w:rsidRPr="00AC1494" w14:paraId="57A578EF" w14:textId="77777777" w:rsidTr="000662EF">
        <w:trPr>
          <w:trHeight w:val="265"/>
        </w:trPr>
        <w:tc>
          <w:tcPr>
            <w:tcW w:w="1560" w:type="dxa"/>
          </w:tcPr>
          <w:p w14:paraId="57460BE1" w14:textId="68C9A2F6" w:rsidR="00355B27" w:rsidRPr="005F1D1E" w:rsidRDefault="00512615">
            <w:pPr>
              <w:rPr>
                <w:rFonts w:asciiTheme="minorHAnsi" w:hAnsiTheme="minorHAnsi" w:cstheme="minorHAnsi"/>
                <w:iCs/>
              </w:rPr>
            </w:pPr>
            <w:r>
              <w:rPr>
                <w:rFonts w:asciiTheme="minorHAnsi" w:hAnsiTheme="minorHAnsi" w:cstheme="minorHAnsi"/>
                <w:iCs/>
              </w:rPr>
              <w:t>Feb</w:t>
            </w:r>
            <w:r w:rsidR="00B556BB">
              <w:rPr>
                <w:rFonts w:asciiTheme="minorHAnsi" w:hAnsiTheme="minorHAnsi" w:cstheme="minorHAnsi"/>
                <w:iCs/>
              </w:rPr>
              <w:t xml:space="preserve"> 202</w:t>
            </w:r>
            <w:r w:rsidR="00EE790D">
              <w:rPr>
                <w:rFonts w:asciiTheme="minorHAnsi" w:hAnsiTheme="minorHAnsi" w:cstheme="minorHAnsi"/>
                <w:iCs/>
              </w:rPr>
              <w:t>6</w:t>
            </w:r>
          </w:p>
        </w:tc>
        <w:tc>
          <w:tcPr>
            <w:tcW w:w="8108" w:type="dxa"/>
          </w:tcPr>
          <w:p w14:paraId="35429D9E" w14:textId="65E6DE47" w:rsidR="00355B27" w:rsidRPr="005F1D1E" w:rsidRDefault="00E22299">
            <w:pPr>
              <w:rPr>
                <w:rFonts w:asciiTheme="minorHAnsi" w:hAnsiTheme="minorHAnsi" w:cstheme="minorHAnsi"/>
                <w:iCs/>
              </w:rPr>
            </w:pPr>
            <w:r>
              <w:rPr>
                <w:rFonts w:asciiTheme="minorHAnsi" w:hAnsiTheme="minorHAnsi" w:cstheme="minorHAnsi"/>
                <w:iCs/>
              </w:rPr>
              <w:t>Ministerial approvals of final CRIS</w:t>
            </w:r>
          </w:p>
        </w:tc>
      </w:tr>
      <w:tr w:rsidR="00A26A13" w:rsidRPr="00AC1494" w14:paraId="18F7A48D" w14:textId="77777777" w:rsidTr="000662EF">
        <w:trPr>
          <w:trHeight w:val="265"/>
        </w:trPr>
        <w:tc>
          <w:tcPr>
            <w:tcW w:w="1560" w:type="dxa"/>
          </w:tcPr>
          <w:p w14:paraId="1AD1A8A0" w14:textId="395AF111" w:rsidR="00127C47" w:rsidRPr="00BC2B5C" w:rsidRDefault="001544F9">
            <w:pPr>
              <w:rPr>
                <w:rFonts w:asciiTheme="minorHAnsi" w:hAnsiTheme="minorHAnsi" w:cstheme="minorHAnsi"/>
                <w:iCs/>
              </w:rPr>
            </w:pPr>
            <w:r w:rsidRPr="00CF30CE">
              <w:rPr>
                <w:rFonts w:asciiTheme="minorHAnsi" w:hAnsiTheme="minorHAnsi" w:cstheme="minorHAnsi"/>
                <w:iCs/>
              </w:rPr>
              <w:t xml:space="preserve">1 </w:t>
            </w:r>
            <w:r w:rsidR="00876841">
              <w:rPr>
                <w:rFonts w:asciiTheme="minorHAnsi" w:hAnsiTheme="minorHAnsi" w:cstheme="minorHAnsi"/>
                <w:iCs/>
              </w:rPr>
              <w:t>May</w:t>
            </w:r>
            <w:r w:rsidRPr="00BC2B5C">
              <w:rPr>
                <w:rFonts w:asciiTheme="minorHAnsi" w:hAnsiTheme="minorHAnsi" w:cstheme="minorHAnsi"/>
                <w:iCs/>
              </w:rPr>
              <w:t xml:space="preserve"> 202</w:t>
            </w:r>
            <w:r w:rsidR="00B556BB" w:rsidRPr="00BC2B5C">
              <w:rPr>
                <w:rFonts w:asciiTheme="minorHAnsi" w:hAnsiTheme="minorHAnsi" w:cstheme="minorHAnsi"/>
                <w:iCs/>
              </w:rPr>
              <w:t>6</w:t>
            </w:r>
          </w:p>
        </w:tc>
        <w:tc>
          <w:tcPr>
            <w:tcW w:w="8108" w:type="dxa"/>
          </w:tcPr>
          <w:p w14:paraId="783EB6CC" w14:textId="24F3F430" w:rsidR="00127C47" w:rsidRPr="00AC1494" w:rsidRDefault="001544F9">
            <w:pPr>
              <w:rPr>
                <w:rFonts w:asciiTheme="minorHAnsi" w:hAnsiTheme="minorHAnsi" w:cstheme="minorHAnsi"/>
                <w:iCs/>
              </w:rPr>
            </w:pPr>
            <w:r>
              <w:rPr>
                <w:rFonts w:asciiTheme="minorHAnsi" w:hAnsiTheme="minorHAnsi" w:cstheme="minorHAnsi"/>
                <w:iCs/>
              </w:rPr>
              <w:t>Implementation of CRIS update</w:t>
            </w:r>
          </w:p>
        </w:tc>
      </w:tr>
      <w:tr w:rsidR="00A26A13" w:rsidRPr="00AC1494" w14:paraId="3D71D143" w14:textId="77777777" w:rsidTr="000662EF">
        <w:trPr>
          <w:trHeight w:val="252"/>
        </w:trPr>
        <w:tc>
          <w:tcPr>
            <w:tcW w:w="1560" w:type="dxa"/>
          </w:tcPr>
          <w:p w14:paraId="6F707330" w14:textId="77777777" w:rsidR="00127C47" w:rsidRPr="00AC1494" w:rsidRDefault="00127C47">
            <w:pPr>
              <w:rPr>
                <w:rFonts w:asciiTheme="minorHAnsi" w:hAnsiTheme="minorHAnsi" w:cstheme="minorHAnsi"/>
                <w:iCs/>
              </w:rPr>
            </w:pPr>
          </w:p>
        </w:tc>
        <w:tc>
          <w:tcPr>
            <w:tcW w:w="8108" w:type="dxa"/>
          </w:tcPr>
          <w:p w14:paraId="47FFDA98" w14:textId="77777777" w:rsidR="00127C47" w:rsidRPr="00AC1494" w:rsidRDefault="00127C47">
            <w:pPr>
              <w:rPr>
                <w:rFonts w:asciiTheme="minorHAnsi" w:hAnsiTheme="minorHAnsi" w:cstheme="minorHAnsi"/>
                <w:iCs/>
              </w:rPr>
            </w:pPr>
          </w:p>
        </w:tc>
      </w:tr>
    </w:tbl>
    <w:p w14:paraId="461BAF8C" w14:textId="77777777" w:rsidR="00127C47" w:rsidRDefault="00127C47" w:rsidP="00D34C88"/>
    <w:p w14:paraId="5377C86F" w14:textId="410EEC22" w:rsidR="00021D3A" w:rsidRPr="00D57921" w:rsidRDefault="00021D3A" w:rsidP="00AF30D7">
      <w:pPr>
        <w:pStyle w:val="Heading1"/>
        <w:numPr>
          <w:ilvl w:val="0"/>
          <w:numId w:val="2"/>
        </w:numPr>
      </w:pPr>
      <w:bookmarkStart w:id="40" w:name="_Toc215752357"/>
      <w:r w:rsidRPr="00D57921">
        <w:t>CRIS APPROVAL AND CHANGE REGISTER</w:t>
      </w:r>
      <w:bookmarkEnd w:id="40"/>
    </w:p>
    <w:p w14:paraId="07792EB7" w14:textId="77777777" w:rsidR="008A3D1C" w:rsidRPr="00D34C88" w:rsidRDefault="008A3D1C" w:rsidP="00D34C88">
      <w:pPr>
        <w:spacing w:before="100" w:after="100"/>
        <w:rPr>
          <w:i/>
          <w:iCs/>
        </w:rPr>
      </w:pPr>
    </w:p>
    <w:tbl>
      <w:tblPr>
        <w:tblStyle w:val="TableGrid"/>
        <w:tblpPr w:leftFromText="180" w:rightFromText="180" w:vertAnchor="text" w:horzAnchor="margin" w:tblpXSpec="right" w:tblpY="54"/>
        <w:tblOverlap w:val="never"/>
        <w:tblW w:w="9021" w:type="dxa"/>
        <w:tblLayout w:type="fixed"/>
        <w:tblLook w:val="04A0" w:firstRow="1" w:lastRow="0" w:firstColumn="1" w:lastColumn="0" w:noHBand="0" w:noVBand="1"/>
      </w:tblPr>
      <w:tblGrid>
        <w:gridCol w:w="1225"/>
        <w:gridCol w:w="2574"/>
        <w:gridCol w:w="2387"/>
        <w:gridCol w:w="2835"/>
      </w:tblGrid>
      <w:tr w:rsidR="00293D06" w:rsidRPr="00050A51" w14:paraId="61FE4B07" w14:textId="77777777" w:rsidTr="00293D06">
        <w:tc>
          <w:tcPr>
            <w:tcW w:w="1225" w:type="dxa"/>
            <w:shd w:val="solid" w:color="D5DCE4" w:themeColor="text2" w:themeTint="33" w:fill="D5DCE4" w:themeFill="text2" w:themeFillTint="33"/>
          </w:tcPr>
          <w:p w14:paraId="5270460A" w14:textId="77777777" w:rsidR="00293D06" w:rsidRPr="00050A51" w:rsidRDefault="00293D06" w:rsidP="00293D06">
            <w:pPr>
              <w:rPr>
                <w:rFonts w:asciiTheme="minorHAnsi" w:hAnsiTheme="minorHAnsi"/>
                <w:iCs/>
                <w:sz w:val="18"/>
              </w:rPr>
            </w:pPr>
            <w:r w:rsidRPr="00050A51">
              <w:rPr>
                <w:rFonts w:asciiTheme="minorHAnsi" w:hAnsiTheme="minorHAnsi"/>
                <w:iCs/>
                <w:sz w:val="18"/>
              </w:rPr>
              <w:t>Date of change</w:t>
            </w:r>
          </w:p>
        </w:tc>
        <w:tc>
          <w:tcPr>
            <w:tcW w:w="2574" w:type="dxa"/>
            <w:shd w:val="solid" w:color="D5DCE4" w:themeColor="text2" w:themeTint="33" w:fill="D5DCE4" w:themeFill="text2" w:themeFillTint="33"/>
          </w:tcPr>
          <w:p w14:paraId="383BD410" w14:textId="77777777" w:rsidR="00293D06" w:rsidRPr="00050A51" w:rsidRDefault="00293D06" w:rsidP="00293D06">
            <w:pPr>
              <w:rPr>
                <w:rFonts w:asciiTheme="minorHAnsi" w:hAnsiTheme="minorHAnsi"/>
                <w:iCs/>
                <w:sz w:val="18"/>
              </w:rPr>
            </w:pPr>
            <w:r w:rsidRPr="00050A51">
              <w:rPr>
                <w:rFonts w:asciiTheme="minorHAnsi" w:hAnsiTheme="minorHAnsi"/>
                <w:iCs/>
                <w:sz w:val="18"/>
              </w:rPr>
              <w:t>CRIS change</w:t>
            </w:r>
          </w:p>
        </w:tc>
        <w:tc>
          <w:tcPr>
            <w:tcW w:w="2387" w:type="dxa"/>
            <w:shd w:val="solid" w:color="D5DCE4" w:themeColor="text2" w:themeTint="33" w:fill="D5DCE4" w:themeFill="text2" w:themeFillTint="33"/>
          </w:tcPr>
          <w:p w14:paraId="6A4328E6" w14:textId="77777777" w:rsidR="00293D06" w:rsidRPr="00050A51" w:rsidRDefault="00293D06" w:rsidP="00293D06">
            <w:pPr>
              <w:rPr>
                <w:rFonts w:asciiTheme="minorHAnsi" w:hAnsiTheme="minorHAnsi"/>
                <w:iCs/>
                <w:sz w:val="18"/>
              </w:rPr>
            </w:pPr>
            <w:r w:rsidRPr="00050A51">
              <w:rPr>
                <w:rFonts w:asciiTheme="minorHAnsi" w:hAnsiTheme="minorHAnsi"/>
                <w:iCs/>
                <w:sz w:val="18"/>
              </w:rPr>
              <w:t>Approver</w:t>
            </w:r>
          </w:p>
        </w:tc>
        <w:tc>
          <w:tcPr>
            <w:tcW w:w="2835" w:type="dxa"/>
            <w:shd w:val="solid" w:color="D5DCE4" w:themeColor="text2" w:themeTint="33" w:fill="D5DCE4" w:themeFill="text2" w:themeFillTint="33"/>
          </w:tcPr>
          <w:p w14:paraId="2D84FD83" w14:textId="77777777" w:rsidR="00293D06" w:rsidRPr="00050A51" w:rsidRDefault="00293D06" w:rsidP="00293D06">
            <w:pPr>
              <w:rPr>
                <w:rFonts w:asciiTheme="minorHAnsi" w:hAnsiTheme="minorHAnsi"/>
                <w:iCs/>
                <w:sz w:val="18"/>
              </w:rPr>
            </w:pPr>
            <w:r w:rsidRPr="00050A51">
              <w:rPr>
                <w:rFonts w:asciiTheme="minorHAnsi" w:hAnsiTheme="minorHAnsi"/>
                <w:iCs/>
                <w:sz w:val="18"/>
              </w:rPr>
              <w:t>Basis for change</w:t>
            </w:r>
          </w:p>
        </w:tc>
      </w:tr>
      <w:tr w:rsidR="00293D06" w:rsidRPr="00050A51" w14:paraId="1585F157" w14:textId="77777777" w:rsidTr="00293D06">
        <w:tc>
          <w:tcPr>
            <w:tcW w:w="1225" w:type="dxa"/>
            <w:vAlign w:val="center"/>
          </w:tcPr>
          <w:p w14:paraId="73912D79" w14:textId="6348F473" w:rsidR="00293D06" w:rsidRPr="00050A51" w:rsidRDefault="00DC4786" w:rsidP="000809B2">
            <w:pPr>
              <w:spacing w:before="60" w:after="60"/>
              <w:rPr>
                <w:rFonts w:asciiTheme="minorHAnsi" w:hAnsiTheme="minorHAnsi"/>
                <w:sz w:val="18"/>
              </w:rPr>
            </w:pPr>
            <w:r>
              <w:rPr>
                <w:rFonts w:asciiTheme="minorHAnsi" w:hAnsiTheme="minorHAnsi"/>
                <w:sz w:val="18"/>
              </w:rPr>
              <w:t>1 May 2026</w:t>
            </w:r>
          </w:p>
        </w:tc>
        <w:tc>
          <w:tcPr>
            <w:tcW w:w="2574" w:type="dxa"/>
            <w:vAlign w:val="center"/>
          </w:tcPr>
          <w:p w14:paraId="238A644F" w14:textId="31E1929C" w:rsidR="00293D06" w:rsidRPr="00050A51" w:rsidRDefault="00996FB7" w:rsidP="00293D06">
            <w:pPr>
              <w:spacing w:before="60" w:after="60"/>
              <w:rPr>
                <w:rFonts w:asciiTheme="minorHAnsi" w:hAnsiTheme="minorHAnsi"/>
                <w:sz w:val="18"/>
              </w:rPr>
            </w:pPr>
            <w:r>
              <w:rPr>
                <w:rFonts w:asciiTheme="minorHAnsi" w:hAnsiTheme="minorHAnsi"/>
                <w:sz w:val="18"/>
              </w:rPr>
              <w:t>Reduction in application tiers from four to three.</w:t>
            </w:r>
            <w:r w:rsidR="007007EB">
              <w:rPr>
                <w:rFonts w:asciiTheme="minorHAnsi" w:hAnsiTheme="minorHAnsi"/>
                <w:sz w:val="18"/>
              </w:rPr>
              <w:t xml:space="preserve"> Var</w:t>
            </w:r>
            <w:r w:rsidR="00FD4A53">
              <w:rPr>
                <w:rFonts w:asciiTheme="minorHAnsi" w:hAnsiTheme="minorHAnsi"/>
                <w:sz w:val="18"/>
              </w:rPr>
              <w:t>ying levy increases in line with effort required</w:t>
            </w:r>
            <w:r w:rsidR="00383788">
              <w:rPr>
                <w:rFonts w:asciiTheme="minorHAnsi" w:hAnsiTheme="minorHAnsi"/>
                <w:sz w:val="18"/>
              </w:rPr>
              <w:t>. GHG levy increase capped at 10%.</w:t>
            </w:r>
            <w:r w:rsidR="00D7454B">
              <w:rPr>
                <w:rFonts w:asciiTheme="minorHAnsi" w:hAnsiTheme="minorHAnsi"/>
                <w:sz w:val="18"/>
              </w:rPr>
              <w:t xml:space="preserve"> </w:t>
            </w:r>
            <w:r w:rsidR="00293D06" w:rsidRPr="00050A51">
              <w:rPr>
                <w:rFonts w:asciiTheme="minorHAnsi" w:hAnsiTheme="minorHAnsi"/>
                <w:sz w:val="18"/>
              </w:rPr>
              <w:t xml:space="preserve"> </w:t>
            </w:r>
          </w:p>
        </w:tc>
        <w:tc>
          <w:tcPr>
            <w:tcW w:w="2387" w:type="dxa"/>
            <w:vAlign w:val="center"/>
          </w:tcPr>
          <w:p w14:paraId="0F36ED2A" w14:textId="25D821E8" w:rsidR="00293D06" w:rsidRPr="00050A51" w:rsidRDefault="003A4CD2" w:rsidP="00293D06">
            <w:pPr>
              <w:spacing w:before="60" w:after="60"/>
              <w:rPr>
                <w:rFonts w:asciiTheme="minorHAnsi" w:hAnsiTheme="minorHAnsi"/>
                <w:sz w:val="18"/>
              </w:rPr>
            </w:pPr>
            <w:r w:rsidRPr="00EA35C5">
              <w:rPr>
                <w:rFonts w:asciiTheme="minorHAnsi" w:hAnsiTheme="minorHAnsi"/>
                <w:sz w:val="18"/>
              </w:rPr>
              <w:t>Responsible Commonwealth Resources Minister</w:t>
            </w:r>
          </w:p>
        </w:tc>
        <w:tc>
          <w:tcPr>
            <w:tcW w:w="2835" w:type="dxa"/>
            <w:vAlign w:val="center"/>
          </w:tcPr>
          <w:p w14:paraId="49351C27" w14:textId="01DFE9FC" w:rsidR="00293D06" w:rsidRPr="00050A51" w:rsidRDefault="0023667D" w:rsidP="000809B2">
            <w:pPr>
              <w:rPr>
                <w:rFonts w:asciiTheme="minorHAnsi" w:hAnsiTheme="minorHAnsi"/>
                <w:sz w:val="18"/>
              </w:rPr>
            </w:pPr>
            <w:r w:rsidRPr="005D7628">
              <w:rPr>
                <w:rFonts w:asciiTheme="minorHAnsi" w:hAnsiTheme="minorHAnsi"/>
                <w:sz w:val="18"/>
              </w:rPr>
              <w:t>Periodic review of cost recovery arrangements</w:t>
            </w:r>
          </w:p>
        </w:tc>
      </w:tr>
      <w:tr w:rsidR="0023667D" w:rsidRPr="00050A51" w14:paraId="7410C983" w14:textId="77777777" w:rsidTr="00293D06">
        <w:tc>
          <w:tcPr>
            <w:tcW w:w="1225" w:type="dxa"/>
            <w:vAlign w:val="center"/>
          </w:tcPr>
          <w:p w14:paraId="5FFCA2E8" w14:textId="5609D620" w:rsidR="0023667D" w:rsidRDefault="0023667D" w:rsidP="000809B2">
            <w:pPr>
              <w:spacing w:before="60" w:after="60"/>
              <w:rPr>
                <w:sz w:val="18"/>
              </w:rPr>
            </w:pPr>
            <w:r w:rsidRPr="0023667D">
              <w:rPr>
                <w:rFonts w:asciiTheme="minorHAnsi" w:hAnsiTheme="minorHAnsi"/>
                <w:sz w:val="18"/>
              </w:rPr>
              <w:t>1 January 2025</w:t>
            </w:r>
          </w:p>
        </w:tc>
        <w:tc>
          <w:tcPr>
            <w:tcW w:w="2574" w:type="dxa"/>
            <w:vAlign w:val="center"/>
          </w:tcPr>
          <w:p w14:paraId="7A027738" w14:textId="2F741049" w:rsidR="0023667D" w:rsidRPr="00050A51" w:rsidRDefault="002F3EFA" w:rsidP="00293D06">
            <w:pPr>
              <w:spacing w:before="60" w:after="60"/>
              <w:rPr>
                <w:sz w:val="18"/>
              </w:rPr>
            </w:pPr>
            <w:r w:rsidRPr="00DC7396">
              <w:rPr>
                <w:rFonts w:asciiTheme="minorHAnsi" w:hAnsiTheme="minorHAnsi"/>
                <w:sz w:val="18"/>
              </w:rPr>
              <w:t xml:space="preserve">Tiered fees for </w:t>
            </w:r>
            <w:r w:rsidR="00DC7396" w:rsidRPr="00DC7396">
              <w:rPr>
                <w:rFonts w:asciiTheme="minorHAnsi" w:hAnsiTheme="minorHAnsi"/>
                <w:sz w:val="18"/>
              </w:rPr>
              <w:t>application fees introduced.</w:t>
            </w:r>
            <w:r w:rsidR="00054521">
              <w:rPr>
                <w:rFonts w:asciiTheme="minorHAnsi" w:hAnsiTheme="minorHAnsi"/>
                <w:sz w:val="18"/>
              </w:rPr>
              <w:t xml:space="preserve"> Re</w:t>
            </w:r>
            <w:r w:rsidR="003A4CD2">
              <w:rPr>
                <w:rFonts w:asciiTheme="minorHAnsi" w:hAnsiTheme="minorHAnsi"/>
                <w:sz w:val="18"/>
              </w:rPr>
              <w:t>-balancing of levies to reflect effort spent on GHG.</w:t>
            </w:r>
            <w:r w:rsidR="00AD6866">
              <w:rPr>
                <w:rFonts w:asciiTheme="minorHAnsi" w:hAnsiTheme="minorHAnsi"/>
                <w:sz w:val="18"/>
              </w:rPr>
              <w:t xml:space="preserve"> Several new application fees introduced.</w:t>
            </w:r>
          </w:p>
        </w:tc>
        <w:tc>
          <w:tcPr>
            <w:tcW w:w="2387" w:type="dxa"/>
            <w:vAlign w:val="center"/>
          </w:tcPr>
          <w:p w14:paraId="4BA4907C" w14:textId="7E9F7831" w:rsidR="0023667D" w:rsidRDefault="003A4CD2" w:rsidP="00293D06">
            <w:pPr>
              <w:spacing w:before="60" w:after="60"/>
              <w:rPr>
                <w:sz w:val="18"/>
              </w:rPr>
            </w:pPr>
            <w:r w:rsidRPr="00EA35C5">
              <w:rPr>
                <w:rFonts w:asciiTheme="minorHAnsi" w:hAnsiTheme="minorHAnsi"/>
                <w:sz w:val="18"/>
              </w:rPr>
              <w:t>Responsible Commonwealth Resources Minister</w:t>
            </w:r>
          </w:p>
        </w:tc>
        <w:tc>
          <w:tcPr>
            <w:tcW w:w="2835" w:type="dxa"/>
            <w:vAlign w:val="center"/>
          </w:tcPr>
          <w:p w14:paraId="0347C9AE" w14:textId="4547FA9F" w:rsidR="0023667D" w:rsidRPr="005D7628" w:rsidRDefault="003A4CD2" w:rsidP="000809B2">
            <w:pPr>
              <w:rPr>
                <w:sz w:val="18"/>
              </w:rPr>
            </w:pPr>
            <w:r w:rsidRPr="005D7628">
              <w:rPr>
                <w:rFonts w:asciiTheme="minorHAnsi" w:hAnsiTheme="minorHAnsi"/>
                <w:sz w:val="18"/>
              </w:rPr>
              <w:t>Periodic review of cost recovery arrangements</w:t>
            </w:r>
          </w:p>
        </w:tc>
      </w:tr>
      <w:tr w:rsidR="004F1A52" w:rsidRPr="00050A51" w14:paraId="2157A7FF" w14:textId="77777777" w:rsidTr="00973F96">
        <w:tc>
          <w:tcPr>
            <w:tcW w:w="1225" w:type="dxa"/>
          </w:tcPr>
          <w:p w14:paraId="2B126CA9" w14:textId="4EAB3ADB" w:rsidR="004F1A52" w:rsidRPr="00055894" w:rsidRDefault="00E90550" w:rsidP="000809B2">
            <w:pPr>
              <w:spacing w:before="60" w:after="60"/>
              <w:rPr>
                <w:sz w:val="18"/>
              </w:rPr>
            </w:pPr>
            <w:r w:rsidRPr="00E90550">
              <w:rPr>
                <w:rFonts w:asciiTheme="minorHAnsi" w:hAnsiTheme="minorHAnsi"/>
                <w:sz w:val="18"/>
              </w:rPr>
              <w:t>1 January 2022</w:t>
            </w:r>
          </w:p>
        </w:tc>
        <w:tc>
          <w:tcPr>
            <w:tcW w:w="2574" w:type="dxa"/>
            <w:vAlign w:val="center"/>
          </w:tcPr>
          <w:p w14:paraId="7CDF4677" w14:textId="6BB8156D" w:rsidR="004F1A52" w:rsidRPr="00050A51" w:rsidRDefault="0023667D" w:rsidP="000809B2">
            <w:pPr>
              <w:spacing w:before="60" w:after="60"/>
              <w:rPr>
                <w:sz w:val="18"/>
              </w:rPr>
            </w:pPr>
            <w:r w:rsidRPr="0023667D">
              <w:rPr>
                <w:rFonts w:asciiTheme="minorHAnsi" w:hAnsiTheme="minorHAnsi"/>
                <w:sz w:val="18"/>
              </w:rPr>
              <w:t>10% increase to fees and levies.</w:t>
            </w:r>
          </w:p>
        </w:tc>
        <w:tc>
          <w:tcPr>
            <w:tcW w:w="2387" w:type="dxa"/>
            <w:vAlign w:val="center"/>
          </w:tcPr>
          <w:p w14:paraId="1C9F477B" w14:textId="3257E613" w:rsidR="004F1A52" w:rsidRPr="00EA35C5" w:rsidRDefault="00EA35C5" w:rsidP="000809B2">
            <w:pPr>
              <w:spacing w:before="60" w:after="60"/>
              <w:rPr>
                <w:rFonts w:asciiTheme="minorHAnsi" w:hAnsiTheme="minorHAnsi"/>
                <w:sz w:val="18"/>
              </w:rPr>
            </w:pPr>
            <w:r w:rsidRPr="00EA35C5">
              <w:rPr>
                <w:rFonts w:asciiTheme="minorHAnsi" w:hAnsiTheme="minorHAnsi"/>
                <w:sz w:val="18"/>
              </w:rPr>
              <w:t>Responsible Commonwealth Resources Minister</w:t>
            </w:r>
          </w:p>
        </w:tc>
        <w:tc>
          <w:tcPr>
            <w:tcW w:w="2835" w:type="dxa"/>
            <w:vAlign w:val="center"/>
          </w:tcPr>
          <w:p w14:paraId="25860417" w14:textId="692A3449" w:rsidR="004F1A52" w:rsidRPr="00050A51" w:rsidRDefault="0023667D" w:rsidP="000809B2">
            <w:pPr>
              <w:rPr>
                <w:sz w:val="18"/>
              </w:rPr>
            </w:pPr>
            <w:r w:rsidRPr="005D7628">
              <w:rPr>
                <w:rFonts w:asciiTheme="minorHAnsi" w:hAnsiTheme="minorHAnsi"/>
                <w:sz w:val="18"/>
              </w:rPr>
              <w:t>Periodic review of cost recovery arrangements</w:t>
            </w:r>
          </w:p>
        </w:tc>
      </w:tr>
      <w:tr w:rsidR="00973F96" w:rsidRPr="00050A51" w14:paraId="724EAF4F" w14:textId="77777777" w:rsidTr="00973F96">
        <w:tc>
          <w:tcPr>
            <w:tcW w:w="1225" w:type="dxa"/>
          </w:tcPr>
          <w:p w14:paraId="34C2914E" w14:textId="30A372F0" w:rsidR="00973F96" w:rsidRPr="00055894" w:rsidRDefault="00E158CB" w:rsidP="000809B2">
            <w:pPr>
              <w:spacing w:before="60" w:after="60"/>
              <w:rPr>
                <w:sz w:val="18"/>
              </w:rPr>
            </w:pPr>
            <w:r w:rsidRPr="00E158CB">
              <w:rPr>
                <w:rFonts w:asciiTheme="minorHAnsi" w:hAnsiTheme="minorHAnsi"/>
                <w:sz w:val="18"/>
              </w:rPr>
              <w:t>1 July 2016</w:t>
            </w:r>
          </w:p>
        </w:tc>
        <w:tc>
          <w:tcPr>
            <w:tcW w:w="2574" w:type="dxa"/>
            <w:vAlign w:val="center"/>
          </w:tcPr>
          <w:p w14:paraId="274D226C" w14:textId="28423E78" w:rsidR="00973F96" w:rsidRPr="00050A51" w:rsidRDefault="002E1AD7" w:rsidP="000809B2">
            <w:pPr>
              <w:spacing w:before="60" w:after="60"/>
              <w:rPr>
                <w:sz w:val="18"/>
              </w:rPr>
            </w:pPr>
            <w:r w:rsidRPr="00F506BE">
              <w:rPr>
                <w:rFonts w:asciiTheme="minorHAnsi" w:hAnsiTheme="minorHAnsi"/>
                <w:sz w:val="18"/>
              </w:rPr>
              <w:t>Flat rate im</w:t>
            </w:r>
            <w:r w:rsidR="00F506BE" w:rsidRPr="00F506BE">
              <w:rPr>
                <w:rFonts w:asciiTheme="minorHAnsi" w:hAnsiTheme="minorHAnsi"/>
                <w:sz w:val="18"/>
              </w:rPr>
              <w:t>plemented for a</w:t>
            </w:r>
            <w:r w:rsidR="006647BF" w:rsidRPr="00F506BE">
              <w:rPr>
                <w:rFonts w:asciiTheme="minorHAnsi" w:hAnsiTheme="minorHAnsi"/>
                <w:sz w:val="18"/>
              </w:rPr>
              <w:t>pplication f</w:t>
            </w:r>
            <w:r w:rsidRPr="00F506BE">
              <w:rPr>
                <w:rFonts w:asciiTheme="minorHAnsi" w:hAnsiTheme="minorHAnsi"/>
                <w:sz w:val="18"/>
              </w:rPr>
              <w:t>ees</w:t>
            </w:r>
            <w:r w:rsidR="001670E1">
              <w:rPr>
                <w:rFonts w:asciiTheme="minorHAnsi" w:hAnsiTheme="minorHAnsi"/>
                <w:sz w:val="18"/>
              </w:rPr>
              <w:t>; varying levy increases</w:t>
            </w:r>
            <w:r w:rsidR="00667E3B">
              <w:rPr>
                <w:rFonts w:asciiTheme="minorHAnsi" w:hAnsiTheme="minorHAnsi"/>
                <w:sz w:val="18"/>
              </w:rPr>
              <w:t xml:space="preserve"> in line with effort required.</w:t>
            </w:r>
          </w:p>
        </w:tc>
        <w:tc>
          <w:tcPr>
            <w:tcW w:w="2387" w:type="dxa"/>
            <w:vAlign w:val="center"/>
          </w:tcPr>
          <w:p w14:paraId="552E4ED7" w14:textId="38EDA167" w:rsidR="00973F96" w:rsidRPr="00EA35C5" w:rsidRDefault="00EA35C5" w:rsidP="000809B2">
            <w:pPr>
              <w:spacing w:before="60" w:after="60"/>
              <w:rPr>
                <w:rFonts w:asciiTheme="minorHAnsi" w:hAnsiTheme="minorHAnsi"/>
                <w:sz w:val="18"/>
              </w:rPr>
            </w:pPr>
            <w:r w:rsidRPr="00EA35C5">
              <w:rPr>
                <w:rFonts w:asciiTheme="minorHAnsi" w:hAnsiTheme="minorHAnsi"/>
                <w:sz w:val="18"/>
              </w:rPr>
              <w:t>Responsible Commonwealth Resources Minister</w:t>
            </w:r>
          </w:p>
        </w:tc>
        <w:tc>
          <w:tcPr>
            <w:tcW w:w="2835" w:type="dxa"/>
            <w:vAlign w:val="center"/>
          </w:tcPr>
          <w:p w14:paraId="6C93847D" w14:textId="42D35258" w:rsidR="00973F96" w:rsidRPr="00050A51" w:rsidRDefault="007E4AF3" w:rsidP="000809B2">
            <w:pPr>
              <w:rPr>
                <w:sz w:val="18"/>
              </w:rPr>
            </w:pPr>
            <w:r w:rsidRPr="005D7628">
              <w:rPr>
                <w:rFonts w:asciiTheme="minorHAnsi" w:hAnsiTheme="minorHAnsi"/>
                <w:sz w:val="18"/>
              </w:rPr>
              <w:t>Periodic review of cost recovery arrangements</w:t>
            </w:r>
          </w:p>
        </w:tc>
      </w:tr>
      <w:tr w:rsidR="00973F96" w:rsidRPr="00050A51" w14:paraId="3B5B330F" w14:textId="77777777" w:rsidTr="00F1038A">
        <w:tc>
          <w:tcPr>
            <w:tcW w:w="1225" w:type="dxa"/>
            <w:tcBorders>
              <w:bottom w:val="single" w:sz="4" w:space="0" w:color="auto"/>
            </w:tcBorders>
          </w:tcPr>
          <w:p w14:paraId="081F38BC" w14:textId="71D431F4" w:rsidR="00973F96" w:rsidRPr="00055894" w:rsidRDefault="00272F24" w:rsidP="000809B2">
            <w:pPr>
              <w:spacing w:before="60" w:after="60"/>
              <w:rPr>
                <w:sz w:val="18"/>
              </w:rPr>
            </w:pPr>
            <w:r w:rsidRPr="00272F24">
              <w:rPr>
                <w:rFonts w:asciiTheme="minorHAnsi" w:hAnsiTheme="minorHAnsi"/>
                <w:sz w:val="18"/>
              </w:rPr>
              <w:t>1 November 2013</w:t>
            </w:r>
          </w:p>
        </w:tc>
        <w:tc>
          <w:tcPr>
            <w:tcW w:w="2574" w:type="dxa"/>
            <w:tcBorders>
              <w:bottom w:val="single" w:sz="4" w:space="0" w:color="auto"/>
            </w:tcBorders>
            <w:vAlign w:val="center"/>
          </w:tcPr>
          <w:p w14:paraId="30D03214" w14:textId="589ADD20" w:rsidR="00973F96" w:rsidRPr="00050A51" w:rsidRDefault="00C22BE0" w:rsidP="000809B2">
            <w:pPr>
              <w:spacing w:before="60" w:after="60"/>
              <w:rPr>
                <w:sz w:val="18"/>
              </w:rPr>
            </w:pPr>
            <w:r w:rsidRPr="00E76AFD">
              <w:rPr>
                <w:rFonts w:asciiTheme="minorHAnsi" w:hAnsiTheme="minorHAnsi"/>
                <w:sz w:val="18"/>
              </w:rPr>
              <w:t xml:space="preserve">Registration </w:t>
            </w:r>
            <w:r w:rsidR="006647BF">
              <w:rPr>
                <w:rFonts w:asciiTheme="minorHAnsi" w:hAnsiTheme="minorHAnsi"/>
                <w:sz w:val="18"/>
              </w:rPr>
              <w:t>f</w:t>
            </w:r>
            <w:r w:rsidR="00E76AFD" w:rsidRPr="00E76AFD">
              <w:rPr>
                <w:rFonts w:asciiTheme="minorHAnsi" w:hAnsiTheme="minorHAnsi"/>
                <w:sz w:val="18"/>
              </w:rPr>
              <w:t>ees ceased</w:t>
            </w:r>
            <w:r w:rsidR="005F14ED">
              <w:rPr>
                <w:rFonts w:asciiTheme="minorHAnsi" w:hAnsiTheme="minorHAnsi"/>
                <w:sz w:val="18"/>
              </w:rPr>
              <w:t xml:space="preserve">; </w:t>
            </w:r>
            <w:r w:rsidR="005F14ED" w:rsidRPr="005F14ED">
              <w:rPr>
                <w:rFonts w:asciiTheme="minorHAnsi" w:hAnsiTheme="minorHAnsi"/>
                <w:sz w:val="18"/>
              </w:rPr>
              <w:t xml:space="preserve">re-balancing of </w:t>
            </w:r>
            <w:r w:rsidR="002E1AD7">
              <w:rPr>
                <w:rFonts w:asciiTheme="minorHAnsi" w:hAnsiTheme="minorHAnsi"/>
                <w:sz w:val="18"/>
              </w:rPr>
              <w:t>l</w:t>
            </w:r>
            <w:r w:rsidR="005F14ED" w:rsidRPr="005F14ED">
              <w:rPr>
                <w:rFonts w:asciiTheme="minorHAnsi" w:hAnsiTheme="minorHAnsi"/>
                <w:sz w:val="18"/>
              </w:rPr>
              <w:t xml:space="preserve">evies and </w:t>
            </w:r>
            <w:r w:rsidR="002E1AD7">
              <w:rPr>
                <w:rFonts w:asciiTheme="minorHAnsi" w:hAnsiTheme="minorHAnsi"/>
                <w:sz w:val="18"/>
              </w:rPr>
              <w:t>a</w:t>
            </w:r>
            <w:r w:rsidR="005F14ED" w:rsidRPr="005F14ED">
              <w:rPr>
                <w:rFonts w:asciiTheme="minorHAnsi" w:hAnsiTheme="minorHAnsi"/>
                <w:sz w:val="18"/>
              </w:rPr>
              <w:t xml:space="preserve">pplication </w:t>
            </w:r>
            <w:r w:rsidR="002E1AD7">
              <w:rPr>
                <w:rFonts w:asciiTheme="minorHAnsi" w:hAnsiTheme="minorHAnsi"/>
                <w:sz w:val="18"/>
              </w:rPr>
              <w:t>f</w:t>
            </w:r>
            <w:r w:rsidR="005F14ED" w:rsidRPr="005F14ED">
              <w:rPr>
                <w:rFonts w:asciiTheme="minorHAnsi" w:hAnsiTheme="minorHAnsi"/>
                <w:sz w:val="18"/>
              </w:rPr>
              <w:t>ees including the introduction of new fees</w:t>
            </w:r>
            <w:r w:rsidR="003F79BA">
              <w:rPr>
                <w:rFonts w:asciiTheme="minorHAnsi" w:hAnsiTheme="minorHAnsi"/>
                <w:sz w:val="18"/>
              </w:rPr>
              <w:t>; removal of several miscellaneous fees.</w:t>
            </w:r>
          </w:p>
        </w:tc>
        <w:tc>
          <w:tcPr>
            <w:tcW w:w="2387" w:type="dxa"/>
            <w:tcBorders>
              <w:bottom w:val="single" w:sz="4" w:space="0" w:color="auto"/>
            </w:tcBorders>
            <w:vAlign w:val="center"/>
          </w:tcPr>
          <w:p w14:paraId="3E1E026E" w14:textId="3EE04673" w:rsidR="00973F96" w:rsidRPr="00050A51" w:rsidRDefault="00EA35C5" w:rsidP="000809B2">
            <w:pPr>
              <w:spacing w:before="60" w:after="60"/>
              <w:rPr>
                <w:sz w:val="18"/>
              </w:rPr>
            </w:pPr>
            <w:r w:rsidRPr="00EA35C5">
              <w:rPr>
                <w:rFonts w:asciiTheme="minorHAnsi" w:hAnsiTheme="minorHAnsi"/>
                <w:sz w:val="18"/>
              </w:rPr>
              <w:t>Responsible Commonwealth Resources Minister</w:t>
            </w:r>
          </w:p>
        </w:tc>
        <w:tc>
          <w:tcPr>
            <w:tcW w:w="2835" w:type="dxa"/>
            <w:tcBorders>
              <w:bottom w:val="single" w:sz="4" w:space="0" w:color="auto"/>
            </w:tcBorders>
            <w:vAlign w:val="center"/>
          </w:tcPr>
          <w:p w14:paraId="205015A6" w14:textId="14D93F8F" w:rsidR="00973F96" w:rsidRPr="00050A51" w:rsidRDefault="007632F4" w:rsidP="005D7628">
            <w:pPr>
              <w:spacing w:before="60" w:after="60"/>
              <w:rPr>
                <w:sz w:val="18"/>
              </w:rPr>
            </w:pPr>
            <w:r w:rsidRPr="005D7628">
              <w:rPr>
                <w:rFonts w:asciiTheme="minorHAnsi" w:hAnsiTheme="minorHAnsi"/>
                <w:sz w:val="18"/>
              </w:rPr>
              <w:t>Registration Fees Act repealed</w:t>
            </w:r>
            <w:r w:rsidR="005D7628" w:rsidRPr="005D7628">
              <w:rPr>
                <w:rFonts w:asciiTheme="minorHAnsi" w:hAnsiTheme="minorHAnsi"/>
                <w:sz w:val="18"/>
              </w:rPr>
              <w:t>; Periodic review of cost recovery arrangements</w:t>
            </w:r>
          </w:p>
        </w:tc>
      </w:tr>
    </w:tbl>
    <w:p w14:paraId="2240A269" w14:textId="52E95433" w:rsidR="003A755D" w:rsidRPr="003A755D" w:rsidRDefault="003A755D" w:rsidP="004B0598">
      <w:pPr>
        <w:pStyle w:val="Heading1"/>
        <w:rPr>
          <w:i/>
          <w:lang w:eastAsia="en-AU"/>
        </w:rPr>
      </w:pPr>
    </w:p>
    <w:sectPr w:rsidR="003A755D" w:rsidRPr="003A755D" w:rsidSect="002314F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7253D" w14:textId="77777777" w:rsidR="000F1514" w:rsidRDefault="000F1514" w:rsidP="00DB42A5">
      <w:r>
        <w:separator/>
      </w:r>
    </w:p>
    <w:p w14:paraId="691C3C92" w14:textId="77777777" w:rsidR="000F1514" w:rsidRDefault="000F1514"/>
  </w:endnote>
  <w:endnote w:type="continuationSeparator" w:id="0">
    <w:p w14:paraId="44FE5375" w14:textId="77777777" w:rsidR="000F1514" w:rsidRDefault="000F1514" w:rsidP="00DB42A5">
      <w:r>
        <w:continuationSeparator/>
      </w:r>
    </w:p>
    <w:p w14:paraId="6BD48E23" w14:textId="77777777" w:rsidR="000F1514" w:rsidRDefault="000F1514"/>
  </w:endnote>
  <w:endnote w:type="continuationNotice" w:id="1">
    <w:p w14:paraId="2B5CD41F" w14:textId="77777777" w:rsidR="000F1514" w:rsidRDefault="000F1514">
      <w:pPr>
        <w:spacing w:after="0" w:line="240" w:lineRule="auto"/>
      </w:pPr>
    </w:p>
    <w:p w14:paraId="2342770A" w14:textId="77777777" w:rsidR="000F1514" w:rsidRDefault="000F1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58F6" w14:textId="01FECC7F" w:rsidR="00F2005F" w:rsidRPr="000B46A6" w:rsidRDefault="00412EB2">
    <w:pPr>
      <w:pStyle w:val="Footer"/>
      <w:rPr>
        <w:lang w:val="en-US"/>
      </w:rPr>
    </w:pPr>
    <w:r>
      <w:rPr>
        <w:noProof/>
        <w:lang w:val="en-US"/>
      </w:rPr>
      <mc:AlternateContent>
        <mc:Choice Requires="wps">
          <w:drawing>
            <wp:anchor distT="0" distB="0" distL="0" distR="0" simplePos="0" relativeHeight="251658248" behindDoc="0" locked="0" layoutInCell="1" allowOverlap="1" wp14:anchorId="26F7CB53" wp14:editId="74AF5028">
              <wp:simplePos x="635" y="635"/>
              <wp:positionH relativeFrom="page">
                <wp:align>center</wp:align>
              </wp:positionH>
              <wp:positionV relativeFrom="page">
                <wp:align>bottom</wp:align>
              </wp:positionV>
              <wp:extent cx="551815" cy="394970"/>
              <wp:effectExtent l="0" t="0" r="635" b="0"/>
              <wp:wrapNone/>
              <wp:docPr id="27714903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326D30B6" w14:textId="21F284CB" w:rsidR="00412EB2" w:rsidRPr="00412EB2" w:rsidRDefault="00412EB2" w:rsidP="00412EB2">
                          <w:pPr>
                            <w:spacing w:after="0"/>
                            <w:rPr>
                              <w:rFonts w:ascii="Calibri" w:eastAsia="Calibri" w:hAnsi="Calibri" w:cs="Calibri"/>
                              <w:noProof/>
                              <w:color w:val="C00000"/>
                              <w:sz w:val="24"/>
                              <w:szCs w:val="24"/>
                            </w:rPr>
                          </w:pPr>
                          <w:r w:rsidRPr="00412EB2">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F7CB53" id="_x0000_t202" coordsize="21600,21600" o:spt="202" path="m,l,21600r21600,l21600,xe">
              <v:stroke joinstyle="miter"/>
              <v:path gradientshapeok="t" o:connecttype="rect"/>
            </v:shapetype>
            <v:shape id="Text Box 8" o:spid="_x0000_s1031" type="#_x0000_t202" alt="OFFICIAL" style="position:absolute;margin-left:0;margin-top:0;width:43.45pt;height:31.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s17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" filled="f" stroked="f">
              <v:textbox style="mso-fit-shape-to-text:t" inset="0,0,0,15pt">
                <w:txbxContent>
                  <w:p w14:paraId="326D30B6" w14:textId="21F284CB" w:rsidR="00412EB2" w:rsidRPr="00412EB2" w:rsidRDefault="00412EB2" w:rsidP="00412EB2">
                    <w:pPr>
                      <w:spacing w:after="0"/>
                      <w:rPr>
                        <w:rFonts w:ascii="Calibri" w:eastAsia="Calibri" w:hAnsi="Calibri" w:cs="Calibri"/>
                        <w:noProof/>
                        <w:color w:val="C00000"/>
                        <w:sz w:val="24"/>
                        <w:szCs w:val="24"/>
                      </w:rPr>
                    </w:pPr>
                    <w:r w:rsidRPr="00412EB2">
                      <w:rPr>
                        <w:rFonts w:ascii="Calibri" w:eastAsia="Calibri" w:hAnsi="Calibri" w:cs="Calibri"/>
                        <w:noProof/>
                        <w:color w:val="C00000"/>
                        <w:sz w:val="24"/>
                        <w:szCs w:val="24"/>
                      </w:rPr>
                      <w:t>OFFICIAL</w:t>
                    </w:r>
                  </w:p>
                </w:txbxContent>
              </v:textbox>
              <w10:wrap anchorx="page" anchory="page"/>
            </v:shape>
          </w:pict>
        </mc:Fallback>
      </mc:AlternateContent>
    </w:r>
    <w:r w:rsidR="00F2005F">
      <w:rPr>
        <w:lang w:val="en-US"/>
      </w:rPr>
      <w:fldChar w:fldCharType="begin"/>
    </w:r>
    <w:r w:rsidR="00F2005F">
      <w:rPr>
        <w:lang w:val="en-US"/>
      </w:rPr>
      <w:instrText xml:space="preserve"> PAGE  \* Arabic  \* MERGEFORMAT </w:instrText>
    </w:r>
    <w:r w:rsidR="00F2005F">
      <w:rPr>
        <w:lang w:val="en-US"/>
      </w:rPr>
      <w:fldChar w:fldCharType="separate"/>
    </w:r>
    <w:r w:rsidR="00F2005F">
      <w:rPr>
        <w:noProof/>
        <w:lang w:val="en-US"/>
      </w:rPr>
      <w:t>4</w:t>
    </w:r>
    <w:r w:rsidR="00F2005F">
      <w:rPr>
        <w:lang w:val="en-US"/>
      </w:rPr>
      <w:fldChar w:fldCharType="end"/>
    </w:r>
    <w:r w:rsidR="00F2005F">
      <w:rPr>
        <w:lang w:val="en-US"/>
      </w:rPr>
      <w:ptab w:relativeTo="margin" w:alignment="center" w:leader="none"/>
    </w:r>
    <w:r w:rsidR="00F2005F">
      <w:rPr>
        <w:lang w:val="en-US"/>
      </w:rPr>
      <w:t>Confidential</w:t>
    </w:r>
    <w:r w:rsidR="00F2005F">
      <w:rPr>
        <w:lang w:val="en-US"/>
      </w:rPr>
      <w:ptab w:relativeTo="margin" w:alignment="right" w:leader="none"/>
    </w:r>
    <w:r w:rsidR="00F2005F" w:rsidRPr="0083218C">
      <w:t xml:space="preserve"> </w:t>
    </w:r>
    <w:r w:rsidR="00F2005F" w:rsidRPr="004048BA">
      <w:t>www.think</w:t>
    </w:r>
    <w:r w:rsidR="00F2005F" w:rsidRPr="004048BA">
      <w:rPr>
        <w:color w:val="5B9BD5" w:themeColor="accent1"/>
      </w:rPr>
      <w:t>Sapere</w:t>
    </w:r>
    <w:r w:rsidR="00F2005F" w:rsidRPr="004048BA">
      <w: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C5BB" w14:textId="7A2945B4" w:rsidR="00C203EF" w:rsidRDefault="00412EB2">
    <w:pPr>
      <w:pStyle w:val="Footer"/>
      <w:jc w:val="right"/>
    </w:pPr>
    <w:r>
      <w:rPr>
        <w:noProof/>
      </w:rPr>
      <mc:AlternateContent>
        <mc:Choice Requires="wps">
          <w:drawing>
            <wp:anchor distT="0" distB="0" distL="0" distR="0" simplePos="0" relativeHeight="251658249" behindDoc="0" locked="0" layoutInCell="1" allowOverlap="1" wp14:anchorId="1C63F457" wp14:editId="7A9A445D">
              <wp:simplePos x="914400" y="9933214"/>
              <wp:positionH relativeFrom="page">
                <wp:align>center</wp:align>
              </wp:positionH>
              <wp:positionV relativeFrom="page">
                <wp:align>bottom</wp:align>
              </wp:positionV>
              <wp:extent cx="551815" cy="394970"/>
              <wp:effectExtent l="0" t="0" r="635" b="0"/>
              <wp:wrapNone/>
              <wp:docPr id="69779669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70B3F820" w14:textId="4342E0AE" w:rsidR="00412EB2" w:rsidRPr="00412EB2" w:rsidRDefault="00412EB2" w:rsidP="00412EB2">
                          <w:pPr>
                            <w:spacing w:after="0"/>
                            <w:rPr>
                              <w:rFonts w:ascii="Calibri" w:eastAsia="Calibri" w:hAnsi="Calibri" w:cs="Calibri"/>
                              <w:noProof/>
                              <w:color w:val="C00000"/>
                              <w:sz w:val="24"/>
                              <w:szCs w:val="24"/>
                            </w:rPr>
                          </w:pPr>
                          <w:r w:rsidRPr="00412EB2">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63F457" id="_x0000_t202" coordsize="21600,21600" o:spt="202" path="m,l,21600r21600,l21600,xe">
              <v:stroke joinstyle="miter"/>
              <v:path gradientshapeok="t" o:connecttype="rect"/>
            </v:shapetype>
            <v:shape id="Text Box 9" o:spid="_x0000_s1032" type="#_x0000_t202" alt="OFFICIAL" style="position:absolute;left:0;text-align:left;margin-left:0;margin-top:0;width:43.45pt;height:31.1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" filled="f" stroked="f">
              <v:textbox style="mso-fit-shape-to-text:t" inset="0,0,0,15pt">
                <w:txbxContent>
                  <w:p w14:paraId="70B3F820" w14:textId="4342E0AE" w:rsidR="00412EB2" w:rsidRPr="00412EB2" w:rsidRDefault="00412EB2" w:rsidP="00412EB2">
                    <w:pPr>
                      <w:spacing w:after="0"/>
                      <w:rPr>
                        <w:rFonts w:ascii="Calibri" w:eastAsia="Calibri" w:hAnsi="Calibri" w:cs="Calibri"/>
                        <w:noProof/>
                        <w:color w:val="C00000"/>
                        <w:sz w:val="24"/>
                        <w:szCs w:val="24"/>
                      </w:rPr>
                    </w:pPr>
                    <w:r w:rsidRPr="00412EB2">
                      <w:rPr>
                        <w:rFonts w:ascii="Calibri" w:eastAsia="Calibri" w:hAnsi="Calibri" w:cs="Calibri"/>
                        <w:noProof/>
                        <w:color w:val="C00000"/>
                        <w:sz w:val="24"/>
                        <w:szCs w:val="24"/>
                      </w:rPr>
                      <w:t>OFFICIAL</w:t>
                    </w:r>
                  </w:p>
                </w:txbxContent>
              </v:textbox>
              <w10:wrap anchorx="page" anchory="page"/>
            </v:shape>
          </w:pict>
        </mc:Fallback>
      </mc:AlternateContent>
    </w:r>
    <w:sdt>
      <w:sdtPr>
        <w:id w:val="-317113272"/>
        <w:docPartObj>
          <w:docPartGallery w:val="Page Numbers (Bottom of Page)"/>
          <w:docPartUnique/>
        </w:docPartObj>
      </w:sdtPr>
      <w:sdtEndPr/>
      <w:sdtContent>
        <w:sdt>
          <w:sdtPr>
            <w:id w:val="-1769616900"/>
            <w:docPartObj>
              <w:docPartGallery w:val="Page Numbers (Top of Page)"/>
              <w:docPartUnique/>
            </w:docPartObj>
          </w:sdtPr>
          <w:sdtEndPr/>
          <w:sdtContent>
            <w:r w:rsidR="00C203EF">
              <w:t xml:space="preserve">Page </w:t>
            </w:r>
            <w:r w:rsidR="00C203EF">
              <w:rPr>
                <w:b/>
                <w:bCs/>
                <w:sz w:val="24"/>
                <w:szCs w:val="24"/>
              </w:rPr>
              <w:fldChar w:fldCharType="begin"/>
            </w:r>
            <w:r w:rsidR="00C203EF">
              <w:rPr>
                <w:b/>
                <w:bCs/>
              </w:rPr>
              <w:instrText xml:space="preserve"> PAGE </w:instrText>
            </w:r>
            <w:r w:rsidR="00C203EF">
              <w:rPr>
                <w:b/>
                <w:bCs/>
                <w:sz w:val="24"/>
                <w:szCs w:val="24"/>
              </w:rPr>
              <w:fldChar w:fldCharType="separate"/>
            </w:r>
            <w:r w:rsidR="00C203EF">
              <w:rPr>
                <w:b/>
                <w:bCs/>
                <w:noProof/>
              </w:rPr>
              <w:t>2</w:t>
            </w:r>
            <w:r w:rsidR="00C203EF">
              <w:rPr>
                <w:b/>
                <w:bCs/>
                <w:sz w:val="24"/>
                <w:szCs w:val="24"/>
              </w:rPr>
              <w:fldChar w:fldCharType="end"/>
            </w:r>
            <w:r w:rsidR="00C203EF">
              <w:t xml:space="preserve"> of </w:t>
            </w:r>
            <w:r w:rsidR="00C203EF">
              <w:rPr>
                <w:b/>
                <w:bCs/>
                <w:sz w:val="24"/>
                <w:szCs w:val="24"/>
              </w:rPr>
              <w:fldChar w:fldCharType="begin"/>
            </w:r>
            <w:r w:rsidR="00C203EF">
              <w:rPr>
                <w:b/>
                <w:bCs/>
              </w:rPr>
              <w:instrText xml:space="preserve"> NUMPAGES  </w:instrText>
            </w:r>
            <w:r w:rsidR="00C203EF">
              <w:rPr>
                <w:b/>
                <w:bCs/>
                <w:sz w:val="24"/>
                <w:szCs w:val="24"/>
              </w:rPr>
              <w:fldChar w:fldCharType="separate"/>
            </w:r>
            <w:r w:rsidR="00C203EF">
              <w:rPr>
                <w:b/>
                <w:bCs/>
                <w:noProof/>
              </w:rPr>
              <w:t>2</w:t>
            </w:r>
            <w:r w:rsidR="00C203EF">
              <w:rPr>
                <w:b/>
                <w:bCs/>
                <w:sz w:val="24"/>
                <w:szCs w:val="24"/>
              </w:rPr>
              <w:fldChar w:fldCharType="end"/>
            </w:r>
          </w:sdtContent>
        </w:sdt>
      </w:sdtContent>
    </w:sdt>
  </w:p>
  <w:p w14:paraId="37B4CB1B" w14:textId="753FB67D" w:rsidR="00C203EF" w:rsidRDefault="00417C20" w:rsidP="00E76336">
    <w:pPr>
      <w:pStyle w:val="Footer"/>
      <w:tabs>
        <w:tab w:val="clear" w:pos="4513"/>
        <w:tab w:val="clear" w:pos="9026"/>
        <w:tab w:val="left" w:pos="585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E2D5" w14:textId="2330AD02" w:rsidR="00412EB2" w:rsidRDefault="00412EB2">
    <w:pPr>
      <w:pStyle w:val="Footer"/>
    </w:pPr>
    <w:r>
      <w:rPr>
        <w:noProof/>
      </w:rPr>
      <mc:AlternateContent>
        <mc:Choice Requires="wps">
          <w:drawing>
            <wp:anchor distT="0" distB="0" distL="0" distR="0" simplePos="0" relativeHeight="251658247" behindDoc="0" locked="0" layoutInCell="1" allowOverlap="1" wp14:anchorId="1D69DFCC" wp14:editId="3F29C086">
              <wp:simplePos x="635" y="635"/>
              <wp:positionH relativeFrom="page">
                <wp:align>center</wp:align>
              </wp:positionH>
              <wp:positionV relativeFrom="page">
                <wp:align>bottom</wp:align>
              </wp:positionV>
              <wp:extent cx="551815" cy="394970"/>
              <wp:effectExtent l="0" t="0" r="635" b="0"/>
              <wp:wrapNone/>
              <wp:docPr id="130724693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3306AB76" w14:textId="21ECAD9E" w:rsidR="00412EB2" w:rsidRPr="00412EB2" w:rsidRDefault="00412EB2" w:rsidP="00412EB2">
                          <w:pPr>
                            <w:spacing w:after="0"/>
                            <w:rPr>
                              <w:rFonts w:ascii="Calibri" w:eastAsia="Calibri" w:hAnsi="Calibri" w:cs="Calibri"/>
                              <w:noProof/>
                              <w:color w:val="C00000"/>
                              <w:sz w:val="24"/>
                              <w:szCs w:val="24"/>
                            </w:rPr>
                          </w:pPr>
                          <w:r w:rsidRPr="00412EB2">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69DFCC" id="_x0000_t202" coordsize="21600,21600" o:spt="202" path="m,l,21600r21600,l21600,xe">
              <v:stroke joinstyle="miter"/>
              <v:path gradientshapeok="t" o:connecttype="rect"/>
            </v:shapetype>
            <v:shape id="Text Box 7" o:spid="_x0000_s1034" type="#_x0000_t202" alt="OFFICIAL" style="position:absolute;margin-left:0;margin-top:0;width:43.45pt;height:31.1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" filled="f" stroked="f">
              <v:textbox style="mso-fit-shape-to-text:t" inset="0,0,0,15pt">
                <w:txbxContent>
                  <w:p w14:paraId="3306AB76" w14:textId="21ECAD9E" w:rsidR="00412EB2" w:rsidRPr="00412EB2" w:rsidRDefault="00412EB2" w:rsidP="00412EB2">
                    <w:pPr>
                      <w:spacing w:after="0"/>
                      <w:rPr>
                        <w:rFonts w:ascii="Calibri" w:eastAsia="Calibri" w:hAnsi="Calibri" w:cs="Calibri"/>
                        <w:noProof/>
                        <w:color w:val="C00000"/>
                        <w:sz w:val="24"/>
                        <w:szCs w:val="24"/>
                      </w:rPr>
                    </w:pPr>
                    <w:r w:rsidRPr="00412EB2">
                      <w:rPr>
                        <w:rFonts w:ascii="Calibri" w:eastAsia="Calibri" w:hAnsi="Calibri" w:cs="Calibri"/>
                        <w:noProof/>
                        <w:color w:val="C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9AC4" w14:textId="6C85D85D" w:rsidR="00412EB2" w:rsidRDefault="00412EB2">
    <w:pPr>
      <w:pStyle w:val="Footer"/>
    </w:pPr>
    <w:r>
      <w:rPr>
        <w:noProof/>
      </w:rPr>
      <mc:AlternateContent>
        <mc:Choice Requires="wps">
          <w:drawing>
            <wp:anchor distT="0" distB="0" distL="0" distR="0" simplePos="0" relativeHeight="251658251" behindDoc="0" locked="0" layoutInCell="1" allowOverlap="1" wp14:anchorId="65CA570D" wp14:editId="5F1C51B1">
              <wp:simplePos x="635" y="635"/>
              <wp:positionH relativeFrom="page">
                <wp:align>center</wp:align>
              </wp:positionH>
              <wp:positionV relativeFrom="page">
                <wp:align>bottom</wp:align>
              </wp:positionV>
              <wp:extent cx="551815" cy="394970"/>
              <wp:effectExtent l="0" t="0" r="635" b="0"/>
              <wp:wrapNone/>
              <wp:docPr id="79743970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0ACD879C" w14:textId="09D82E10" w:rsidR="00412EB2" w:rsidRPr="00412EB2" w:rsidRDefault="00412EB2" w:rsidP="00412EB2">
                          <w:pPr>
                            <w:spacing w:after="0"/>
                            <w:rPr>
                              <w:rFonts w:ascii="Calibri" w:eastAsia="Calibri" w:hAnsi="Calibri" w:cs="Calibri"/>
                              <w:noProof/>
                              <w:color w:val="C00000"/>
                              <w:sz w:val="24"/>
                              <w:szCs w:val="24"/>
                            </w:rPr>
                          </w:pPr>
                          <w:r w:rsidRPr="00412EB2">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CA570D" id="_x0000_t202" coordsize="21600,21600" o:spt="202" path="m,l,21600r21600,l21600,xe">
              <v:stroke joinstyle="miter"/>
              <v:path gradientshapeok="t" o:connecttype="rect"/>
            </v:shapetype>
            <v:shape id="Text Box 11" o:spid="_x0000_s1037" type="#_x0000_t202" alt="OFFICIAL" style="position:absolute;margin-left:0;margin-top:0;width:43.45pt;height:31.1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" filled="f" stroked="f">
              <v:textbox style="mso-fit-shape-to-text:t" inset="0,0,0,15pt">
                <w:txbxContent>
                  <w:p w14:paraId="0ACD879C" w14:textId="09D82E10" w:rsidR="00412EB2" w:rsidRPr="00412EB2" w:rsidRDefault="00412EB2" w:rsidP="00412EB2">
                    <w:pPr>
                      <w:spacing w:after="0"/>
                      <w:rPr>
                        <w:rFonts w:ascii="Calibri" w:eastAsia="Calibri" w:hAnsi="Calibri" w:cs="Calibri"/>
                        <w:noProof/>
                        <w:color w:val="C00000"/>
                        <w:sz w:val="24"/>
                        <w:szCs w:val="24"/>
                      </w:rPr>
                    </w:pPr>
                    <w:r w:rsidRPr="00412EB2">
                      <w:rPr>
                        <w:rFonts w:ascii="Calibri" w:eastAsia="Calibri" w:hAnsi="Calibri" w:cs="Calibri"/>
                        <w:noProof/>
                        <w:color w:val="C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D660" w14:textId="77777777" w:rsidR="005E66C7" w:rsidRDefault="004C6FA3" w:rsidP="005E66C7">
    <w:pPr>
      <w:pStyle w:val="Footer"/>
      <w:jc w:val="right"/>
    </w:pPr>
    <w:sdt>
      <w:sdtPr>
        <w:id w:val="2086255045"/>
        <w:docPartObj>
          <w:docPartGallery w:val="Page Numbers (Bottom of Page)"/>
          <w:docPartUnique/>
        </w:docPartObj>
      </w:sdtPr>
      <w:sdtEndPr/>
      <w:sdtContent>
        <w:sdt>
          <w:sdtPr>
            <w:id w:val="309443360"/>
            <w:docPartObj>
              <w:docPartGallery w:val="Page Numbers (Top of Page)"/>
              <w:docPartUnique/>
            </w:docPartObj>
          </w:sdtPr>
          <w:sdtEndPr/>
          <w:sdtContent>
            <w:r w:rsidR="005E66C7">
              <w:t xml:space="preserve">Page </w:t>
            </w:r>
            <w:r w:rsidR="005E66C7">
              <w:rPr>
                <w:b/>
                <w:bCs/>
                <w:sz w:val="24"/>
                <w:szCs w:val="24"/>
              </w:rPr>
              <w:fldChar w:fldCharType="begin"/>
            </w:r>
            <w:r w:rsidR="005E66C7">
              <w:rPr>
                <w:b/>
                <w:bCs/>
              </w:rPr>
              <w:instrText xml:space="preserve"> PAGE </w:instrText>
            </w:r>
            <w:r w:rsidR="005E66C7">
              <w:rPr>
                <w:b/>
                <w:bCs/>
                <w:sz w:val="24"/>
                <w:szCs w:val="24"/>
              </w:rPr>
              <w:fldChar w:fldCharType="separate"/>
            </w:r>
            <w:r w:rsidR="005E66C7">
              <w:rPr>
                <w:b/>
                <w:bCs/>
              </w:rPr>
              <w:t>6</w:t>
            </w:r>
            <w:r w:rsidR="005E66C7">
              <w:rPr>
                <w:b/>
                <w:bCs/>
                <w:sz w:val="24"/>
                <w:szCs w:val="24"/>
              </w:rPr>
              <w:fldChar w:fldCharType="end"/>
            </w:r>
            <w:r w:rsidR="005E66C7">
              <w:t xml:space="preserve"> of </w:t>
            </w:r>
            <w:r w:rsidR="005E66C7">
              <w:rPr>
                <w:b/>
                <w:bCs/>
                <w:sz w:val="24"/>
                <w:szCs w:val="24"/>
              </w:rPr>
              <w:fldChar w:fldCharType="begin"/>
            </w:r>
            <w:r w:rsidR="005E66C7">
              <w:rPr>
                <w:b/>
                <w:bCs/>
              </w:rPr>
              <w:instrText xml:space="preserve"> NUMPAGES  </w:instrText>
            </w:r>
            <w:r w:rsidR="005E66C7">
              <w:rPr>
                <w:b/>
                <w:bCs/>
                <w:sz w:val="24"/>
                <w:szCs w:val="24"/>
              </w:rPr>
              <w:fldChar w:fldCharType="separate"/>
            </w:r>
            <w:r w:rsidR="005E66C7">
              <w:rPr>
                <w:b/>
                <w:bCs/>
              </w:rPr>
              <w:t>22</w:t>
            </w:r>
            <w:r w:rsidR="005E66C7">
              <w:rPr>
                <w:b/>
                <w:bCs/>
                <w:sz w:val="24"/>
                <w:szCs w:val="24"/>
              </w:rPr>
              <w:fldChar w:fldCharType="end"/>
            </w:r>
          </w:sdtContent>
        </w:sdt>
      </w:sdtContent>
    </w:sdt>
  </w:p>
  <w:p w14:paraId="7F760A9C" w14:textId="57AB0D17" w:rsidR="005E55F8" w:rsidRDefault="00412EB2" w:rsidP="0003248A">
    <w:pPr>
      <w:pStyle w:val="FootnoteText"/>
      <w:spacing w:after="0"/>
    </w:pPr>
    <w:r>
      <w:rPr>
        <w:noProof/>
      </w:rPr>
      <mc:AlternateContent>
        <mc:Choice Requires="wps">
          <w:drawing>
            <wp:anchor distT="0" distB="0" distL="0" distR="0" simplePos="0" relativeHeight="251658252" behindDoc="0" locked="0" layoutInCell="1" allowOverlap="1" wp14:anchorId="58220CD6" wp14:editId="35D4D948">
              <wp:simplePos x="635" y="635"/>
              <wp:positionH relativeFrom="page">
                <wp:align>center</wp:align>
              </wp:positionH>
              <wp:positionV relativeFrom="page">
                <wp:align>bottom</wp:align>
              </wp:positionV>
              <wp:extent cx="551815" cy="394970"/>
              <wp:effectExtent l="0" t="0" r="635" b="0"/>
              <wp:wrapNone/>
              <wp:docPr id="123232529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13845A43" w14:textId="57877A4E" w:rsidR="00412EB2" w:rsidRPr="00412EB2" w:rsidRDefault="00412EB2" w:rsidP="00412EB2">
                          <w:pPr>
                            <w:spacing w:after="0"/>
                            <w:rPr>
                              <w:rFonts w:ascii="Calibri" w:eastAsia="Calibri" w:hAnsi="Calibri" w:cs="Calibri"/>
                              <w:noProof/>
                              <w:color w:val="C00000"/>
                              <w:sz w:val="24"/>
                              <w:szCs w:val="24"/>
                            </w:rPr>
                          </w:pPr>
                          <w:r w:rsidRPr="00412EB2">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220CD6" id="_x0000_t202" coordsize="21600,21600" o:spt="202" path="m,l,21600r21600,l21600,xe">
              <v:stroke joinstyle="miter"/>
              <v:path gradientshapeok="t" o:connecttype="rect"/>
            </v:shapetype>
            <v:shape id="Text Box 12" o:spid="_x0000_s1038" type="#_x0000_t202" alt="OFFICIAL" style="position:absolute;margin-left:0;margin-top:0;width:43.45pt;height:31.1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" filled="f" stroked="f">
              <v:textbox style="mso-fit-shape-to-text:t" inset="0,0,0,15pt">
                <w:txbxContent>
                  <w:p w14:paraId="13845A43" w14:textId="57877A4E" w:rsidR="00412EB2" w:rsidRPr="00412EB2" w:rsidRDefault="00412EB2" w:rsidP="00412EB2">
                    <w:pPr>
                      <w:spacing w:after="0"/>
                      <w:rPr>
                        <w:rFonts w:ascii="Calibri" w:eastAsia="Calibri" w:hAnsi="Calibri" w:cs="Calibri"/>
                        <w:noProof/>
                        <w:color w:val="C00000"/>
                        <w:sz w:val="24"/>
                        <w:szCs w:val="24"/>
                      </w:rPr>
                    </w:pPr>
                    <w:r w:rsidRPr="00412EB2">
                      <w:rPr>
                        <w:rFonts w:ascii="Calibri" w:eastAsia="Calibri" w:hAnsi="Calibri" w:cs="Calibri"/>
                        <w:noProof/>
                        <w:color w:val="C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E63E" w14:textId="66EA94E5" w:rsidR="00412EB2" w:rsidRDefault="00412EB2">
    <w:pPr>
      <w:pStyle w:val="Footer"/>
    </w:pPr>
    <w:r>
      <w:rPr>
        <w:noProof/>
      </w:rPr>
      <mc:AlternateContent>
        <mc:Choice Requires="wps">
          <w:drawing>
            <wp:anchor distT="0" distB="0" distL="0" distR="0" simplePos="0" relativeHeight="251658250" behindDoc="0" locked="0" layoutInCell="1" allowOverlap="1" wp14:anchorId="505F0EE0" wp14:editId="2976B0BB">
              <wp:simplePos x="635" y="635"/>
              <wp:positionH relativeFrom="page">
                <wp:align>center</wp:align>
              </wp:positionH>
              <wp:positionV relativeFrom="page">
                <wp:align>bottom</wp:align>
              </wp:positionV>
              <wp:extent cx="551815" cy="394970"/>
              <wp:effectExtent l="0" t="0" r="635" b="0"/>
              <wp:wrapNone/>
              <wp:docPr id="107601252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700F4CEE" w14:textId="1607380E" w:rsidR="00412EB2" w:rsidRPr="00412EB2" w:rsidRDefault="00412EB2" w:rsidP="00412EB2">
                          <w:pPr>
                            <w:spacing w:after="0"/>
                            <w:rPr>
                              <w:rFonts w:ascii="Calibri" w:eastAsia="Calibri" w:hAnsi="Calibri" w:cs="Calibri"/>
                              <w:noProof/>
                              <w:color w:val="C00000"/>
                              <w:sz w:val="24"/>
                              <w:szCs w:val="24"/>
                            </w:rPr>
                          </w:pPr>
                          <w:r w:rsidRPr="00412EB2">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5F0EE0" id="_x0000_t202" coordsize="21600,21600" o:spt="202" path="m,l,21600r21600,l21600,xe">
              <v:stroke joinstyle="miter"/>
              <v:path gradientshapeok="t" o:connecttype="rect"/>
            </v:shapetype>
            <v:shape id="Text Box 10" o:spid="_x0000_s1040" type="#_x0000_t202" alt="OFFICIAL" style="position:absolute;margin-left:0;margin-top:0;width:43.45pt;height:31.1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" filled="f" stroked="f">
              <v:textbox style="mso-fit-shape-to-text:t" inset="0,0,0,15pt">
                <w:txbxContent>
                  <w:p w14:paraId="700F4CEE" w14:textId="1607380E" w:rsidR="00412EB2" w:rsidRPr="00412EB2" w:rsidRDefault="00412EB2" w:rsidP="00412EB2">
                    <w:pPr>
                      <w:spacing w:after="0"/>
                      <w:rPr>
                        <w:rFonts w:ascii="Calibri" w:eastAsia="Calibri" w:hAnsi="Calibri" w:cs="Calibri"/>
                        <w:noProof/>
                        <w:color w:val="C00000"/>
                        <w:sz w:val="24"/>
                        <w:szCs w:val="24"/>
                      </w:rPr>
                    </w:pPr>
                    <w:r w:rsidRPr="00412EB2">
                      <w:rPr>
                        <w:rFonts w:ascii="Calibri" w:eastAsia="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619C7" w14:textId="77777777" w:rsidR="000F1514" w:rsidRDefault="000F1514" w:rsidP="00DB42A5">
      <w:r>
        <w:separator/>
      </w:r>
    </w:p>
    <w:p w14:paraId="3467C03C" w14:textId="77777777" w:rsidR="000F1514" w:rsidRDefault="000F1514"/>
  </w:footnote>
  <w:footnote w:type="continuationSeparator" w:id="0">
    <w:p w14:paraId="2BF253E2" w14:textId="77777777" w:rsidR="000F1514" w:rsidRDefault="000F1514" w:rsidP="00DB42A5">
      <w:r>
        <w:continuationSeparator/>
      </w:r>
    </w:p>
    <w:p w14:paraId="0A88CED6" w14:textId="77777777" w:rsidR="000F1514" w:rsidRDefault="000F1514"/>
  </w:footnote>
  <w:footnote w:type="continuationNotice" w:id="1">
    <w:p w14:paraId="158F969B" w14:textId="77777777" w:rsidR="000F1514" w:rsidRDefault="000F1514">
      <w:pPr>
        <w:spacing w:after="0" w:line="240" w:lineRule="auto"/>
      </w:pPr>
    </w:p>
    <w:p w14:paraId="409182B6" w14:textId="77777777" w:rsidR="000F1514" w:rsidRDefault="000F1514"/>
  </w:footnote>
  <w:footnote w:id="2">
    <w:p w14:paraId="48DD8DFF" w14:textId="378B7F00" w:rsidR="00A14C35" w:rsidRPr="009C29F1" w:rsidRDefault="00A14C35">
      <w:pPr>
        <w:pStyle w:val="FootnoteText"/>
      </w:pPr>
      <w:r w:rsidRPr="000662EF">
        <w:rPr>
          <w:rStyle w:val="FootnoteReference"/>
          <w:color w:val="auto"/>
        </w:rPr>
        <w:footnoteRef/>
      </w:r>
      <w:r w:rsidRPr="009C29F1">
        <w:t xml:space="preserve"> </w:t>
      </w:r>
      <w:hyperlink r:id="rId1" w:anchor="_Toc148772356" w:history="1">
        <w:r w:rsidRPr="000662EF">
          <w:rPr>
            <w:sz w:val="16"/>
            <w:szCs w:val="16"/>
            <w:u w:val="single"/>
          </w:rPr>
          <w:t>Offshore Petroleum and Greenhouse Gas Storage Act 2006 (legislation.gov.au)</w:t>
        </w:r>
      </w:hyperlink>
    </w:p>
  </w:footnote>
  <w:footnote w:id="3">
    <w:p w14:paraId="0DE3CC4B" w14:textId="2B1E578D" w:rsidR="00A14C35" w:rsidRPr="009C29F1" w:rsidRDefault="00A14C35">
      <w:pPr>
        <w:pStyle w:val="FootnoteText"/>
      </w:pPr>
      <w:r w:rsidRPr="000662EF">
        <w:rPr>
          <w:rStyle w:val="FootnoteReference"/>
          <w:color w:val="auto"/>
        </w:rPr>
        <w:footnoteRef/>
      </w:r>
      <w:r w:rsidRPr="009C29F1">
        <w:t xml:space="preserve"> </w:t>
      </w:r>
      <w:hyperlink r:id="rId2" w:history="1">
        <w:r w:rsidR="00F30E31" w:rsidRPr="000662EF">
          <w:rPr>
            <w:sz w:val="16"/>
            <w:szCs w:val="16"/>
            <w:u w:val="single"/>
          </w:rPr>
          <w:t>Offshore Petroleum and Greenhouse Gas Storage (Regulatory Levies) Act 2003 (legislation.gov.au)</w:t>
        </w:r>
      </w:hyperlink>
    </w:p>
  </w:footnote>
  <w:footnote w:id="4">
    <w:p w14:paraId="6FD657C5" w14:textId="5C1E297C" w:rsidR="00F30E31" w:rsidRPr="009C29F1" w:rsidRDefault="00F30E31">
      <w:pPr>
        <w:pStyle w:val="FootnoteText"/>
      </w:pPr>
      <w:r w:rsidRPr="000662EF">
        <w:rPr>
          <w:rStyle w:val="FootnoteReference"/>
          <w:color w:val="auto"/>
        </w:rPr>
        <w:footnoteRef/>
      </w:r>
      <w:r w:rsidRPr="009C29F1">
        <w:t xml:space="preserve"> </w:t>
      </w:r>
      <w:hyperlink r:id="rId3" w:history="1">
        <w:r w:rsidR="00E5283D" w:rsidRPr="000662EF">
          <w:rPr>
            <w:sz w:val="16"/>
            <w:szCs w:val="16"/>
            <w:u w:val="single"/>
          </w:rPr>
          <w:t>Offshore Electricity Infrastructure Act 2021 (legislation.gov.au)</w:t>
        </w:r>
      </w:hyperlink>
    </w:p>
  </w:footnote>
  <w:footnote w:id="5">
    <w:p w14:paraId="0E6D6465" w14:textId="0EC91519" w:rsidR="000B62AF" w:rsidRPr="009C29F1" w:rsidRDefault="000B62AF">
      <w:pPr>
        <w:pStyle w:val="FootnoteText"/>
      </w:pPr>
      <w:r w:rsidRPr="000662EF">
        <w:rPr>
          <w:rStyle w:val="FootnoteReference"/>
          <w:color w:val="auto"/>
        </w:rPr>
        <w:footnoteRef/>
      </w:r>
      <w:r w:rsidRPr="009C29F1">
        <w:t xml:space="preserve"> </w:t>
      </w:r>
      <w:hyperlink r:id="rId4" w:history="1">
        <w:r w:rsidR="002C1951" w:rsidRPr="00B5068D">
          <w:rPr>
            <w:rStyle w:val="Hyperlink"/>
            <w:rFonts w:cstheme="minorBidi"/>
            <w:sz w:val="16"/>
            <w:szCs w:val="16"/>
          </w:rPr>
          <w:t>https://www.dcceew.gov.au/sites/default/files/documents/oei-cris.pdf</w:t>
        </w:r>
      </w:hyperlink>
    </w:p>
  </w:footnote>
  <w:footnote w:id="6">
    <w:p w14:paraId="7A0B3970" w14:textId="33597CBF" w:rsidR="002714D1" w:rsidRPr="009C29F1" w:rsidRDefault="002714D1">
      <w:pPr>
        <w:pStyle w:val="FootnoteText"/>
      </w:pPr>
      <w:r w:rsidRPr="000662EF">
        <w:rPr>
          <w:rStyle w:val="FootnoteReference"/>
          <w:color w:val="auto"/>
        </w:rPr>
        <w:footnoteRef/>
      </w:r>
      <w:r w:rsidRPr="009C29F1">
        <w:t xml:space="preserve"> </w:t>
      </w:r>
      <w:hyperlink r:id="rId5" w:history="1">
        <w:r w:rsidRPr="00B5068D">
          <w:rPr>
            <w:rStyle w:val="Hyperlink"/>
            <w:rFonts w:cstheme="minorBidi"/>
            <w:sz w:val="16"/>
            <w:szCs w:val="16"/>
          </w:rPr>
          <w:t>https://www.pc.gov.au/inquiries/completed/upstream-petroleum/report/upstream-petroleum.pdf</w:t>
        </w:r>
      </w:hyperlink>
    </w:p>
  </w:footnote>
  <w:footnote w:id="7">
    <w:p w14:paraId="46993125" w14:textId="18A86209" w:rsidR="00BA5C62" w:rsidRPr="009C29F1" w:rsidRDefault="00E76336" w:rsidP="003D204F">
      <w:pPr>
        <w:pStyle w:val="FootnoteText"/>
        <w:rPr>
          <w:rFonts w:cs="Times New Roman"/>
          <w:sz w:val="16"/>
          <w:szCs w:val="16"/>
        </w:rPr>
      </w:pPr>
      <w:r w:rsidRPr="000662EF">
        <w:rPr>
          <w:rStyle w:val="FootnoteReference"/>
          <w:color w:val="auto"/>
        </w:rPr>
        <w:footnoteRef/>
      </w:r>
      <w:hyperlink r:id="rId6" w:tooltip="http://www.budget.gov.au/2011-12/content/bp2/html/bp2_expense-20.htm" w:history="1">
        <w:r w:rsidR="003D204F" w:rsidRPr="009C29F1">
          <w:rPr>
            <w:rStyle w:val="Hyperlink"/>
            <w:color w:val="auto"/>
            <w:sz w:val="16"/>
            <w:szCs w:val="16"/>
          </w:rPr>
          <w:t>Mid-Year Economic and Fiscal Outlook 2011–12 Budget Paper No. 2, Part 2: Expense Measures</w:t>
        </w:r>
      </w:hyperlink>
      <w:r w:rsidR="00BA5C62" w:rsidRPr="009C29F1">
        <w:rPr>
          <w:rStyle w:val="Hyperlink"/>
          <w:color w:val="auto"/>
          <w:sz w:val="16"/>
          <w:szCs w:val="16"/>
        </w:rPr>
        <w:t xml:space="preserve"> </w:t>
      </w:r>
      <w:r w:rsidR="00F040EC">
        <w:rPr>
          <w:rStyle w:val="Hyperlink"/>
          <w:color w:val="auto"/>
          <w:sz w:val="16"/>
          <w:szCs w:val="16"/>
        </w:rPr>
        <w:t>, U</w:t>
      </w:r>
      <w:r w:rsidR="00666E32">
        <w:rPr>
          <w:rStyle w:val="Hyperlink"/>
          <w:color w:val="auto"/>
          <w:sz w:val="16"/>
          <w:szCs w:val="16"/>
        </w:rPr>
        <w:t>pstream Petroleum Regulatory Reform</w:t>
      </w:r>
      <w:r w:rsidR="00777861">
        <w:rPr>
          <w:rStyle w:val="Hyperlink"/>
          <w:color w:val="auto"/>
          <w:sz w:val="16"/>
          <w:szCs w:val="16"/>
        </w:rPr>
        <w:t xml:space="preserve"> – revised arrangements, p. 305</w:t>
      </w:r>
    </w:p>
  </w:footnote>
  <w:footnote w:id="8">
    <w:p w14:paraId="513C4B70" w14:textId="183F3215" w:rsidR="000814E2" w:rsidRDefault="000814E2">
      <w:pPr>
        <w:pStyle w:val="FootnoteText"/>
      </w:pPr>
      <w:r w:rsidRPr="000662EF">
        <w:rPr>
          <w:rStyle w:val="FootnoteReference"/>
          <w:color w:val="auto"/>
        </w:rPr>
        <w:footnoteRef/>
      </w:r>
      <w:r w:rsidRPr="009C29F1">
        <w:t xml:space="preserve"> </w:t>
      </w:r>
      <w:hyperlink r:id="rId7" w:history="1">
        <w:r w:rsidR="00B30EF2" w:rsidRPr="000662EF">
          <w:rPr>
            <w:rStyle w:val="Hyperlink"/>
            <w:color w:val="auto"/>
            <w:sz w:val="16"/>
            <w:szCs w:val="16"/>
          </w:rPr>
          <w:t>Offshore Petroleum and Greenhouse Gas Storage (Regulatory Levies) Regulations 2022 (legislation.gov.au)</w:t>
        </w:r>
      </w:hyperlink>
    </w:p>
  </w:footnote>
  <w:footnote w:id="9">
    <w:p w14:paraId="323D0393" w14:textId="63D2DDC0" w:rsidR="008870ED" w:rsidRPr="009C29F1" w:rsidRDefault="008870ED">
      <w:pPr>
        <w:pStyle w:val="FootnoteText"/>
      </w:pPr>
      <w:r w:rsidRPr="000662EF">
        <w:rPr>
          <w:rStyle w:val="FootnoteReference"/>
          <w:color w:val="auto"/>
        </w:rPr>
        <w:footnoteRef/>
      </w:r>
      <w:r w:rsidRPr="009C29F1">
        <w:t xml:space="preserve"> </w:t>
      </w:r>
      <w:hyperlink r:id="rId8" w:history="1">
        <w:r w:rsidRPr="000662EF">
          <w:rPr>
            <w:sz w:val="16"/>
            <w:szCs w:val="16"/>
            <w:u w:val="single"/>
          </w:rPr>
          <w:t>Offshore Petroleum and Greenhouse Gas Storage (Resource Management and Administration) Regulations 2011 (legislation.gov.au)</w:t>
        </w:r>
      </w:hyperlink>
    </w:p>
  </w:footnote>
  <w:footnote w:id="10">
    <w:p w14:paraId="6E2B7AAF" w14:textId="4F3A0DDB" w:rsidR="002714D1" w:rsidRPr="009C29F1" w:rsidRDefault="002714D1">
      <w:pPr>
        <w:pStyle w:val="FootnoteText"/>
      </w:pPr>
      <w:r w:rsidRPr="000662EF">
        <w:rPr>
          <w:rStyle w:val="FootnoteReference"/>
          <w:color w:val="auto"/>
        </w:rPr>
        <w:footnoteRef/>
      </w:r>
      <w:r w:rsidRPr="009C29F1">
        <w:t xml:space="preserve"> </w:t>
      </w:r>
      <w:r w:rsidRPr="009C29F1">
        <w:rPr>
          <w:i/>
          <w:iCs/>
          <w:sz w:val="16"/>
          <w:szCs w:val="16"/>
        </w:rPr>
        <w:t>Offshore Petroleum and Greenhouse Gas Storage Act 2006</w:t>
      </w:r>
    </w:p>
  </w:footnote>
  <w:footnote w:id="11">
    <w:p w14:paraId="34F65286" w14:textId="49C65CBC" w:rsidR="008D7B56" w:rsidRPr="009C29F1" w:rsidRDefault="00E76336" w:rsidP="008D7B56">
      <w:pPr>
        <w:pStyle w:val="FootnoteText"/>
        <w:rPr>
          <w:sz w:val="16"/>
          <w:szCs w:val="16"/>
          <w:u w:val="single"/>
        </w:rPr>
      </w:pPr>
      <w:r w:rsidRPr="000662EF">
        <w:rPr>
          <w:rStyle w:val="FootnoteReference"/>
          <w:color w:val="auto"/>
        </w:rPr>
        <w:footnoteRef/>
      </w:r>
      <w:hyperlink r:id="rId9" w:history="1">
        <w:r w:rsidR="009C29F1" w:rsidRPr="009C29F1">
          <w:rPr>
            <w:rStyle w:val="Hyperlink"/>
            <w:sz w:val="16"/>
            <w:szCs w:val="16"/>
          </w:rPr>
          <w:t xml:space="preserve"> See https://www.nopta.gov.au/_documents/schedule-of-fees.pdf.</w:t>
        </w:r>
      </w:hyperlink>
      <w:r w:rsidR="008D7B56" w:rsidRPr="009C29F1">
        <w:rPr>
          <w:rStyle w:val="Hyperlink"/>
          <w:color w:val="auto"/>
          <w:sz w:val="16"/>
          <w:szCs w:val="16"/>
        </w:rPr>
        <w:t xml:space="preserve"> </w:t>
      </w:r>
    </w:p>
  </w:footnote>
  <w:footnote w:id="12">
    <w:p w14:paraId="39E23443" w14:textId="7ABCF324" w:rsidR="009256A5" w:rsidRDefault="009256A5">
      <w:pPr>
        <w:pStyle w:val="FootnoteText"/>
      </w:pPr>
      <w:r w:rsidRPr="000662EF">
        <w:rPr>
          <w:rStyle w:val="FootnoteReference"/>
          <w:color w:val="auto"/>
        </w:rPr>
        <w:footnoteRef/>
      </w:r>
      <w:r w:rsidRPr="009C29F1">
        <w:t xml:space="preserve"> </w:t>
      </w:r>
      <w:hyperlink r:id="rId10" w:history="1">
        <w:r w:rsidR="00794D17" w:rsidRPr="000662EF">
          <w:rPr>
            <w:sz w:val="16"/>
            <w:szCs w:val="16"/>
            <w:u w:val="single"/>
          </w:rPr>
          <w:t>Public Governance, Performance and Accountability Act 2013 (legislation.gov.au)</w:t>
        </w:r>
      </w:hyperlink>
    </w:p>
  </w:footnote>
  <w:footnote w:id="13">
    <w:p w14:paraId="709DF02B" w14:textId="77777777" w:rsidR="001E341C" w:rsidRPr="006527EA" w:rsidRDefault="001E341C" w:rsidP="001E341C">
      <w:pPr>
        <w:pStyle w:val="FootnoteText"/>
        <w:rPr>
          <w:lang w:val="en-US"/>
        </w:rPr>
      </w:pPr>
      <w:r w:rsidRPr="000662EF">
        <w:rPr>
          <w:rStyle w:val="FootnoteReference"/>
          <w:color w:val="auto"/>
        </w:rPr>
        <w:footnoteRef/>
      </w:r>
      <w:r w:rsidRPr="00FF3FF5">
        <w:t xml:space="preserve"> </w:t>
      </w:r>
      <w:r w:rsidRPr="000662EF">
        <w:rPr>
          <w:sz w:val="16"/>
          <w:szCs w:val="16"/>
          <w:lang w:val="en-US"/>
        </w:rPr>
        <w:t xml:space="preserve">The OEI team administers NOPTA’s regulatory obligations under the </w:t>
      </w:r>
      <w:r w:rsidRPr="000662EF">
        <w:rPr>
          <w:i/>
          <w:iCs/>
          <w:sz w:val="16"/>
          <w:szCs w:val="16"/>
        </w:rPr>
        <w:t>Offshore Electricity Infrastructure Act 2021</w:t>
      </w:r>
      <w:r w:rsidRPr="000662EF">
        <w:rPr>
          <w:sz w:val="16"/>
          <w:szCs w:val="16"/>
        </w:rPr>
        <w:t>. The OEI team costs are out of scope for this review.</w:t>
      </w:r>
      <w:r w:rsidRPr="00FF3FF5">
        <w:t xml:space="preserve"> </w:t>
      </w:r>
    </w:p>
  </w:footnote>
  <w:footnote w:id="14">
    <w:p w14:paraId="4E670E6C" w14:textId="77777777" w:rsidR="007930D0" w:rsidRDefault="007930D0" w:rsidP="007930D0">
      <w:pPr>
        <w:pStyle w:val="FootnoteText"/>
        <w:rPr>
          <w:rFonts w:eastAsia="Times New Roman"/>
        </w:rPr>
      </w:pPr>
      <w:r w:rsidRPr="000662EF">
        <w:rPr>
          <w:rStyle w:val="FootnoteReference"/>
          <w:rFonts w:cs="Times New Roman"/>
          <w:color w:val="auto"/>
        </w:rPr>
        <w:footnoteRef/>
      </w:r>
      <w:r w:rsidRPr="00EA7BA1">
        <w:t xml:space="preserve"> </w:t>
      </w:r>
      <w:r w:rsidRPr="000662EF">
        <w:rPr>
          <w:sz w:val="16"/>
          <w:szCs w:val="16"/>
        </w:rPr>
        <w:t>Guidance material includes factsheets, application forms, submissions guidance, website, and training.</w:t>
      </w:r>
    </w:p>
  </w:footnote>
  <w:footnote w:id="15">
    <w:p w14:paraId="62A1157B" w14:textId="77777777" w:rsidR="009115A5" w:rsidRDefault="009115A5" w:rsidP="007930D0">
      <w:pPr>
        <w:pStyle w:val="FootnoteText"/>
        <w:rPr>
          <w:rFonts w:eastAsia="Times New Roman"/>
        </w:rPr>
      </w:pPr>
      <w:r w:rsidRPr="000662EF">
        <w:rPr>
          <w:rStyle w:val="FootnoteReference"/>
          <w:rFonts w:cs="Times New Roman"/>
          <w:color w:val="auto"/>
        </w:rPr>
        <w:footnoteRef/>
      </w:r>
      <w:r w:rsidRPr="00244164">
        <w:t xml:space="preserve"> </w:t>
      </w:r>
      <w:r w:rsidRPr="000662EF">
        <w:rPr>
          <w:sz w:val="16"/>
          <w:szCs w:val="16"/>
        </w:rPr>
        <w:t>Guidance material includes factsheets, application forms, submissions guidance, website, and training.</w:t>
      </w:r>
    </w:p>
  </w:footnote>
  <w:footnote w:id="16">
    <w:p w14:paraId="11880CAC" w14:textId="77777777" w:rsidR="00865F42" w:rsidRPr="007A3EF8" w:rsidRDefault="00865F42" w:rsidP="00865F42">
      <w:pPr>
        <w:pStyle w:val="FootnoteText"/>
        <w:rPr>
          <w:rFonts w:asciiTheme="majorHAnsi" w:hAnsiTheme="majorHAnsi" w:cstheme="majorHAnsi"/>
          <w:szCs w:val="18"/>
          <w:lang w:val="en-US"/>
        </w:rPr>
      </w:pPr>
      <w:r w:rsidRPr="000662EF">
        <w:rPr>
          <w:rStyle w:val="FootnoteReference"/>
          <w:rFonts w:asciiTheme="majorHAnsi" w:hAnsiTheme="majorHAnsi" w:cstheme="majorHAnsi"/>
          <w:color w:val="auto"/>
          <w:szCs w:val="18"/>
        </w:rPr>
        <w:footnoteRef/>
      </w:r>
      <w:r w:rsidRPr="007A3EF8">
        <w:rPr>
          <w:rFonts w:asciiTheme="majorHAnsi" w:hAnsiTheme="majorHAnsi" w:cstheme="majorHAnsi"/>
          <w:szCs w:val="18"/>
        </w:rPr>
        <w:t xml:space="preserve"> </w:t>
      </w:r>
      <w:r w:rsidRPr="000662EF">
        <w:rPr>
          <w:rFonts w:cstheme="minorHAnsi"/>
          <w:sz w:val="16"/>
          <w:szCs w:val="16"/>
          <w:lang w:val="en-US"/>
        </w:rPr>
        <w:t>NOPTA’s fees are not automatically indexed to keep pace with inflation.</w:t>
      </w:r>
    </w:p>
  </w:footnote>
  <w:footnote w:id="17">
    <w:p w14:paraId="2B5AE0D4" w14:textId="77777777" w:rsidR="00865F42" w:rsidRPr="00BE4D82" w:rsidRDefault="00865F42" w:rsidP="00865F42">
      <w:pPr>
        <w:spacing w:after="0" w:line="240" w:lineRule="auto"/>
        <w:rPr>
          <w:rFonts w:asciiTheme="majorHAnsi" w:hAnsiTheme="majorHAnsi" w:cstheme="majorHAnsi"/>
          <w:sz w:val="18"/>
          <w:szCs w:val="18"/>
        </w:rPr>
      </w:pPr>
      <w:r w:rsidRPr="000662EF">
        <w:rPr>
          <w:rStyle w:val="FootnoteReference"/>
          <w:rFonts w:asciiTheme="majorHAnsi" w:hAnsiTheme="majorHAnsi" w:cstheme="majorHAnsi"/>
          <w:color w:val="auto"/>
          <w:sz w:val="18"/>
          <w:szCs w:val="18"/>
        </w:rPr>
        <w:footnoteRef/>
      </w:r>
      <w:r w:rsidRPr="007A3EF8">
        <w:rPr>
          <w:rFonts w:asciiTheme="majorHAnsi" w:hAnsiTheme="majorHAnsi" w:cstheme="majorHAnsi"/>
          <w:sz w:val="18"/>
          <w:szCs w:val="18"/>
        </w:rPr>
        <w:t xml:space="preserve"> </w:t>
      </w:r>
      <w:r w:rsidRPr="000662EF">
        <w:rPr>
          <w:rFonts w:cstheme="minorHAnsi"/>
          <w:sz w:val="16"/>
          <w:szCs w:val="16"/>
        </w:rPr>
        <w:t xml:space="preserve">NOPTA is required to maintain a special account consistent with the requirements of the </w:t>
      </w:r>
      <w:r w:rsidRPr="000662EF">
        <w:rPr>
          <w:rFonts w:cstheme="minorHAnsi"/>
          <w:i/>
          <w:iCs/>
          <w:sz w:val="16"/>
          <w:szCs w:val="16"/>
        </w:rPr>
        <w:t>Public Governance, Performance, and Accountability Act 2013</w:t>
      </w:r>
      <w:r w:rsidRPr="000662EF">
        <w:rPr>
          <w:rFonts w:cstheme="minorHAnsi"/>
          <w:sz w:val="16"/>
          <w:szCs w:val="16"/>
        </w:rPr>
        <w:t>.</w:t>
      </w:r>
    </w:p>
  </w:footnote>
  <w:footnote w:id="18">
    <w:p w14:paraId="4012C841" w14:textId="1CDED688" w:rsidR="00CC68E3" w:rsidRDefault="00CC68E3">
      <w:pPr>
        <w:pStyle w:val="FootnoteText"/>
      </w:pPr>
      <w:r w:rsidRPr="009D58D6">
        <w:rPr>
          <w:rStyle w:val="FootnoteReference"/>
          <w:color w:val="auto"/>
        </w:rPr>
        <w:footnoteRef/>
      </w:r>
      <w:r w:rsidRPr="009D58D6">
        <w:t xml:space="preserve"> </w:t>
      </w:r>
      <w:r w:rsidR="00CF3146" w:rsidRPr="0023120B">
        <w:rPr>
          <w:sz w:val="16"/>
          <w:szCs w:val="16"/>
        </w:rPr>
        <w:t>NOPTA’s forecasts are generated internally</w:t>
      </w:r>
      <w:r w:rsidR="008403FA" w:rsidRPr="0023120B">
        <w:rPr>
          <w:sz w:val="16"/>
          <w:szCs w:val="16"/>
        </w:rPr>
        <w:t xml:space="preserve"> from information gathered from the</w:t>
      </w:r>
      <w:r w:rsidR="00DA2790" w:rsidRPr="0023120B">
        <w:rPr>
          <w:sz w:val="16"/>
          <w:szCs w:val="16"/>
        </w:rPr>
        <w:t xml:space="preserve"> relevant specialised areas.</w:t>
      </w:r>
    </w:p>
  </w:footnote>
  <w:footnote w:id="19">
    <w:p w14:paraId="6F7572B3" w14:textId="77777777" w:rsidR="00007F14" w:rsidRPr="0074338C" w:rsidRDefault="00007F14" w:rsidP="00007F14">
      <w:pPr>
        <w:pStyle w:val="FootnoteText"/>
        <w:rPr>
          <w:lang w:val="en-US"/>
        </w:rPr>
      </w:pPr>
      <w:r w:rsidRPr="000662EF">
        <w:rPr>
          <w:rStyle w:val="FootnoteReference"/>
          <w:color w:val="auto"/>
        </w:rPr>
        <w:footnoteRef/>
      </w:r>
      <w:r w:rsidRPr="0074338C">
        <w:t xml:space="preserve"> </w:t>
      </w:r>
      <w:r w:rsidRPr="000662EF">
        <w:rPr>
          <w:rFonts w:cstheme="minorHAnsi"/>
          <w:sz w:val="16"/>
          <w:szCs w:val="16"/>
        </w:rPr>
        <w:t>Noting all current GHG titles are Assessment Permits with no Holding Leases or Injection Licences yet approved.</w:t>
      </w:r>
    </w:p>
  </w:footnote>
  <w:footnote w:id="20">
    <w:p w14:paraId="27797B2E" w14:textId="29F7F470" w:rsidR="00007F14" w:rsidRPr="0074338C" w:rsidRDefault="00007F14" w:rsidP="00007F14">
      <w:pPr>
        <w:pStyle w:val="FootnoteText"/>
        <w:rPr>
          <w:lang w:val="en-US"/>
        </w:rPr>
      </w:pPr>
      <w:r w:rsidRPr="00D87FCD">
        <w:rPr>
          <w:rStyle w:val="FootnoteReference"/>
        </w:rPr>
        <w:footnoteRef/>
      </w:r>
      <w:r w:rsidRPr="0074338C">
        <w:t xml:space="preserve"> </w:t>
      </w:r>
      <w:r w:rsidR="00D2272C" w:rsidRPr="0074338C">
        <w:rPr>
          <w:sz w:val="16"/>
          <w:szCs w:val="16"/>
        </w:rPr>
        <w:t>For example,</w:t>
      </w:r>
      <w:r w:rsidRPr="000662EF">
        <w:rPr>
          <w:sz w:val="16"/>
          <w:szCs w:val="16"/>
        </w:rPr>
        <w:t xml:space="preserve"> larger operators selling declining and marginal fields to smaller, lower cost operators or fragmentation of ownership.</w:t>
      </w:r>
    </w:p>
  </w:footnote>
  <w:footnote w:id="21">
    <w:p w14:paraId="2D447445" w14:textId="5964FC56" w:rsidR="005B287B" w:rsidRPr="005B287B" w:rsidRDefault="005B287B">
      <w:pPr>
        <w:pStyle w:val="FootnoteText"/>
        <w:rPr>
          <w:sz w:val="16"/>
          <w:szCs w:val="16"/>
          <w:lang w:val="en-US"/>
        </w:rPr>
      </w:pPr>
      <w:r>
        <w:rPr>
          <w:rStyle w:val="FootnoteReference"/>
        </w:rPr>
        <w:footnoteRef/>
      </w:r>
      <w:r>
        <w:t xml:space="preserve"> </w:t>
      </w:r>
      <w:hyperlink r:id="rId11" w:history="1">
        <w:r w:rsidRPr="005B287B">
          <w:rPr>
            <w:rStyle w:val="Hyperlink"/>
            <w:rFonts w:cstheme="minorBidi"/>
            <w:sz w:val="16"/>
            <w:szCs w:val="16"/>
          </w:rPr>
          <w:t>https://nopta.gov.au/_documents/Annual-Report-of-Activities-2023-24.pdf</w:t>
        </w:r>
      </w:hyperlink>
    </w:p>
  </w:footnote>
  <w:footnote w:id="22">
    <w:p w14:paraId="386C31C2" w14:textId="670FFA4F" w:rsidR="00D61117" w:rsidRPr="00A64DA0" w:rsidRDefault="00D61117" w:rsidP="00E76336">
      <w:pPr>
        <w:rPr>
          <w:rFonts w:cstheme="minorHAnsi"/>
        </w:rPr>
      </w:pPr>
      <w:r w:rsidRPr="00D87FCD">
        <w:rPr>
          <w:rStyle w:val="FootnoteReference"/>
        </w:rPr>
        <w:footnoteRef/>
      </w:r>
      <w:r w:rsidRPr="00D87FCD">
        <w:rPr>
          <w:color w:val="7F7F7F" w:themeColor="text1" w:themeTint="80"/>
        </w:rPr>
        <w:t xml:space="preserve"> </w:t>
      </w:r>
      <w:r w:rsidRPr="000662EF">
        <w:rPr>
          <w:rFonts w:cstheme="minorHAnsi"/>
          <w:sz w:val="16"/>
          <w:szCs w:val="16"/>
        </w:rPr>
        <w:t>On 2 September 2021, changes to the OPGGS Act imposed new administrative requirements on NOPTA. These include widening the applications to which an assessment of the applicant’s financial and technical capacity applies, creating new extended decision-making criteria for the initial grant of permits, the grant of pipeline and infrastructure licences, and decisions for transfers and change of control (section 695YB and 695YC), as well as a new ‘change of company control’ application.</w:t>
      </w:r>
      <w:r w:rsidRPr="00A64DA0">
        <w:rPr>
          <w:rFonts w:cstheme="minorHAnsi"/>
        </w:rPr>
        <w:t xml:space="preserve"> </w:t>
      </w:r>
    </w:p>
  </w:footnote>
  <w:footnote w:id="23">
    <w:p w14:paraId="786F0B0F" w14:textId="14646D68" w:rsidR="00960720" w:rsidRPr="00960720" w:rsidRDefault="00960720">
      <w:pPr>
        <w:pStyle w:val="FootnoteText"/>
        <w:rPr>
          <w:lang w:val="en-US"/>
        </w:rPr>
      </w:pPr>
      <w:r w:rsidRPr="00D87FCD">
        <w:rPr>
          <w:rStyle w:val="FootnoteReference"/>
        </w:rPr>
        <w:footnoteRef/>
      </w:r>
      <w:r w:rsidRPr="0088605B">
        <w:t xml:space="preserve"> </w:t>
      </w:r>
      <w:r w:rsidR="00327B17" w:rsidRPr="00A54B22">
        <w:rPr>
          <w:sz w:val="16"/>
          <w:szCs w:val="16"/>
          <w:lang w:val="en-US"/>
        </w:rPr>
        <w:t xml:space="preserve">A </w:t>
      </w:r>
      <w:r w:rsidR="00327B17">
        <w:rPr>
          <w:sz w:val="16"/>
          <w:szCs w:val="16"/>
          <w:lang w:val="en-US"/>
        </w:rPr>
        <w:t xml:space="preserve">number of new </w:t>
      </w:r>
      <w:r w:rsidR="00B46793">
        <w:rPr>
          <w:sz w:val="16"/>
          <w:szCs w:val="16"/>
          <w:lang w:val="en-US"/>
        </w:rPr>
        <w:t>function</w:t>
      </w:r>
      <w:r w:rsidR="00327B17">
        <w:rPr>
          <w:sz w:val="16"/>
          <w:szCs w:val="16"/>
          <w:lang w:val="en-US"/>
        </w:rPr>
        <w:t xml:space="preserve">s have been formed or restructured since the previous CRIS. These include the Technical – Commercial team being restructured into the Commercial – Economic Analysis and Commercial – Suitability Assessment teams. The Technology, Information &amp; Geospatial Support </w:t>
      </w:r>
      <w:r w:rsidR="001D3710">
        <w:rPr>
          <w:sz w:val="16"/>
          <w:szCs w:val="16"/>
          <w:lang w:val="en-US"/>
        </w:rPr>
        <w:t xml:space="preserve">team </w:t>
      </w:r>
      <w:r w:rsidR="00327B17">
        <w:rPr>
          <w:sz w:val="16"/>
          <w:szCs w:val="16"/>
          <w:lang w:val="en-US"/>
        </w:rPr>
        <w:t>being restructured into the Security, Information Mgmt &amp; Business Applications team, and the Geospatial and Web Services team. The Legislative Support team has also been created.</w:t>
      </w:r>
    </w:p>
  </w:footnote>
  <w:footnote w:id="24">
    <w:p w14:paraId="26E3704E" w14:textId="44D9E093" w:rsidR="00B97D9A" w:rsidRPr="004A03A8" w:rsidRDefault="00B97D9A" w:rsidP="00B97D9A">
      <w:pPr>
        <w:pStyle w:val="FootnoteText"/>
        <w:rPr>
          <w:lang w:val="en-US"/>
        </w:rPr>
      </w:pPr>
      <w:r w:rsidRPr="00D87FCD">
        <w:rPr>
          <w:rStyle w:val="FootnoteReference"/>
        </w:rPr>
        <w:footnoteRef/>
      </w:r>
      <w:r>
        <w:t xml:space="preserve"> </w:t>
      </w:r>
      <w:r w:rsidR="00747AE6" w:rsidRPr="00747AE6">
        <w:rPr>
          <w:sz w:val="16"/>
          <w:szCs w:val="16"/>
        </w:rPr>
        <w:t>NOPTA staff salaries have increased in line with the DISR enterprise agreement</w:t>
      </w:r>
      <w:r w:rsidR="00747AE6" w:rsidRPr="004A03A8">
        <w:rPr>
          <w:sz w:val="16"/>
          <w:szCs w:val="16"/>
        </w:rPr>
        <w:t xml:space="preserve"> </w:t>
      </w:r>
      <w:r w:rsidRPr="004A03A8">
        <w:rPr>
          <w:sz w:val="16"/>
          <w:szCs w:val="16"/>
        </w:rPr>
        <w:t>https://www.industry.gov.au/sites/default/files/2024-04/disr-enterprise-agreement-2024-2027.pdf</w:t>
      </w:r>
    </w:p>
  </w:footnote>
  <w:footnote w:id="25">
    <w:p w14:paraId="63900FFF" w14:textId="3F5ED4F1" w:rsidR="00353BEF" w:rsidRPr="00A64DA0" w:rsidRDefault="00353BEF" w:rsidP="00353BEF">
      <w:pPr>
        <w:pStyle w:val="FootnoteText"/>
      </w:pPr>
      <w:r w:rsidRPr="00D87FCD">
        <w:rPr>
          <w:rStyle w:val="FootnoteReference"/>
        </w:rPr>
        <w:footnoteRef/>
      </w:r>
      <w:r w:rsidRPr="00A64DA0">
        <w:t xml:space="preserve"> </w:t>
      </w:r>
      <w:r w:rsidR="003904D7" w:rsidRPr="000662EF">
        <w:rPr>
          <w:sz w:val="16"/>
          <w:szCs w:val="16"/>
        </w:rPr>
        <w:t>https://www.industry.gov.au/publications/national-offshore-petroleum-titles-administrator-review-2020</w:t>
      </w:r>
      <w:r w:rsidRPr="00A64DA0">
        <w:t xml:space="preserve"> </w:t>
      </w:r>
    </w:p>
  </w:footnote>
  <w:footnote w:id="26">
    <w:p w14:paraId="398F5F1A" w14:textId="70348C67" w:rsidR="00006EC0" w:rsidRPr="00D46F60" w:rsidRDefault="00006EC0">
      <w:pPr>
        <w:pStyle w:val="FootnoteText"/>
        <w:rPr>
          <w:lang w:val="en-US"/>
        </w:rPr>
      </w:pPr>
      <w:r w:rsidRPr="00D46F60">
        <w:rPr>
          <w:rStyle w:val="FootnoteReference"/>
          <w:color w:val="auto"/>
        </w:rPr>
        <w:footnoteRef/>
      </w:r>
      <w:r w:rsidRPr="00D46F60">
        <w:t xml:space="preserve"> </w:t>
      </w:r>
      <w:r w:rsidRPr="00D46F60">
        <w:rPr>
          <w:sz w:val="16"/>
          <w:szCs w:val="16"/>
          <w:lang w:val="en-US"/>
        </w:rPr>
        <w:t>This table is</w:t>
      </w:r>
      <w:r w:rsidR="00B604C1" w:rsidRPr="00D46F60">
        <w:rPr>
          <w:sz w:val="16"/>
          <w:szCs w:val="16"/>
          <w:lang w:val="en-US"/>
        </w:rPr>
        <w:t xml:space="preserve"> prepared on an accrual basis</w:t>
      </w:r>
      <w:r w:rsidR="00E378B0" w:rsidRPr="00D46F60">
        <w:rPr>
          <w:sz w:val="16"/>
          <w:szCs w:val="16"/>
          <w:lang w:val="en-US"/>
        </w:rPr>
        <w:t xml:space="preserve">. </w:t>
      </w:r>
    </w:p>
  </w:footnote>
  <w:footnote w:id="27">
    <w:p w14:paraId="581BF0C5" w14:textId="536662E7" w:rsidR="00916F58" w:rsidRDefault="00916F58" w:rsidP="00916F58">
      <w:pPr>
        <w:pStyle w:val="FootnoteText"/>
      </w:pPr>
      <w:r w:rsidRPr="000662EF">
        <w:rPr>
          <w:rStyle w:val="FootnoteReference"/>
          <w:color w:val="auto"/>
        </w:rPr>
        <w:footnoteRef/>
      </w:r>
      <w:r w:rsidRPr="00651965">
        <w:t xml:space="preserve"> </w:t>
      </w:r>
      <w:r w:rsidRPr="000662EF">
        <w:rPr>
          <w:sz w:val="16"/>
          <w:szCs w:val="16"/>
        </w:rPr>
        <w:t xml:space="preserve">See </w:t>
      </w:r>
      <w:hyperlink r:id="rId12" w:history="1">
        <w:r w:rsidRPr="000662EF">
          <w:rPr>
            <w:rStyle w:val="Hyperlink"/>
            <w:color w:val="auto"/>
            <w:sz w:val="16"/>
            <w:szCs w:val="16"/>
          </w:rPr>
          <w:t>2020</w:t>
        </w:r>
        <w:r w:rsidR="00C91FC4">
          <w:rPr>
            <w:rStyle w:val="Hyperlink"/>
            <w:color w:val="auto"/>
            <w:sz w:val="16"/>
            <w:szCs w:val="16"/>
          </w:rPr>
          <w:t xml:space="preserve"> Operational Review</w:t>
        </w:r>
        <w:r w:rsidRPr="000662EF">
          <w:rPr>
            <w:rStyle w:val="Hyperlink"/>
            <w:color w:val="auto"/>
            <w:sz w:val="16"/>
            <w:szCs w:val="16"/>
          </w:rPr>
          <w:t xml:space="preserve"> of the National Offshore Petroleum Titles Administrator</w:t>
        </w:r>
      </w:hyperlink>
      <w:r w:rsidR="00006EC0">
        <w:t>.</w:t>
      </w:r>
      <w:r w:rsidRPr="00651965">
        <w:t xml:space="preserve"> </w:t>
      </w:r>
    </w:p>
  </w:footnote>
  <w:footnote w:id="28">
    <w:p w14:paraId="2422D45D" w14:textId="74B13A87" w:rsidR="006F3F14" w:rsidRPr="006F3F14" w:rsidRDefault="006F3F14">
      <w:pPr>
        <w:pStyle w:val="FootnoteText"/>
        <w:rPr>
          <w:lang w:val="en-US"/>
        </w:rPr>
      </w:pPr>
      <w:r w:rsidRPr="003D0F4A">
        <w:rPr>
          <w:rStyle w:val="FootnoteReference"/>
          <w:color w:val="auto"/>
        </w:rPr>
        <w:footnoteRef/>
      </w:r>
      <w:r>
        <w:t xml:space="preserve"> </w:t>
      </w:r>
      <w:r w:rsidR="00903BEB" w:rsidRPr="00903BEB">
        <w:rPr>
          <w:sz w:val="16"/>
          <w:szCs w:val="16"/>
        </w:rPr>
        <w:t>https://www.industry.gov.au/publications/corporate-plan-2023-24</w:t>
      </w:r>
    </w:p>
  </w:footnote>
  <w:footnote w:id="29">
    <w:p w14:paraId="23ABA415" w14:textId="0B4F42AE" w:rsidR="00916F58" w:rsidRDefault="00916F58" w:rsidP="00916F58">
      <w:pPr>
        <w:pStyle w:val="FootnoteText"/>
      </w:pPr>
      <w:r w:rsidRPr="00107D3F">
        <w:rPr>
          <w:rStyle w:val="FootnoteReference"/>
          <w:color w:val="000000" w:themeColor="text1"/>
        </w:rPr>
        <w:footnoteRef/>
      </w:r>
      <w:r w:rsidRPr="0023148E">
        <w:rPr>
          <w:color w:val="000000" w:themeColor="text1"/>
          <w:sz w:val="16"/>
          <w:szCs w:val="16"/>
        </w:rPr>
        <w:t xml:space="preserve"> </w:t>
      </w:r>
      <w:hyperlink r:id="rId13" w:history="1">
        <w:r w:rsidRPr="000662EF">
          <w:rPr>
            <w:rStyle w:val="Hyperlink"/>
            <w:rFonts w:cstheme="minorBidi"/>
            <w:sz w:val="16"/>
            <w:szCs w:val="16"/>
          </w:rPr>
          <w:t>NOPTA.gov.au</w:t>
        </w:r>
        <w:r w:rsidRPr="00651965">
          <w:rPr>
            <w:rStyle w:val="Hyperlink"/>
            <w:rFonts w:cstheme="minorBidi"/>
          </w:rPr>
          <w:t xml:space="preserve">   </w:t>
        </w:r>
      </w:hyperlink>
      <w:r w:rsidRPr="0091473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C18B" w14:textId="29E7C9F8" w:rsidR="00F2005F" w:rsidRDefault="00412EB2">
    <w:pPr>
      <w:pStyle w:val="Header"/>
    </w:pPr>
    <w:r>
      <w:rPr>
        <w:noProof/>
      </w:rPr>
      <mc:AlternateContent>
        <mc:Choice Requires="wps">
          <w:drawing>
            <wp:anchor distT="0" distB="0" distL="0" distR="0" simplePos="0" relativeHeight="251658242" behindDoc="0" locked="0" layoutInCell="1" allowOverlap="1" wp14:anchorId="673BBE98" wp14:editId="3549B389">
              <wp:simplePos x="635" y="635"/>
              <wp:positionH relativeFrom="page">
                <wp:align>center</wp:align>
              </wp:positionH>
              <wp:positionV relativeFrom="page">
                <wp:align>top</wp:align>
              </wp:positionV>
              <wp:extent cx="551815" cy="394970"/>
              <wp:effectExtent l="0" t="0" r="635" b="5080"/>
              <wp:wrapNone/>
              <wp:docPr id="5897939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2FB81239" w14:textId="439FCF60" w:rsidR="00412EB2" w:rsidRPr="00412EB2" w:rsidRDefault="00412EB2" w:rsidP="00412EB2">
                          <w:pPr>
                            <w:spacing w:after="0"/>
                            <w:rPr>
                              <w:rFonts w:ascii="Calibri" w:eastAsia="Calibri" w:hAnsi="Calibri" w:cs="Calibri"/>
                              <w:noProof/>
                              <w:color w:val="C00000"/>
                              <w:sz w:val="24"/>
                              <w:szCs w:val="24"/>
                            </w:rPr>
                          </w:pPr>
                          <w:r w:rsidRPr="00412EB2">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3BBE98" id="_x0000_t202" coordsize="21600,21600" o:spt="202" path="m,l,21600r21600,l21600,xe">
              <v:stroke joinstyle="miter"/>
              <v:path gradientshapeok="t" o:connecttype="rect"/>
            </v:shapetype>
            <v:shape id="Text Box 2" o:spid="_x0000_s1029" type="#_x0000_t202" alt="OFFICIAL" style="position:absolute;margin-left:0;margin-top:0;width:43.45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" filled="f" stroked="f">
              <v:textbox style="mso-fit-shape-to-text:t" inset="0,15pt,0,0">
                <w:txbxContent>
                  <w:p w14:paraId="2FB81239" w14:textId="439FCF60" w:rsidR="00412EB2" w:rsidRPr="00412EB2" w:rsidRDefault="00412EB2" w:rsidP="00412EB2">
                    <w:pPr>
                      <w:spacing w:after="0"/>
                      <w:rPr>
                        <w:rFonts w:ascii="Calibri" w:eastAsia="Calibri" w:hAnsi="Calibri" w:cs="Calibri"/>
                        <w:noProof/>
                        <w:color w:val="C00000"/>
                        <w:sz w:val="24"/>
                        <w:szCs w:val="24"/>
                      </w:rPr>
                    </w:pPr>
                    <w:r w:rsidRPr="00412EB2">
                      <w:rPr>
                        <w:rFonts w:ascii="Calibri" w:eastAsia="Calibri" w:hAnsi="Calibri" w:cs="Calibri"/>
                        <w:noProof/>
                        <w:color w:val="C00000"/>
                        <w:sz w:val="24"/>
                        <w:szCs w:val="24"/>
                      </w:rPr>
                      <w:t>OFFICIAL</w:t>
                    </w:r>
                  </w:p>
                </w:txbxContent>
              </v:textbox>
              <w10:wrap anchorx="page" anchory="page"/>
            </v:shape>
          </w:pict>
        </mc:Fallback>
      </mc:AlternateContent>
    </w:r>
    <w:r w:rsidR="00F2005F" w:rsidRPr="00671F44">
      <w:rPr>
        <w:noProof/>
        <w:lang w:eastAsia="en-NZ"/>
      </w:rPr>
      <w:drawing>
        <wp:anchor distT="0" distB="0" distL="114300" distR="114300" simplePos="0" relativeHeight="251658240" behindDoc="0" locked="0" layoutInCell="1" allowOverlap="1" wp14:anchorId="4C034B9E" wp14:editId="3578C4E4">
          <wp:simplePos x="0" y="0"/>
          <wp:positionH relativeFrom="page">
            <wp:align>right</wp:align>
          </wp:positionH>
          <wp:positionV relativeFrom="page">
            <wp:align>top</wp:align>
          </wp:positionV>
          <wp:extent cx="2437200" cy="817200"/>
          <wp:effectExtent l="0" t="0" r="0" b="2540"/>
          <wp:wrapNone/>
          <wp:docPr id="1612557706" name="Picture 1612557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AppData\Local\Microsoft\Windows\INetCache\Content.Outlook\N6NTDJPR\Sapere_valuation_RGB_lg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 t="-100782" r="-58417" b="-1"/>
                  <a:stretch/>
                </pic:blipFill>
                <pic:spPr bwMode="auto">
                  <a:xfrm>
                    <a:off x="0" y="0"/>
                    <a:ext cx="2437200" cy="81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CE53" w14:textId="2373E2EF" w:rsidR="00A73568" w:rsidRDefault="00412EB2">
    <w:pPr>
      <w:pStyle w:val="Header"/>
    </w:pPr>
    <w:r>
      <w:rPr>
        <w:noProof/>
      </w:rPr>
      <mc:AlternateContent>
        <mc:Choice Requires="wps">
          <w:drawing>
            <wp:anchor distT="0" distB="0" distL="0" distR="0" simplePos="0" relativeHeight="251658243" behindDoc="0" locked="0" layoutInCell="1" allowOverlap="1" wp14:anchorId="1BDE546B" wp14:editId="6C0E2EC0">
              <wp:simplePos x="914400" y="451757"/>
              <wp:positionH relativeFrom="page">
                <wp:align>center</wp:align>
              </wp:positionH>
              <wp:positionV relativeFrom="page">
                <wp:align>top</wp:align>
              </wp:positionV>
              <wp:extent cx="551815" cy="394970"/>
              <wp:effectExtent l="0" t="0" r="635" b="5080"/>
              <wp:wrapNone/>
              <wp:docPr id="18732601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694B9805" w14:textId="1413E78A" w:rsidR="00412EB2" w:rsidRPr="00412EB2" w:rsidRDefault="00412EB2" w:rsidP="00412EB2">
                          <w:pPr>
                            <w:spacing w:after="0"/>
                            <w:rPr>
                              <w:rFonts w:ascii="Calibri" w:eastAsia="Calibri" w:hAnsi="Calibri" w:cs="Calibri"/>
                              <w:noProof/>
                              <w:color w:val="C00000"/>
                              <w:sz w:val="24"/>
                              <w:szCs w:val="24"/>
                            </w:rPr>
                          </w:pPr>
                          <w:r w:rsidRPr="00412EB2">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DE546B" id="_x0000_t202" coordsize="21600,21600" o:spt="202" path="m,l,21600r21600,l21600,xe">
              <v:stroke joinstyle="miter"/>
              <v:path gradientshapeok="t" o:connecttype="rect"/>
            </v:shapetype>
            <v:shape id="Text Box 3" o:spid="_x0000_s1030" type="#_x0000_t202" alt="OFFICIAL" style="position:absolute;margin-left:0;margin-top:0;width:43.45pt;height:31.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" filled="f" stroked="f">
              <v:textbox style="mso-fit-shape-to-text:t" inset="0,15pt,0,0">
                <w:txbxContent>
                  <w:p w14:paraId="694B9805" w14:textId="1413E78A" w:rsidR="00412EB2" w:rsidRPr="00412EB2" w:rsidRDefault="00412EB2" w:rsidP="00412EB2">
                    <w:pPr>
                      <w:spacing w:after="0"/>
                      <w:rPr>
                        <w:rFonts w:ascii="Calibri" w:eastAsia="Calibri" w:hAnsi="Calibri" w:cs="Calibri"/>
                        <w:noProof/>
                        <w:color w:val="C00000"/>
                        <w:sz w:val="24"/>
                        <w:szCs w:val="24"/>
                      </w:rPr>
                    </w:pPr>
                    <w:r w:rsidRPr="00412EB2">
                      <w:rPr>
                        <w:rFonts w:ascii="Calibri" w:eastAsia="Calibri" w:hAnsi="Calibri" w:cs="Calibri"/>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75D0" w14:textId="69602E94" w:rsidR="00A73568" w:rsidRDefault="00412EB2">
    <w:pPr>
      <w:pStyle w:val="Header"/>
    </w:pPr>
    <w:r>
      <w:rPr>
        <w:noProof/>
      </w:rPr>
      <mc:AlternateContent>
        <mc:Choice Requires="wps">
          <w:drawing>
            <wp:anchor distT="0" distB="0" distL="0" distR="0" simplePos="0" relativeHeight="251658241" behindDoc="0" locked="0" layoutInCell="1" allowOverlap="1" wp14:anchorId="5DB10755" wp14:editId="2BA92233">
              <wp:simplePos x="635" y="635"/>
              <wp:positionH relativeFrom="page">
                <wp:align>center</wp:align>
              </wp:positionH>
              <wp:positionV relativeFrom="page">
                <wp:align>top</wp:align>
              </wp:positionV>
              <wp:extent cx="551815" cy="394970"/>
              <wp:effectExtent l="0" t="0" r="635" b="5080"/>
              <wp:wrapNone/>
              <wp:docPr id="6945436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3F7BEC7E" w14:textId="102C7585" w:rsidR="00412EB2" w:rsidRPr="00412EB2" w:rsidRDefault="00412EB2" w:rsidP="00412EB2">
                          <w:pPr>
                            <w:spacing w:after="0"/>
                            <w:rPr>
                              <w:rFonts w:ascii="Calibri" w:eastAsia="Calibri" w:hAnsi="Calibri" w:cs="Calibri"/>
                              <w:noProof/>
                              <w:color w:val="C00000"/>
                              <w:sz w:val="24"/>
                              <w:szCs w:val="24"/>
                            </w:rPr>
                          </w:pPr>
                          <w:r w:rsidRPr="00412EB2">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B10755" id="_x0000_t202" coordsize="21600,21600" o:spt="202" path="m,l,21600r21600,l21600,xe">
              <v:stroke joinstyle="miter"/>
              <v:path gradientshapeok="t" o:connecttype="rect"/>
            </v:shapetype>
            <v:shape id="Text Box 1" o:spid="_x0000_s1033" type="#_x0000_t202" alt="OFFICIAL" style="position:absolute;margin-left:0;margin-top:0;width:43.45pt;height:31.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" filled="f" stroked="f">
              <v:textbox style="mso-fit-shape-to-text:t" inset="0,15pt,0,0">
                <w:txbxContent>
                  <w:p w14:paraId="3F7BEC7E" w14:textId="102C7585" w:rsidR="00412EB2" w:rsidRPr="00412EB2" w:rsidRDefault="00412EB2" w:rsidP="00412EB2">
                    <w:pPr>
                      <w:spacing w:after="0"/>
                      <w:rPr>
                        <w:rFonts w:ascii="Calibri" w:eastAsia="Calibri" w:hAnsi="Calibri" w:cs="Calibri"/>
                        <w:noProof/>
                        <w:color w:val="C00000"/>
                        <w:sz w:val="24"/>
                        <w:szCs w:val="24"/>
                      </w:rPr>
                    </w:pPr>
                    <w:r w:rsidRPr="00412EB2">
                      <w:rPr>
                        <w:rFonts w:ascii="Calibri" w:eastAsia="Calibri" w:hAnsi="Calibri" w:cs="Calibri"/>
                        <w:noProof/>
                        <w:color w:val="C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B8E2" w14:textId="5EC5B915" w:rsidR="003460DF" w:rsidRDefault="00412EB2">
    <w:pPr>
      <w:pStyle w:val="Header"/>
    </w:pPr>
    <w:r>
      <w:rPr>
        <w:noProof/>
      </w:rPr>
      <mc:AlternateContent>
        <mc:Choice Requires="wps">
          <w:drawing>
            <wp:anchor distT="0" distB="0" distL="0" distR="0" simplePos="0" relativeHeight="251658245" behindDoc="0" locked="0" layoutInCell="1" allowOverlap="1" wp14:anchorId="578799CF" wp14:editId="1630CF63">
              <wp:simplePos x="635" y="635"/>
              <wp:positionH relativeFrom="page">
                <wp:align>center</wp:align>
              </wp:positionH>
              <wp:positionV relativeFrom="page">
                <wp:align>top</wp:align>
              </wp:positionV>
              <wp:extent cx="551815" cy="394970"/>
              <wp:effectExtent l="0" t="0" r="635" b="5080"/>
              <wp:wrapNone/>
              <wp:docPr id="95170717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2C6F60D3" w14:textId="47E23AD2" w:rsidR="00412EB2" w:rsidRPr="00412EB2" w:rsidRDefault="00412EB2" w:rsidP="00412EB2">
                          <w:pPr>
                            <w:spacing w:after="0"/>
                            <w:rPr>
                              <w:rFonts w:ascii="Calibri" w:eastAsia="Calibri" w:hAnsi="Calibri" w:cs="Calibri"/>
                              <w:noProof/>
                              <w:color w:val="C00000"/>
                              <w:sz w:val="24"/>
                              <w:szCs w:val="24"/>
                            </w:rPr>
                          </w:pPr>
                          <w:r w:rsidRPr="00412EB2">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8799CF" id="_x0000_t202" coordsize="21600,21600" o:spt="202" path="m,l,21600r21600,l21600,xe">
              <v:stroke joinstyle="miter"/>
              <v:path gradientshapeok="t" o:connecttype="rect"/>
            </v:shapetype>
            <v:shape id="Text Box 5" o:spid="_x0000_s1035" type="#_x0000_t202" alt="OFFICIAL" style="position:absolute;margin-left:0;margin-top:0;width:43.45pt;height:31.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" filled="f" stroked="f">
              <v:textbox style="mso-fit-shape-to-text:t" inset="0,15pt,0,0">
                <w:txbxContent>
                  <w:p w14:paraId="2C6F60D3" w14:textId="47E23AD2" w:rsidR="00412EB2" w:rsidRPr="00412EB2" w:rsidRDefault="00412EB2" w:rsidP="00412EB2">
                    <w:pPr>
                      <w:spacing w:after="0"/>
                      <w:rPr>
                        <w:rFonts w:ascii="Calibri" w:eastAsia="Calibri" w:hAnsi="Calibri" w:cs="Calibri"/>
                        <w:noProof/>
                        <w:color w:val="C00000"/>
                        <w:sz w:val="24"/>
                        <w:szCs w:val="24"/>
                      </w:rPr>
                    </w:pPr>
                    <w:r w:rsidRPr="00412EB2">
                      <w:rPr>
                        <w:rFonts w:ascii="Calibri" w:eastAsia="Calibri" w:hAnsi="Calibri" w:cs="Calibri"/>
                        <w:noProof/>
                        <w:color w:val="C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CA50" w14:textId="625A4720" w:rsidR="003460DF" w:rsidRDefault="00412EB2">
    <w:pPr>
      <w:pStyle w:val="Header"/>
    </w:pPr>
    <w:r>
      <w:rPr>
        <w:noProof/>
      </w:rPr>
      <mc:AlternateContent>
        <mc:Choice Requires="wps">
          <w:drawing>
            <wp:anchor distT="0" distB="0" distL="0" distR="0" simplePos="0" relativeHeight="251658246" behindDoc="0" locked="0" layoutInCell="1" allowOverlap="1" wp14:anchorId="6E180DEF" wp14:editId="63F8FFB8">
              <wp:simplePos x="635" y="635"/>
              <wp:positionH relativeFrom="page">
                <wp:align>center</wp:align>
              </wp:positionH>
              <wp:positionV relativeFrom="page">
                <wp:align>top</wp:align>
              </wp:positionV>
              <wp:extent cx="551815" cy="394970"/>
              <wp:effectExtent l="0" t="0" r="635" b="5080"/>
              <wp:wrapNone/>
              <wp:docPr id="158641868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2BBBF29D" w14:textId="64573A8A" w:rsidR="00412EB2" w:rsidRPr="00412EB2" w:rsidRDefault="00412EB2" w:rsidP="00412EB2">
                          <w:pPr>
                            <w:spacing w:after="0"/>
                            <w:rPr>
                              <w:rFonts w:ascii="Calibri" w:eastAsia="Calibri" w:hAnsi="Calibri" w:cs="Calibri"/>
                              <w:noProof/>
                              <w:color w:val="C00000"/>
                              <w:sz w:val="24"/>
                              <w:szCs w:val="24"/>
                            </w:rPr>
                          </w:pPr>
                          <w:r w:rsidRPr="00412EB2">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180DEF" id="_x0000_t202" coordsize="21600,21600" o:spt="202" path="m,l,21600r21600,l21600,xe">
              <v:stroke joinstyle="miter"/>
              <v:path gradientshapeok="t" o:connecttype="rect"/>
            </v:shapetype>
            <v:shape id="Text Box 6" o:spid="_x0000_s1036" type="#_x0000_t202" alt="OFFICIAL" style="position:absolute;margin-left:0;margin-top:0;width:43.45pt;height:31.1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" filled="f" stroked="f">
              <v:textbox style="mso-fit-shape-to-text:t" inset="0,15pt,0,0">
                <w:txbxContent>
                  <w:p w14:paraId="2BBBF29D" w14:textId="64573A8A" w:rsidR="00412EB2" w:rsidRPr="00412EB2" w:rsidRDefault="00412EB2" w:rsidP="00412EB2">
                    <w:pPr>
                      <w:spacing w:after="0"/>
                      <w:rPr>
                        <w:rFonts w:ascii="Calibri" w:eastAsia="Calibri" w:hAnsi="Calibri" w:cs="Calibri"/>
                        <w:noProof/>
                        <w:color w:val="C00000"/>
                        <w:sz w:val="24"/>
                        <w:szCs w:val="24"/>
                      </w:rPr>
                    </w:pPr>
                    <w:r w:rsidRPr="00412EB2">
                      <w:rPr>
                        <w:rFonts w:ascii="Calibri" w:eastAsia="Calibri" w:hAnsi="Calibri" w:cs="Calibri"/>
                        <w:noProof/>
                        <w:color w:val="C00000"/>
                        <w:sz w:val="24"/>
                        <w:szCs w:val="24"/>
                      </w:rPr>
                      <w:t>OFFICIAL</w:t>
                    </w:r>
                  </w:p>
                </w:txbxContent>
              </v:textbox>
              <w10:wrap anchorx="page" anchory="page"/>
            </v:shape>
          </w:pict>
        </mc:Fallback>
      </mc:AlternateContent>
    </w:r>
  </w:p>
  <w:p w14:paraId="143F2388" w14:textId="59AE7F6C" w:rsidR="003460DF" w:rsidRDefault="003460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5EE7" w14:textId="64CB1A88" w:rsidR="003460DF" w:rsidRDefault="00412EB2">
    <w:pPr>
      <w:pStyle w:val="Header"/>
    </w:pPr>
    <w:r>
      <w:rPr>
        <w:noProof/>
      </w:rPr>
      <mc:AlternateContent>
        <mc:Choice Requires="wps">
          <w:drawing>
            <wp:anchor distT="0" distB="0" distL="0" distR="0" simplePos="0" relativeHeight="251658244" behindDoc="0" locked="0" layoutInCell="1" allowOverlap="1" wp14:anchorId="4F34AE9A" wp14:editId="480E1A76">
              <wp:simplePos x="635" y="635"/>
              <wp:positionH relativeFrom="page">
                <wp:align>center</wp:align>
              </wp:positionH>
              <wp:positionV relativeFrom="page">
                <wp:align>top</wp:align>
              </wp:positionV>
              <wp:extent cx="551815" cy="394970"/>
              <wp:effectExtent l="0" t="0" r="635" b="5080"/>
              <wp:wrapNone/>
              <wp:docPr id="31420694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332684DD" w14:textId="67C3ED9F" w:rsidR="00412EB2" w:rsidRPr="00412EB2" w:rsidRDefault="00412EB2" w:rsidP="00412EB2">
                          <w:pPr>
                            <w:spacing w:after="0"/>
                            <w:rPr>
                              <w:rFonts w:ascii="Calibri" w:eastAsia="Calibri" w:hAnsi="Calibri" w:cs="Calibri"/>
                              <w:noProof/>
                              <w:color w:val="C00000"/>
                              <w:sz w:val="24"/>
                              <w:szCs w:val="24"/>
                            </w:rPr>
                          </w:pPr>
                          <w:r w:rsidRPr="00412EB2">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34AE9A" id="_x0000_t202" coordsize="21600,21600" o:spt="202" path="m,l,21600r21600,l21600,xe">
              <v:stroke joinstyle="miter"/>
              <v:path gradientshapeok="t" o:connecttype="rect"/>
            </v:shapetype>
            <v:shape id="Text Box 4" o:spid="_x0000_s1039" type="#_x0000_t202" alt="OFFICIAL" style="position:absolute;margin-left:0;margin-top:0;width:43.45pt;height:31.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" filled="f" stroked="f">
              <v:textbox style="mso-fit-shape-to-text:t" inset="0,15pt,0,0">
                <w:txbxContent>
                  <w:p w14:paraId="332684DD" w14:textId="67C3ED9F" w:rsidR="00412EB2" w:rsidRPr="00412EB2" w:rsidRDefault="00412EB2" w:rsidP="00412EB2">
                    <w:pPr>
                      <w:spacing w:after="0"/>
                      <w:rPr>
                        <w:rFonts w:ascii="Calibri" w:eastAsia="Calibri" w:hAnsi="Calibri" w:cs="Calibri"/>
                        <w:noProof/>
                        <w:color w:val="C00000"/>
                        <w:sz w:val="24"/>
                        <w:szCs w:val="24"/>
                      </w:rPr>
                    </w:pPr>
                    <w:r w:rsidRPr="00412EB2">
                      <w:rPr>
                        <w:rFonts w:ascii="Calibri" w:eastAsia="Calibri" w:hAnsi="Calibri" w:cs="Calibri"/>
                        <w:noProof/>
                        <w:color w:val="C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43FD"/>
    <w:multiLevelType w:val="hybridMultilevel"/>
    <w:tmpl w:val="83F27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9360A1"/>
    <w:multiLevelType w:val="hybridMultilevel"/>
    <w:tmpl w:val="DCA40EAE"/>
    <w:lvl w:ilvl="0" w:tplc="194E2540">
      <w:start w:val="1"/>
      <w:numFmt w:val="bullet"/>
      <w:lvlText w:val=""/>
      <w:lvlJc w:val="left"/>
      <w:pPr>
        <w:ind w:left="720" w:hanging="360"/>
      </w:pPr>
      <w:rPr>
        <w:rFonts w:ascii="Symbol" w:hAnsi="Symbol" w:hint="default"/>
        <w:color w:val="5B9BD5" w:themeColor="accent1"/>
        <w:u w:color="000000" w:themeColor="text1"/>
      </w:rPr>
    </w:lvl>
    <w:lvl w:ilvl="1" w:tplc="9B6E71FE">
      <w:start w:val="5"/>
      <w:numFmt w:val="bullet"/>
      <w:lvlText w:val="•"/>
      <w:lvlJc w:val="left"/>
      <w:pPr>
        <w:ind w:left="1800" w:hanging="720"/>
      </w:pPr>
      <w:rPr>
        <w:rFonts w:ascii="Segoe UI" w:eastAsiaTheme="minorHAnsi" w:hAnsi="Segoe UI" w:cs="Segoe U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AD24C7"/>
    <w:multiLevelType w:val="multilevel"/>
    <w:tmpl w:val="2392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B71CE"/>
    <w:multiLevelType w:val="hybridMultilevel"/>
    <w:tmpl w:val="902C5A06"/>
    <w:lvl w:ilvl="0" w:tplc="E932B75A">
      <w:start w:val="1"/>
      <w:numFmt w:val="bullet"/>
      <w:lvlText w:val="-"/>
      <w:lvlJc w:val="left"/>
      <w:pPr>
        <w:ind w:left="366" w:hanging="360"/>
      </w:pPr>
      <w:rPr>
        <w:rFonts w:ascii="Courier New" w:hAnsi="Courier New" w:cs="Times New Roman" w:hint="default"/>
      </w:rPr>
    </w:lvl>
    <w:lvl w:ilvl="1" w:tplc="0C090003">
      <w:start w:val="1"/>
      <w:numFmt w:val="bullet"/>
      <w:lvlText w:val="o"/>
      <w:lvlJc w:val="left"/>
      <w:pPr>
        <w:ind w:left="1086" w:hanging="360"/>
      </w:pPr>
      <w:rPr>
        <w:rFonts w:ascii="Courier New" w:hAnsi="Courier New" w:cs="Courier New" w:hint="default"/>
      </w:rPr>
    </w:lvl>
    <w:lvl w:ilvl="2" w:tplc="0C090005">
      <w:start w:val="1"/>
      <w:numFmt w:val="bullet"/>
      <w:lvlText w:val=""/>
      <w:lvlJc w:val="left"/>
      <w:pPr>
        <w:ind w:left="1806" w:hanging="360"/>
      </w:pPr>
      <w:rPr>
        <w:rFonts w:ascii="Wingdings" w:hAnsi="Wingdings" w:hint="default"/>
      </w:rPr>
    </w:lvl>
    <w:lvl w:ilvl="3" w:tplc="0C090001">
      <w:start w:val="1"/>
      <w:numFmt w:val="bullet"/>
      <w:lvlText w:val=""/>
      <w:lvlJc w:val="left"/>
      <w:pPr>
        <w:ind w:left="2526" w:hanging="360"/>
      </w:pPr>
      <w:rPr>
        <w:rFonts w:ascii="Symbol" w:hAnsi="Symbol" w:hint="default"/>
      </w:rPr>
    </w:lvl>
    <w:lvl w:ilvl="4" w:tplc="0C090003">
      <w:start w:val="1"/>
      <w:numFmt w:val="bullet"/>
      <w:lvlText w:val="o"/>
      <w:lvlJc w:val="left"/>
      <w:pPr>
        <w:ind w:left="3246" w:hanging="360"/>
      </w:pPr>
      <w:rPr>
        <w:rFonts w:ascii="Courier New" w:hAnsi="Courier New" w:cs="Courier New" w:hint="default"/>
      </w:rPr>
    </w:lvl>
    <w:lvl w:ilvl="5" w:tplc="0C090005">
      <w:start w:val="1"/>
      <w:numFmt w:val="bullet"/>
      <w:lvlText w:val=""/>
      <w:lvlJc w:val="left"/>
      <w:pPr>
        <w:ind w:left="3966" w:hanging="360"/>
      </w:pPr>
      <w:rPr>
        <w:rFonts w:ascii="Wingdings" w:hAnsi="Wingdings" w:hint="default"/>
      </w:rPr>
    </w:lvl>
    <w:lvl w:ilvl="6" w:tplc="0C090001">
      <w:start w:val="1"/>
      <w:numFmt w:val="bullet"/>
      <w:lvlText w:val=""/>
      <w:lvlJc w:val="left"/>
      <w:pPr>
        <w:ind w:left="4686" w:hanging="360"/>
      </w:pPr>
      <w:rPr>
        <w:rFonts w:ascii="Symbol" w:hAnsi="Symbol" w:hint="default"/>
      </w:rPr>
    </w:lvl>
    <w:lvl w:ilvl="7" w:tplc="0C090003">
      <w:start w:val="1"/>
      <w:numFmt w:val="bullet"/>
      <w:lvlText w:val="o"/>
      <w:lvlJc w:val="left"/>
      <w:pPr>
        <w:ind w:left="5406" w:hanging="360"/>
      </w:pPr>
      <w:rPr>
        <w:rFonts w:ascii="Courier New" w:hAnsi="Courier New" w:cs="Courier New" w:hint="default"/>
      </w:rPr>
    </w:lvl>
    <w:lvl w:ilvl="8" w:tplc="0C090005">
      <w:start w:val="1"/>
      <w:numFmt w:val="bullet"/>
      <w:lvlText w:val=""/>
      <w:lvlJc w:val="left"/>
      <w:pPr>
        <w:ind w:left="6126" w:hanging="360"/>
      </w:pPr>
      <w:rPr>
        <w:rFonts w:ascii="Wingdings" w:hAnsi="Wingdings" w:hint="default"/>
      </w:rPr>
    </w:lvl>
  </w:abstractNum>
  <w:abstractNum w:abstractNumId="4" w15:restartNumberingAfterBreak="0">
    <w:nsid w:val="0DF474FE"/>
    <w:multiLevelType w:val="hybridMultilevel"/>
    <w:tmpl w:val="573893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004244"/>
    <w:multiLevelType w:val="hybridMultilevel"/>
    <w:tmpl w:val="F716CB22"/>
    <w:lvl w:ilvl="0" w:tplc="51A23136">
      <w:start w:val="1"/>
      <w:numFmt w:val="bullet"/>
      <w:lvlText w:val=""/>
      <w:lvlJc w:val="left"/>
      <w:pPr>
        <w:ind w:left="357" w:hanging="357"/>
      </w:pPr>
      <w:rPr>
        <w:rFonts w:ascii="Symbol" w:hAnsi="Symbol" w:hint="default"/>
      </w:rPr>
    </w:lvl>
    <w:lvl w:ilvl="1" w:tplc="06AC5CB6">
      <w:start w:val="1"/>
      <w:numFmt w:val="bullet"/>
      <w:lvlText w:val="o"/>
      <w:lvlJc w:val="left"/>
      <w:pPr>
        <w:ind w:left="92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A03943"/>
    <w:multiLevelType w:val="hybridMultilevel"/>
    <w:tmpl w:val="840E9042"/>
    <w:lvl w:ilvl="0" w:tplc="B5FADE0C">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C006D2"/>
    <w:multiLevelType w:val="hybridMultilevel"/>
    <w:tmpl w:val="B35E9C5E"/>
    <w:lvl w:ilvl="0" w:tplc="194E2540">
      <w:start w:val="1"/>
      <w:numFmt w:val="bullet"/>
      <w:lvlText w:val=""/>
      <w:lvlJc w:val="left"/>
      <w:pPr>
        <w:ind w:left="720" w:hanging="360"/>
      </w:pPr>
      <w:rPr>
        <w:rFonts w:ascii="Symbol" w:hAnsi="Symbol" w:hint="default"/>
        <w:color w:val="5B9BD5" w:themeColor="accent1"/>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56095D"/>
    <w:multiLevelType w:val="hybridMultilevel"/>
    <w:tmpl w:val="E59E859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510377"/>
    <w:multiLevelType w:val="hybridMultilevel"/>
    <w:tmpl w:val="0F2EA76E"/>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CBAE5B9C">
      <w:start w:val="3"/>
      <w:numFmt w:val="bullet"/>
      <w:lvlText w:val="-"/>
      <w:lvlJc w:val="left"/>
      <w:pPr>
        <w:ind w:left="1980" w:hanging="360"/>
      </w:pPr>
      <w:rPr>
        <w:rFonts w:ascii="Arial" w:eastAsiaTheme="minorHAnsi" w:hAnsi="Arial" w:cs="Aria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7F94032"/>
    <w:multiLevelType w:val="hybridMultilevel"/>
    <w:tmpl w:val="F8427C7C"/>
    <w:lvl w:ilvl="0" w:tplc="194E2540">
      <w:start w:val="1"/>
      <w:numFmt w:val="bullet"/>
      <w:lvlText w:val=""/>
      <w:lvlJc w:val="left"/>
      <w:pPr>
        <w:ind w:left="780" w:hanging="360"/>
      </w:pPr>
      <w:rPr>
        <w:rFonts w:ascii="Symbol" w:hAnsi="Symbol" w:hint="default"/>
        <w:color w:val="5B9BD5" w:themeColor="accent1"/>
        <w:u w:color="000000" w:themeColor="text1"/>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2A5834AD"/>
    <w:multiLevelType w:val="hybridMultilevel"/>
    <w:tmpl w:val="170EB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9F78A7"/>
    <w:multiLevelType w:val="hybridMultilevel"/>
    <w:tmpl w:val="679067E8"/>
    <w:lvl w:ilvl="0" w:tplc="FFFFFFFF">
      <w:start w:val="1"/>
      <w:numFmt w:val="bullet"/>
      <w:lvlText w:val=""/>
      <w:lvlJc w:val="left"/>
      <w:pPr>
        <w:ind w:left="720" w:hanging="360"/>
      </w:pPr>
      <w:rPr>
        <w:rFonts w:ascii="Symbol" w:hAnsi="Symbol" w:hint="default"/>
        <w:color w:val="5B9BD5" w:themeColor="accent1"/>
        <w:u w:color="000000" w:themeColor="text1"/>
      </w:rPr>
    </w:lvl>
    <w:lvl w:ilvl="1" w:tplc="CD2E13F0">
      <w:start w:val="1"/>
      <w:numFmt w:val="bullet"/>
      <w:lvlText w:val=""/>
      <w:lvlJc w:val="left"/>
      <w:pPr>
        <w:ind w:left="720" w:hanging="360"/>
      </w:pPr>
      <w:rPr>
        <w:rFonts w:ascii="Symbol" w:hAnsi="Symbol" w:hint="default"/>
        <w:color w:val="auto"/>
        <w:u w:color="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6C56944"/>
    <w:multiLevelType w:val="multilevel"/>
    <w:tmpl w:val="A39645E6"/>
    <w:lvl w:ilvl="0">
      <w:start w:val="1"/>
      <w:numFmt w:val="decimal"/>
      <w:pStyle w:val="ListNumber"/>
      <w:lvlText w:val="%1."/>
      <w:lvlJc w:val="left"/>
      <w:pPr>
        <w:ind w:left="720" w:hanging="363"/>
      </w:pPr>
      <w:rPr>
        <w:rFonts w:hint="default"/>
      </w:rPr>
    </w:lvl>
    <w:lvl w:ilvl="1">
      <w:start w:val="1"/>
      <w:numFmt w:val="lowerLetter"/>
      <w:pStyle w:val="ListNumber2"/>
      <w:lvlText w:val="%2)"/>
      <w:lvlJc w:val="left"/>
      <w:pPr>
        <w:ind w:left="1077" w:hanging="357"/>
      </w:pPr>
      <w:rPr>
        <w:rFonts w:hint="default"/>
      </w:rPr>
    </w:lvl>
    <w:lvl w:ilvl="2">
      <w:start w:val="1"/>
      <w:numFmt w:val="lowerRoman"/>
      <w:pStyle w:val="ListNumber3"/>
      <w:lvlText w:val="%3."/>
      <w:lvlJc w:val="left"/>
      <w:pPr>
        <w:ind w:left="1440" w:hanging="363"/>
      </w:pPr>
      <w:rPr>
        <w:rFonts w:hint="default"/>
      </w:rPr>
    </w:lvl>
    <w:lvl w:ilvl="3">
      <w:start w:val="1"/>
      <w:numFmt w:val="bullet"/>
      <w:pStyle w:val="ListNumber4"/>
      <w:lvlText w:val=""/>
      <w:lvlJc w:val="left"/>
      <w:pPr>
        <w:ind w:left="1797" w:hanging="357"/>
      </w:pPr>
      <w:rPr>
        <w:rFonts w:ascii="Wingdings" w:hAnsi="Wingdings" w:hint="default"/>
        <w:color w:val="5B9BD5" w:themeColor="accent1"/>
      </w:rPr>
    </w:lvl>
    <w:lvl w:ilvl="4">
      <w:start w:val="1"/>
      <w:numFmt w:val="bullet"/>
      <w:pStyle w:val="ListNumber5"/>
      <w:lvlText w:val="­"/>
      <w:lvlJc w:val="left"/>
      <w:pPr>
        <w:ind w:left="1800" w:hanging="337"/>
      </w:pPr>
      <w:rPr>
        <w:rFonts w:ascii="Century Gothic" w:hAnsi="Century Gothic" w:hint="default"/>
        <w:color w:val="5B9BD5"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85119AC"/>
    <w:multiLevelType w:val="multilevel"/>
    <w:tmpl w:val="91446832"/>
    <w:lvl w:ilvl="0">
      <w:start w:val="1"/>
      <w:numFmt w:val="decimal"/>
      <w:lvlText w:val="%1."/>
      <w:lvlJc w:val="left"/>
      <w:pPr>
        <w:ind w:left="567" w:hanging="56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Text w:val="Appendix %9"/>
      <w:lvlJc w:val="left"/>
      <w:pPr>
        <w:ind w:left="2268" w:hanging="2268"/>
      </w:pPr>
      <w:rPr>
        <w:rFonts w:hint="default"/>
        <w:color w:val="5B9BD5" w:themeColor="accent1"/>
      </w:rPr>
    </w:lvl>
  </w:abstractNum>
  <w:abstractNum w:abstractNumId="15" w15:restartNumberingAfterBreak="0">
    <w:nsid w:val="4B1655CB"/>
    <w:multiLevelType w:val="hybridMultilevel"/>
    <w:tmpl w:val="300A7974"/>
    <w:lvl w:ilvl="0" w:tplc="E8B400C6">
      <w:start w:val="1"/>
      <w:numFmt w:val="bullet"/>
      <w:lvlText w:val=""/>
      <w:lvlJc w:val="left"/>
      <w:pPr>
        <w:ind w:left="980" w:hanging="360"/>
      </w:pPr>
      <w:rPr>
        <w:rFonts w:ascii="Symbol" w:hAnsi="Symbol"/>
      </w:rPr>
    </w:lvl>
    <w:lvl w:ilvl="1" w:tplc="28CC7CD2">
      <w:start w:val="1"/>
      <w:numFmt w:val="bullet"/>
      <w:lvlText w:val=""/>
      <w:lvlJc w:val="left"/>
      <w:pPr>
        <w:ind w:left="980" w:hanging="360"/>
      </w:pPr>
      <w:rPr>
        <w:rFonts w:ascii="Symbol" w:hAnsi="Symbol"/>
      </w:rPr>
    </w:lvl>
    <w:lvl w:ilvl="2" w:tplc="F746F418">
      <w:start w:val="1"/>
      <w:numFmt w:val="bullet"/>
      <w:lvlText w:val=""/>
      <w:lvlJc w:val="left"/>
      <w:pPr>
        <w:ind w:left="980" w:hanging="360"/>
      </w:pPr>
      <w:rPr>
        <w:rFonts w:ascii="Symbol" w:hAnsi="Symbol"/>
      </w:rPr>
    </w:lvl>
    <w:lvl w:ilvl="3" w:tplc="CF7EB73A">
      <w:start w:val="1"/>
      <w:numFmt w:val="bullet"/>
      <w:lvlText w:val=""/>
      <w:lvlJc w:val="left"/>
      <w:pPr>
        <w:ind w:left="980" w:hanging="360"/>
      </w:pPr>
      <w:rPr>
        <w:rFonts w:ascii="Symbol" w:hAnsi="Symbol"/>
      </w:rPr>
    </w:lvl>
    <w:lvl w:ilvl="4" w:tplc="CF0C757C">
      <w:start w:val="1"/>
      <w:numFmt w:val="bullet"/>
      <w:lvlText w:val=""/>
      <w:lvlJc w:val="left"/>
      <w:pPr>
        <w:ind w:left="980" w:hanging="360"/>
      </w:pPr>
      <w:rPr>
        <w:rFonts w:ascii="Symbol" w:hAnsi="Symbol"/>
      </w:rPr>
    </w:lvl>
    <w:lvl w:ilvl="5" w:tplc="8B94283E">
      <w:start w:val="1"/>
      <w:numFmt w:val="bullet"/>
      <w:lvlText w:val=""/>
      <w:lvlJc w:val="left"/>
      <w:pPr>
        <w:ind w:left="980" w:hanging="360"/>
      </w:pPr>
      <w:rPr>
        <w:rFonts w:ascii="Symbol" w:hAnsi="Symbol"/>
      </w:rPr>
    </w:lvl>
    <w:lvl w:ilvl="6" w:tplc="34726C04">
      <w:start w:val="1"/>
      <w:numFmt w:val="bullet"/>
      <w:lvlText w:val=""/>
      <w:lvlJc w:val="left"/>
      <w:pPr>
        <w:ind w:left="980" w:hanging="360"/>
      </w:pPr>
      <w:rPr>
        <w:rFonts w:ascii="Symbol" w:hAnsi="Symbol"/>
      </w:rPr>
    </w:lvl>
    <w:lvl w:ilvl="7" w:tplc="468E32DE">
      <w:start w:val="1"/>
      <w:numFmt w:val="bullet"/>
      <w:lvlText w:val=""/>
      <w:lvlJc w:val="left"/>
      <w:pPr>
        <w:ind w:left="980" w:hanging="360"/>
      </w:pPr>
      <w:rPr>
        <w:rFonts w:ascii="Symbol" w:hAnsi="Symbol"/>
      </w:rPr>
    </w:lvl>
    <w:lvl w:ilvl="8" w:tplc="D8247F9C">
      <w:start w:val="1"/>
      <w:numFmt w:val="bullet"/>
      <w:lvlText w:val=""/>
      <w:lvlJc w:val="left"/>
      <w:pPr>
        <w:ind w:left="980" w:hanging="360"/>
      </w:pPr>
      <w:rPr>
        <w:rFonts w:ascii="Symbol" w:hAnsi="Symbol"/>
      </w:rPr>
    </w:lvl>
  </w:abstractNum>
  <w:abstractNum w:abstractNumId="16" w15:restartNumberingAfterBreak="0">
    <w:nsid w:val="502011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BD7681"/>
    <w:multiLevelType w:val="hybridMultilevel"/>
    <w:tmpl w:val="E8BC2A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030496E"/>
    <w:multiLevelType w:val="multilevel"/>
    <w:tmpl w:val="2392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234B6A"/>
    <w:multiLevelType w:val="hybridMultilevel"/>
    <w:tmpl w:val="CB82C07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1C3485C"/>
    <w:multiLevelType w:val="multilevel"/>
    <w:tmpl w:val="4EDCC30C"/>
    <w:lvl w:ilvl="0">
      <w:start w:val="1"/>
      <w:numFmt w:val="bullet"/>
      <w:pStyle w:val="ListBullet"/>
      <w:lvlText w:val=""/>
      <w:lvlJc w:val="left"/>
      <w:pPr>
        <w:ind w:left="992" w:hanging="425"/>
      </w:pPr>
      <w:rPr>
        <w:rFonts w:ascii="Symbol" w:hAnsi="Symbol" w:hint="default"/>
        <w:color w:val="7B5E05"/>
      </w:rPr>
    </w:lvl>
    <w:lvl w:ilvl="1">
      <w:start w:val="1"/>
      <w:numFmt w:val="bullet"/>
      <w:pStyle w:val="ListBullet2"/>
      <w:lvlText w:val="o"/>
      <w:lvlJc w:val="left"/>
      <w:pPr>
        <w:ind w:left="1701" w:hanging="425"/>
      </w:pPr>
      <w:rPr>
        <w:rFonts w:ascii="Courier New" w:hAnsi="Courier New" w:hint="default"/>
        <w:color w:val="5B9BD5" w:themeColor="accent1"/>
      </w:rPr>
    </w:lvl>
    <w:lvl w:ilvl="2">
      <w:start w:val="1"/>
      <w:numFmt w:val="bullet"/>
      <w:pStyle w:val="OutlineBoxBullets"/>
      <w:lvlText w:val=""/>
      <w:lvlJc w:val="left"/>
      <w:pPr>
        <w:ind w:left="567" w:firstLine="238"/>
      </w:pPr>
      <w:rPr>
        <w:rFonts w:ascii="Symbol" w:hAnsi="Symbol" w:hint="default"/>
        <w:color w:val="5B9BD5" w:themeColor="accent1"/>
      </w:rPr>
    </w:lvl>
    <w:lvl w:ilvl="3">
      <w:start w:val="1"/>
      <w:numFmt w:val="bullet"/>
      <w:lvlText w:val="໐"/>
      <w:lvlJc w:val="left"/>
      <w:pPr>
        <w:ind w:left="1043" w:hanging="238"/>
      </w:pPr>
      <w:rPr>
        <w:rFonts w:ascii="Segoe UI" w:hAnsi="Segoe UI" w:hint="default"/>
        <w:color w:val="5B9BD5" w:themeColor="accent1"/>
      </w:rPr>
    </w:lvl>
    <w:lvl w:ilvl="4">
      <w:start w:val="1"/>
      <w:numFmt w:val="bullet"/>
      <w:lvlText w:val="o"/>
      <w:lvlJc w:val="left"/>
      <w:pPr>
        <w:ind w:left="2673" w:hanging="360"/>
      </w:pPr>
      <w:rPr>
        <w:rFonts w:ascii="Courier New" w:hAnsi="Courier New" w:hint="default"/>
      </w:rPr>
    </w:lvl>
    <w:lvl w:ilvl="5">
      <w:start w:val="1"/>
      <w:numFmt w:val="bullet"/>
      <w:lvlText w:val=""/>
      <w:lvlJc w:val="left"/>
      <w:pPr>
        <w:ind w:left="3393" w:hanging="360"/>
      </w:pPr>
      <w:rPr>
        <w:rFonts w:ascii="Wingdings" w:hAnsi="Wingdings" w:hint="default"/>
      </w:rPr>
    </w:lvl>
    <w:lvl w:ilvl="6">
      <w:start w:val="1"/>
      <w:numFmt w:val="bullet"/>
      <w:lvlText w:val=""/>
      <w:lvlJc w:val="left"/>
      <w:pPr>
        <w:ind w:left="4113" w:hanging="360"/>
      </w:pPr>
      <w:rPr>
        <w:rFonts w:ascii="Symbol" w:hAnsi="Symbol" w:hint="default"/>
      </w:rPr>
    </w:lvl>
    <w:lvl w:ilvl="7">
      <w:start w:val="1"/>
      <w:numFmt w:val="bullet"/>
      <w:lvlText w:val="o"/>
      <w:lvlJc w:val="left"/>
      <w:pPr>
        <w:ind w:left="4833" w:hanging="360"/>
      </w:pPr>
      <w:rPr>
        <w:rFonts w:ascii="Courier New" w:hAnsi="Courier New" w:cs="Courier New" w:hint="default"/>
      </w:rPr>
    </w:lvl>
    <w:lvl w:ilvl="8">
      <w:start w:val="1"/>
      <w:numFmt w:val="bullet"/>
      <w:lvlText w:val=""/>
      <w:lvlJc w:val="left"/>
      <w:pPr>
        <w:ind w:left="5553" w:hanging="360"/>
      </w:pPr>
      <w:rPr>
        <w:rFonts w:ascii="Wingdings" w:hAnsi="Wingdings" w:hint="default"/>
      </w:rPr>
    </w:lvl>
  </w:abstractNum>
  <w:abstractNum w:abstractNumId="21" w15:restartNumberingAfterBreak="0">
    <w:nsid w:val="6317275B"/>
    <w:multiLevelType w:val="hybridMultilevel"/>
    <w:tmpl w:val="ED30E26C"/>
    <w:lvl w:ilvl="0" w:tplc="6D0CEBB2">
      <w:start w:val="2024"/>
      <w:numFmt w:val="bullet"/>
      <w:lvlText w:val="-"/>
      <w:lvlJc w:val="left"/>
      <w:pPr>
        <w:ind w:left="720" w:hanging="360"/>
      </w:pPr>
      <w:rPr>
        <w:rFonts w:ascii="Calibri" w:eastAsiaTheme="minorEastAsia" w:hAnsi="Calibri"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CC385E"/>
    <w:multiLevelType w:val="hybridMultilevel"/>
    <w:tmpl w:val="0C6CDB7C"/>
    <w:lvl w:ilvl="0" w:tplc="194E2540">
      <w:start w:val="1"/>
      <w:numFmt w:val="bullet"/>
      <w:lvlText w:val=""/>
      <w:lvlJc w:val="left"/>
      <w:pPr>
        <w:ind w:left="720" w:hanging="360"/>
      </w:pPr>
      <w:rPr>
        <w:rFonts w:ascii="Symbol" w:hAnsi="Symbol" w:hint="default"/>
        <w:color w:val="5B9BD5" w:themeColor="accent1"/>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422E0C"/>
    <w:multiLevelType w:val="hybridMultilevel"/>
    <w:tmpl w:val="5D4C87D4"/>
    <w:lvl w:ilvl="0" w:tplc="76286066">
      <w:start w:val="1"/>
      <w:numFmt w:val="bullet"/>
      <w:lvlText w:val=""/>
      <w:lvlJc w:val="left"/>
      <w:pPr>
        <w:ind w:left="1060" w:hanging="360"/>
      </w:pPr>
      <w:rPr>
        <w:rFonts w:ascii="Symbol" w:hAnsi="Symbol"/>
      </w:rPr>
    </w:lvl>
    <w:lvl w:ilvl="1" w:tplc="8E4EBF28">
      <w:start w:val="1"/>
      <w:numFmt w:val="bullet"/>
      <w:lvlText w:val=""/>
      <w:lvlJc w:val="left"/>
      <w:pPr>
        <w:ind w:left="1060" w:hanging="360"/>
      </w:pPr>
      <w:rPr>
        <w:rFonts w:ascii="Symbol" w:hAnsi="Symbol"/>
      </w:rPr>
    </w:lvl>
    <w:lvl w:ilvl="2" w:tplc="1C5E8B92">
      <w:start w:val="1"/>
      <w:numFmt w:val="bullet"/>
      <w:lvlText w:val=""/>
      <w:lvlJc w:val="left"/>
      <w:pPr>
        <w:ind w:left="1060" w:hanging="360"/>
      </w:pPr>
      <w:rPr>
        <w:rFonts w:ascii="Symbol" w:hAnsi="Symbol"/>
      </w:rPr>
    </w:lvl>
    <w:lvl w:ilvl="3" w:tplc="F76459E2">
      <w:start w:val="1"/>
      <w:numFmt w:val="bullet"/>
      <w:lvlText w:val=""/>
      <w:lvlJc w:val="left"/>
      <w:pPr>
        <w:ind w:left="1060" w:hanging="360"/>
      </w:pPr>
      <w:rPr>
        <w:rFonts w:ascii="Symbol" w:hAnsi="Symbol"/>
      </w:rPr>
    </w:lvl>
    <w:lvl w:ilvl="4" w:tplc="8E4A13DE">
      <w:start w:val="1"/>
      <w:numFmt w:val="bullet"/>
      <w:lvlText w:val=""/>
      <w:lvlJc w:val="left"/>
      <w:pPr>
        <w:ind w:left="1060" w:hanging="360"/>
      </w:pPr>
      <w:rPr>
        <w:rFonts w:ascii="Symbol" w:hAnsi="Symbol"/>
      </w:rPr>
    </w:lvl>
    <w:lvl w:ilvl="5" w:tplc="721E8406">
      <w:start w:val="1"/>
      <w:numFmt w:val="bullet"/>
      <w:lvlText w:val=""/>
      <w:lvlJc w:val="left"/>
      <w:pPr>
        <w:ind w:left="1060" w:hanging="360"/>
      </w:pPr>
      <w:rPr>
        <w:rFonts w:ascii="Symbol" w:hAnsi="Symbol"/>
      </w:rPr>
    </w:lvl>
    <w:lvl w:ilvl="6" w:tplc="66F8C9A8">
      <w:start w:val="1"/>
      <w:numFmt w:val="bullet"/>
      <w:lvlText w:val=""/>
      <w:lvlJc w:val="left"/>
      <w:pPr>
        <w:ind w:left="1060" w:hanging="360"/>
      </w:pPr>
      <w:rPr>
        <w:rFonts w:ascii="Symbol" w:hAnsi="Symbol"/>
      </w:rPr>
    </w:lvl>
    <w:lvl w:ilvl="7" w:tplc="D466D5A2">
      <w:start w:val="1"/>
      <w:numFmt w:val="bullet"/>
      <w:lvlText w:val=""/>
      <w:lvlJc w:val="left"/>
      <w:pPr>
        <w:ind w:left="1060" w:hanging="360"/>
      </w:pPr>
      <w:rPr>
        <w:rFonts w:ascii="Symbol" w:hAnsi="Symbol"/>
      </w:rPr>
    </w:lvl>
    <w:lvl w:ilvl="8" w:tplc="37460672">
      <w:start w:val="1"/>
      <w:numFmt w:val="bullet"/>
      <w:lvlText w:val=""/>
      <w:lvlJc w:val="left"/>
      <w:pPr>
        <w:ind w:left="1060" w:hanging="360"/>
      </w:pPr>
      <w:rPr>
        <w:rFonts w:ascii="Symbol" w:hAnsi="Symbol"/>
      </w:rPr>
    </w:lvl>
  </w:abstractNum>
  <w:abstractNum w:abstractNumId="24" w15:restartNumberingAfterBreak="0">
    <w:nsid w:val="7319615D"/>
    <w:multiLevelType w:val="hybridMultilevel"/>
    <w:tmpl w:val="89AAC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6C6388"/>
    <w:multiLevelType w:val="multilevel"/>
    <w:tmpl w:val="57C6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B131B2"/>
    <w:multiLevelType w:val="hybridMultilevel"/>
    <w:tmpl w:val="8FE4B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1547212">
    <w:abstractNumId w:val="6"/>
  </w:num>
  <w:num w:numId="2" w16cid:durableId="1003168712">
    <w:abstractNumId w:val="16"/>
  </w:num>
  <w:num w:numId="3" w16cid:durableId="1699963019">
    <w:abstractNumId w:val="19"/>
  </w:num>
  <w:num w:numId="4" w16cid:durableId="1918511396">
    <w:abstractNumId w:val="21"/>
  </w:num>
  <w:num w:numId="5" w16cid:durableId="1400133062">
    <w:abstractNumId w:val="9"/>
  </w:num>
  <w:num w:numId="6" w16cid:durableId="1328632002">
    <w:abstractNumId w:val="8"/>
  </w:num>
  <w:num w:numId="7" w16cid:durableId="706104007">
    <w:abstractNumId w:val="20"/>
  </w:num>
  <w:num w:numId="8" w16cid:durableId="816536240">
    <w:abstractNumId w:val="3"/>
  </w:num>
  <w:num w:numId="9" w16cid:durableId="2009749354">
    <w:abstractNumId w:val="15"/>
  </w:num>
  <w:num w:numId="10" w16cid:durableId="1673140006">
    <w:abstractNumId w:val="12"/>
  </w:num>
  <w:num w:numId="11" w16cid:durableId="1307128172">
    <w:abstractNumId w:val="10"/>
  </w:num>
  <w:num w:numId="12" w16cid:durableId="1220439031">
    <w:abstractNumId w:val="2"/>
  </w:num>
  <w:num w:numId="13" w16cid:durableId="1430538987">
    <w:abstractNumId w:val="1"/>
  </w:num>
  <w:num w:numId="14" w16cid:durableId="285232969">
    <w:abstractNumId w:val="25"/>
  </w:num>
  <w:num w:numId="15" w16cid:durableId="946737689">
    <w:abstractNumId w:val="24"/>
  </w:num>
  <w:num w:numId="16" w16cid:durableId="185291798">
    <w:abstractNumId w:val="11"/>
  </w:num>
  <w:num w:numId="17" w16cid:durableId="799424834">
    <w:abstractNumId w:val="5"/>
  </w:num>
  <w:num w:numId="18" w16cid:durableId="109668062">
    <w:abstractNumId w:val="6"/>
  </w:num>
  <w:num w:numId="19" w16cid:durableId="822090076">
    <w:abstractNumId w:val="4"/>
  </w:num>
  <w:num w:numId="20" w16cid:durableId="401100610">
    <w:abstractNumId w:val="6"/>
  </w:num>
  <w:num w:numId="21" w16cid:durableId="865799512">
    <w:abstractNumId w:val="18"/>
  </w:num>
  <w:num w:numId="22" w16cid:durableId="346639156">
    <w:abstractNumId w:val="13"/>
  </w:num>
  <w:num w:numId="23" w16cid:durableId="1255436089">
    <w:abstractNumId w:val="14"/>
  </w:num>
  <w:num w:numId="24" w16cid:durableId="989408104">
    <w:abstractNumId w:val="22"/>
  </w:num>
  <w:num w:numId="25" w16cid:durableId="311569801">
    <w:abstractNumId w:val="7"/>
  </w:num>
  <w:num w:numId="26" w16cid:durableId="1259673812">
    <w:abstractNumId w:val="6"/>
  </w:num>
  <w:num w:numId="27" w16cid:durableId="1232348503">
    <w:abstractNumId w:val="23"/>
  </w:num>
  <w:num w:numId="28" w16cid:durableId="166553423">
    <w:abstractNumId w:val="0"/>
  </w:num>
  <w:num w:numId="29" w16cid:durableId="757336306">
    <w:abstractNumId w:val="6"/>
  </w:num>
  <w:num w:numId="30" w16cid:durableId="132259082">
    <w:abstractNumId w:val="17"/>
  </w:num>
  <w:num w:numId="31" w16cid:durableId="885872531">
    <w:abstractNumId w:val="6"/>
  </w:num>
  <w:num w:numId="32" w16cid:durableId="2095007047">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A5"/>
    <w:rsid w:val="00000549"/>
    <w:rsid w:val="000007B5"/>
    <w:rsid w:val="00000FF2"/>
    <w:rsid w:val="0000129D"/>
    <w:rsid w:val="000014C5"/>
    <w:rsid w:val="00001A6E"/>
    <w:rsid w:val="000020BE"/>
    <w:rsid w:val="00002709"/>
    <w:rsid w:val="00002A35"/>
    <w:rsid w:val="000032F0"/>
    <w:rsid w:val="000045AC"/>
    <w:rsid w:val="000046E4"/>
    <w:rsid w:val="00005125"/>
    <w:rsid w:val="0000552C"/>
    <w:rsid w:val="00005894"/>
    <w:rsid w:val="00006EC0"/>
    <w:rsid w:val="00006FB0"/>
    <w:rsid w:val="00007F14"/>
    <w:rsid w:val="0001033E"/>
    <w:rsid w:val="00010C96"/>
    <w:rsid w:val="000113EF"/>
    <w:rsid w:val="00011672"/>
    <w:rsid w:val="00011F72"/>
    <w:rsid w:val="00012558"/>
    <w:rsid w:val="00013246"/>
    <w:rsid w:val="000143D1"/>
    <w:rsid w:val="00015FC8"/>
    <w:rsid w:val="0001648E"/>
    <w:rsid w:val="00016586"/>
    <w:rsid w:val="00016859"/>
    <w:rsid w:val="00017482"/>
    <w:rsid w:val="0001781B"/>
    <w:rsid w:val="00017BF5"/>
    <w:rsid w:val="00020563"/>
    <w:rsid w:val="00020A71"/>
    <w:rsid w:val="00021D3A"/>
    <w:rsid w:val="00022C25"/>
    <w:rsid w:val="00023312"/>
    <w:rsid w:val="000233B1"/>
    <w:rsid w:val="00025A02"/>
    <w:rsid w:val="000263C0"/>
    <w:rsid w:val="00026E0F"/>
    <w:rsid w:val="00027388"/>
    <w:rsid w:val="0002762F"/>
    <w:rsid w:val="0002798A"/>
    <w:rsid w:val="00027B6E"/>
    <w:rsid w:val="00030D34"/>
    <w:rsid w:val="00030DF5"/>
    <w:rsid w:val="000315E7"/>
    <w:rsid w:val="0003248A"/>
    <w:rsid w:val="0003309E"/>
    <w:rsid w:val="000332AB"/>
    <w:rsid w:val="000334C3"/>
    <w:rsid w:val="0003362B"/>
    <w:rsid w:val="0003393F"/>
    <w:rsid w:val="000358D5"/>
    <w:rsid w:val="00036314"/>
    <w:rsid w:val="00036824"/>
    <w:rsid w:val="00036A45"/>
    <w:rsid w:val="0004044D"/>
    <w:rsid w:val="00040F4F"/>
    <w:rsid w:val="00041834"/>
    <w:rsid w:val="00041C97"/>
    <w:rsid w:val="0004262B"/>
    <w:rsid w:val="000427B8"/>
    <w:rsid w:val="000431D7"/>
    <w:rsid w:val="0004393B"/>
    <w:rsid w:val="00043E4B"/>
    <w:rsid w:val="000443D4"/>
    <w:rsid w:val="00045159"/>
    <w:rsid w:val="000455A9"/>
    <w:rsid w:val="00045B76"/>
    <w:rsid w:val="0004620B"/>
    <w:rsid w:val="0004657B"/>
    <w:rsid w:val="0004660E"/>
    <w:rsid w:val="000467B2"/>
    <w:rsid w:val="00046C08"/>
    <w:rsid w:val="000476F2"/>
    <w:rsid w:val="00050247"/>
    <w:rsid w:val="00050999"/>
    <w:rsid w:val="00051358"/>
    <w:rsid w:val="00051C32"/>
    <w:rsid w:val="00051DD1"/>
    <w:rsid w:val="00052398"/>
    <w:rsid w:val="000524DE"/>
    <w:rsid w:val="000531D2"/>
    <w:rsid w:val="00053277"/>
    <w:rsid w:val="00053626"/>
    <w:rsid w:val="00053953"/>
    <w:rsid w:val="00053B86"/>
    <w:rsid w:val="00053CDA"/>
    <w:rsid w:val="00054521"/>
    <w:rsid w:val="000545A4"/>
    <w:rsid w:val="00054CF9"/>
    <w:rsid w:val="00056068"/>
    <w:rsid w:val="00056444"/>
    <w:rsid w:val="00057AF4"/>
    <w:rsid w:val="00057D6F"/>
    <w:rsid w:val="00060425"/>
    <w:rsid w:val="00060788"/>
    <w:rsid w:val="00061777"/>
    <w:rsid w:val="00062652"/>
    <w:rsid w:val="000626DF"/>
    <w:rsid w:val="00062A66"/>
    <w:rsid w:val="00062C5C"/>
    <w:rsid w:val="0006310B"/>
    <w:rsid w:val="0006336F"/>
    <w:rsid w:val="00063557"/>
    <w:rsid w:val="000638EF"/>
    <w:rsid w:val="000640F4"/>
    <w:rsid w:val="00064997"/>
    <w:rsid w:val="00064FB3"/>
    <w:rsid w:val="00065750"/>
    <w:rsid w:val="000658C2"/>
    <w:rsid w:val="00065C59"/>
    <w:rsid w:val="000662EF"/>
    <w:rsid w:val="000668E1"/>
    <w:rsid w:val="000670A6"/>
    <w:rsid w:val="00067503"/>
    <w:rsid w:val="00067521"/>
    <w:rsid w:val="000675A3"/>
    <w:rsid w:val="000679FA"/>
    <w:rsid w:val="00067A99"/>
    <w:rsid w:val="00070201"/>
    <w:rsid w:val="00070A87"/>
    <w:rsid w:val="0007109E"/>
    <w:rsid w:val="00071CED"/>
    <w:rsid w:val="00073065"/>
    <w:rsid w:val="000737D7"/>
    <w:rsid w:val="00073C96"/>
    <w:rsid w:val="00073CB6"/>
    <w:rsid w:val="00073D2A"/>
    <w:rsid w:val="0007440F"/>
    <w:rsid w:val="000758A5"/>
    <w:rsid w:val="000761E1"/>
    <w:rsid w:val="000769BB"/>
    <w:rsid w:val="00077CF7"/>
    <w:rsid w:val="00080158"/>
    <w:rsid w:val="00080259"/>
    <w:rsid w:val="0008076D"/>
    <w:rsid w:val="000807C0"/>
    <w:rsid w:val="00080942"/>
    <w:rsid w:val="000809B2"/>
    <w:rsid w:val="00080A12"/>
    <w:rsid w:val="00081034"/>
    <w:rsid w:val="0008125B"/>
    <w:rsid w:val="000814E2"/>
    <w:rsid w:val="00081BBE"/>
    <w:rsid w:val="00081EA8"/>
    <w:rsid w:val="0008204D"/>
    <w:rsid w:val="00082625"/>
    <w:rsid w:val="00082AC0"/>
    <w:rsid w:val="00083451"/>
    <w:rsid w:val="00083573"/>
    <w:rsid w:val="0008362A"/>
    <w:rsid w:val="000837D3"/>
    <w:rsid w:val="00084496"/>
    <w:rsid w:val="00084BB3"/>
    <w:rsid w:val="00084C73"/>
    <w:rsid w:val="0008581F"/>
    <w:rsid w:val="00086B0F"/>
    <w:rsid w:val="00086CAF"/>
    <w:rsid w:val="00086DC3"/>
    <w:rsid w:val="000875E8"/>
    <w:rsid w:val="00087B4E"/>
    <w:rsid w:val="00087C74"/>
    <w:rsid w:val="00090047"/>
    <w:rsid w:val="0009020B"/>
    <w:rsid w:val="00090378"/>
    <w:rsid w:val="00090565"/>
    <w:rsid w:val="00090D5C"/>
    <w:rsid w:val="00090E9D"/>
    <w:rsid w:val="000912F1"/>
    <w:rsid w:val="00091FAE"/>
    <w:rsid w:val="00091FE1"/>
    <w:rsid w:val="0009290A"/>
    <w:rsid w:val="00092C3E"/>
    <w:rsid w:val="0009322B"/>
    <w:rsid w:val="0009358E"/>
    <w:rsid w:val="00093F7B"/>
    <w:rsid w:val="000944A2"/>
    <w:rsid w:val="0009555C"/>
    <w:rsid w:val="00095D8C"/>
    <w:rsid w:val="00095DCA"/>
    <w:rsid w:val="00095E71"/>
    <w:rsid w:val="0009646A"/>
    <w:rsid w:val="0009674A"/>
    <w:rsid w:val="000971E4"/>
    <w:rsid w:val="000977F9"/>
    <w:rsid w:val="00097ABA"/>
    <w:rsid w:val="000A031A"/>
    <w:rsid w:val="000A1403"/>
    <w:rsid w:val="000A1A7C"/>
    <w:rsid w:val="000A1F7F"/>
    <w:rsid w:val="000A22BE"/>
    <w:rsid w:val="000A3E0F"/>
    <w:rsid w:val="000A4258"/>
    <w:rsid w:val="000A4457"/>
    <w:rsid w:val="000A44A5"/>
    <w:rsid w:val="000A4A2B"/>
    <w:rsid w:val="000A4D80"/>
    <w:rsid w:val="000A4DBB"/>
    <w:rsid w:val="000A523C"/>
    <w:rsid w:val="000A5BCB"/>
    <w:rsid w:val="000A6508"/>
    <w:rsid w:val="000A67AD"/>
    <w:rsid w:val="000A707D"/>
    <w:rsid w:val="000A729C"/>
    <w:rsid w:val="000A74D1"/>
    <w:rsid w:val="000A7752"/>
    <w:rsid w:val="000B0025"/>
    <w:rsid w:val="000B1F35"/>
    <w:rsid w:val="000B2246"/>
    <w:rsid w:val="000B3223"/>
    <w:rsid w:val="000B3304"/>
    <w:rsid w:val="000B4199"/>
    <w:rsid w:val="000B55E4"/>
    <w:rsid w:val="000B5792"/>
    <w:rsid w:val="000B5A45"/>
    <w:rsid w:val="000B62AF"/>
    <w:rsid w:val="000B6870"/>
    <w:rsid w:val="000B777D"/>
    <w:rsid w:val="000B7ADF"/>
    <w:rsid w:val="000C08D8"/>
    <w:rsid w:val="000C19F7"/>
    <w:rsid w:val="000C24D1"/>
    <w:rsid w:val="000C2816"/>
    <w:rsid w:val="000C326A"/>
    <w:rsid w:val="000C3569"/>
    <w:rsid w:val="000C36A4"/>
    <w:rsid w:val="000C4333"/>
    <w:rsid w:val="000C5107"/>
    <w:rsid w:val="000C510B"/>
    <w:rsid w:val="000C51A3"/>
    <w:rsid w:val="000C5F36"/>
    <w:rsid w:val="000C6583"/>
    <w:rsid w:val="000C6831"/>
    <w:rsid w:val="000C6DF3"/>
    <w:rsid w:val="000C7A5E"/>
    <w:rsid w:val="000C7F98"/>
    <w:rsid w:val="000D0C84"/>
    <w:rsid w:val="000D0C8E"/>
    <w:rsid w:val="000D11F6"/>
    <w:rsid w:val="000D27E7"/>
    <w:rsid w:val="000D35CC"/>
    <w:rsid w:val="000D35F0"/>
    <w:rsid w:val="000D4BE6"/>
    <w:rsid w:val="000D57B3"/>
    <w:rsid w:val="000D581D"/>
    <w:rsid w:val="000D5891"/>
    <w:rsid w:val="000D643F"/>
    <w:rsid w:val="000D6491"/>
    <w:rsid w:val="000D64E3"/>
    <w:rsid w:val="000D673A"/>
    <w:rsid w:val="000D774C"/>
    <w:rsid w:val="000D7D3C"/>
    <w:rsid w:val="000E00EA"/>
    <w:rsid w:val="000E0704"/>
    <w:rsid w:val="000E1393"/>
    <w:rsid w:val="000E16A5"/>
    <w:rsid w:val="000E2571"/>
    <w:rsid w:val="000E364D"/>
    <w:rsid w:val="000E391C"/>
    <w:rsid w:val="000E4929"/>
    <w:rsid w:val="000E5A5A"/>
    <w:rsid w:val="000E5EA2"/>
    <w:rsid w:val="000E6629"/>
    <w:rsid w:val="000E66EC"/>
    <w:rsid w:val="000E6FBF"/>
    <w:rsid w:val="000E7B72"/>
    <w:rsid w:val="000E7B94"/>
    <w:rsid w:val="000F01D0"/>
    <w:rsid w:val="000F0212"/>
    <w:rsid w:val="000F04D2"/>
    <w:rsid w:val="000F0CE7"/>
    <w:rsid w:val="000F0F17"/>
    <w:rsid w:val="000F1514"/>
    <w:rsid w:val="000F2084"/>
    <w:rsid w:val="000F27AF"/>
    <w:rsid w:val="000F2D4C"/>
    <w:rsid w:val="000F2DDE"/>
    <w:rsid w:val="000F3F11"/>
    <w:rsid w:val="000F42E1"/>
    <w:rsid w:val="000F43B8"/>
    <w:rsid w:val="000F44DD"/>
    <w:rsid w:val="000F4F88"/>
    <w:rsid w:val="000F5127"/>
    <w:rsid w:val="000F5805"/>
    <w:rsid w:val="000F5852"/>
    <w:rsid w:val="000F59AA"/>
    <w:rsid w:val="000F5A4D"/>
    <w:rsid w:val="000F5C21"/>
    <w:rsid w:val="000F60A0"/>
    <w:rsid w:val="000F6B09"/>
    <w:rsid w:val="001001CA"/>
    <w:rsid w:val="00100F6E"/>
    <w:rsid w:val="00100FB2"/>
    <w:rsid w:val="00101050"/>
    <w:rsid w:val="0010107F"/>
    <w:rsid w:val="00102CE5"/>
    <w:rsid w:val="00103AE9"/>
    <w:rsid w:val="00103B10"/>
    <w:rsid w:val="00103B47"/>
    <w:rsid w:val="001040E1"/>
    <w:rsid w:val="00104DC4"/>
    <w:rsid w:val="00105D75"/>
    <w:rsid w:val="0010622A"/>
    <w:rsid w:val="001070F7"/>
    <w:rsid w:val="001073F2"/>
    <w:rsid w:val="001074E0"/>
    <w:rsid w:val="0011150F"/>
    <w:rsid w:val="00112329"/>
    <w:rsid w:val="0011280D"/>
    <w:rsid w:val="00112AB4"/>
    <w:rsid w:val="001130F2"/>
    <w:rsid w:val="001138EE"/>
    <w:rsid w:val="00114385"/>
    <w:rsid w:val="001151A5"/>
    <w:rsid w:val="0011534C"/>
    <w:rsid w:val="00115B25"/>
    <w:rsid w:val="001173E5"/>
    <w:rsid w:val="00117450"/>
    <w:rsid w:val="001201C6"/>
    <w:rsid w:val="0012039D"/>
    <w:rsid w:val="00120612"/>
    <w:rsid w:val="001212AA"/>
    <w:rsid w:val="00121762"/>
    <w:rsid w:val="0012229D"/>
    <w:rsid w:val="00122893"/>
    <w:rsid w:val="00123D01"/>
    <w:rsid w:val="00123DB1"/>
    <w:rsid w:val="001241D1"/>
    <w:rsid w:val="001244DB"/>
    <w:rsid w:val="0012488B"/>
    <w:rsid w:val="001250BA"/>
    <w:rsid w:val="00125251"/>
    <w:rsid w:val="00126BDE"/>
    <w:rsid w:val="0012705A"/>
    <w:rsid w:val="00127181"/>
    <w:rsid w:val="001279A5"/>
    <w:rsid w:val="00127B9A"/>
    <w:rsid w:val="00127C47"/>
    <w:rsid w:val="00127E24"/>
    <w:rsid w:val="00130795"/>
    <w:rsid w:val="001311AC"/>
    <w:rsid w:val="00131C0B"/>
    <w:rsid w:val="00132C53"/>
    <w:rsid w:val="00133047"/>
    <w:rsid w:val="00134843"/>
    <w:rsid w:val="00134ABB"/>
    <w:rsid w:val="00134FB2"/>
    <w:rsid w:val="00135FBD"/>
    <w:rsid w:val="00137288"/>
    <w:rsid w:val="0013756C"/>
    <w:rsid w:val="00137D22"/>
    <w:rsid w:val="00140B62"/>
    <w:rsid w:val="00140DCD"/>
    <w:rsid w:val="001411D4"/>
    <w:rsid w:val="00141A83"/>
    <w:rsid w:val="00141B46"/>
    <w:rsid w:val="00141B9F"/>
    <w:rsid w:val="00141E47"/>
    <w:rsid w:val="00141F59"/>
    <w:rsid w:val="00142DBE"/>
    <w:rsid w:val="001437D3"/>
    <w:rsid w:val="00144040"/>
    <w:rsid w:val="001445E6"/>
    <w:rsid w:val="00144B1D"/>
    <w:rsid w:val="00144DCC"/>
    <w:rsid w:val="00144E10"/>
    <w:rsid w:val="0014546B"/>
    <w:rsid w:val="00145479"/>
    <w:rsid w:val="00145C21"/>
    <w:rsid w:val="001463C0"/>
    <w:rsid w:val="00146562"/>
    <w:rsid w:val="00147679"/>
    <w:rsid w:val="00147A8B"/>
    <w:rsid w:val="00150237"/>
    <w:rsid w:val="001507C7"/>
    <w:rsid w:val="001508C2"/>
    <w:rsid w:val="00150D75"/>
    <w:rsid w:val="00152C6A"/>
    <w:rsid w:val="0015300B"/>
    <w:rsid w:val="001530FF"/>
    <w:rsid w:val="00153363"/>
    <w:rsid w:val="001544F9"/>
    <w:rsid w:val="00155255"/>
    <w:rsid w:val="0015538B"/>
    <w:rsid w:val="001557EC"/>
    <w:rsid w:val="001558C9"/>
    <w:rsid w:val="00155E42"/>
    <w:rsid w:val="00156019"/>
    <w:rsid w:val="0015647F"/>
    <w:rsid w:val="00156CC8"/>
    <w:rsid w:val="00157672"/>
    <w:rsid w:val="001576C1"/>
    <w:rsid w:val="001577A1"/>
    <w:rsid w:val="001579BE"/>
    <w:rsid w:val="00160472"/>
    <w:rsid w:val="00161176"/>
    <w:rsid w:val="001613D1"/>
    <w:rsid w:val="001616EE"/>
    <w:rsid w:val="0016233B"/>
    <w:rsid w:val="001623F0"/>
    <w:rsid w:val="00163B80"/>
    <w:rsid w:val="00163D4D"/>
    <w:rsid w:val="001652D6"/>
    <w:rsid w:val="00165B41"/>
    <w:rsid w:val="0016624E"/>
    <w:rsid w:val="0016688D"/>
    <w:rsid w:val="001670E1"/>
    <w:rsid w:val="0016711C"/>
    <w:rsid w:val="0016780E"/>
    <w:rsid w:val="0016786E"/>
    <w:rsid w:val="001678D0"/>
    <w:rsid w:val="001719E2"/>
    <w:rsid w:val="00171C93"/>
    <w:rsid w:val="00171DFA"/>
    <w:rsid w:val="00172E5B"/>
    <w:rsid w:val="00173C1F"/>
    <w:rsid w:val="001741EC"/>
    <w:rsid w:val="001742BE"/>
    <w:rsid w:val="00174AC5"/>
    <w:rsid w:val="00174AEF"/>
    <w:rsid w:val="001754A6"/>
    <w:rsid w:val="001760AD"/>
    <w:rsid w:val="00176E12"/>
    <w:rsid w:val="0017769F"/>
    <w:rsid w:val="00177C65"/>
    <w:rsid w:val="00182360"/>
    <w:rsid w:val="00182A4C"/>
    <w:rsid w:val="0018374A"/>
    <w:rsid w:val="00183767"/>
    <w:rsid w:val="00183F06"/>
    <w:rsid w:val="0018407B"/>
    <w:rsid w:val="001844BF"/>
    <w:rsid w:val="001845AA"/>
    <w:rsid w:val="0018528D"/>
    <w:rsid w:val="00185C2E"/>
    <w:rsid w:val="0018688D"/>
    <w:rsid w:val="00186F59"/>
    <w:rsid w:val="0019072E"/>
    <w:rsid w:val="001909FB"/>
    <w:rsid w:val="00190F92"/>
    <w:rsid w:val="00191154"/>
    <w:rsid w:val="00191AB9"/>
    <w:rsid w:val="00191BC1"/>
    <w:rsid w:val="00191DF3"/>
    <w:rsid w:val="00192BC9"/>
    <w:rsid w:val="00192F6C"/>
    <w:rsid w:val="0019369E"/>
    <w:rsid w:val="00194DF6"/>
    <w:rsid w:val="00195204"/>
    <w:rsid w:val="001953C6"/>
    <w:rsid w:val="001955CC"/>
    <w:rsid w:val="00195CC9"/>
    <w:rsid w:val="00196548"/>
    <w:rsid w:val="00197872"/>
    <w:rsid w:val="00197F77"/>
    <w:rsid w:val="001A0093"/>
    <w:rsid w:val="001A05CF"/>
    <w:rsid w:val="001A0B5C"/>
    <w:rsid w:val="001A32EC"/>
    <w:rsid w:val="001A3580"/>
    <w:rsid w:val="001A35DF"/>
    <w:rsid w:val="001A36E3"/>
    <w:rsid w:val="001A4D17"/>
    <w:rsid w:val="001A5266"/>
    <w:rsid w:val="001A562B"/>
    <w:rsid w:val="001A5AB7"/>
    <w:rsid w:val="001A69FE"/>
    <w:rsid w:val="001A7399"/>
    <w:rsid w:val="001A749F"/>
    <w:rsid w:val="001A764B"/>
    <w:rsid w:val="001B152B"/>
    <w:rsid w:val="001B159C"/>
    <w:rsid w:val="001B2628"/>
    <w:rsid w:val="001B3E95"/>
    <w:rsid w:val="001B40F4"/>
    <w:rsid w:val="001B4115"/>
    <w:rsid w:val="001B4A1C"/>
    <w:rsid w:val="001B4F8D"/>
    <w:rsid w:val="001B582B"/>
    <w:rsid w:val="001B6D4A"/>
    <w:rsid w:val="001B6E81"/>
    <w:rsid w:val="001B6EDF"/>
    <w:rsid w:val="001B7F3A"/>
    <w:rsid w:val="001C00CC"/>
    <w:rsid w:val="001C077B"/>
    <w:rsid w:val="001C0B62"/>
    <w:rsid w:val="001C0F6E"/>
    <w:rsid w:val="001C1186"/>
    <w:rsid w:val="001C1893"/>
    <w:rsid w:val="001C1FC4"/>
    <w:rsid w:val="001C243A"/>
    <w:rsid w:val="001C2525"/>
    <w:rsid w:val="001C349A"/>
    <w:rsid w:val="001C34D3"/>
    <w:rsid w:val="001C3FDD"/>
    <w:rsid w:val="001C4990"/>
    <w:rsid w:val="001C4A0B"/>
    <w:rsid w:val="001C4FDB"/>
    <w:rsid w:val="001C587D"/>
    <w:rsid w:val="001C5D38"/>
    <w:rsid w:val="001C62D2"/>
    <w:rsid w:val="001C6409"/>
    <w:rsid w:val="001C7955"/>
    <w:rsid w:val="001C7AB2"/>
    <w:rsid w:val="001D02B3"/>
    <w:rsid w:val="001D02D1"/>
    <w:rsid w:val="001D0BA5"/>
    <w:rsid w:val="001D0E86"/>
    <w:rsid w:val="001D1066"/>
    <w:rsid w:val="001D17F1"/>
    <w:rsid w:val="001D1A67"/>
    <w:rsid w:val="001D2880"/>
    <w:rsid w:val="001D2C39"/>
    <w:rsid w:val="001D3521"/>
    <w:rsid w:val="001D36C0"/>
    <w:rsid w:val="001D3710"/>
    <w:rsid w:val="001D384F"/>
    <w:rsid w:val="001D3A1C"/>
    <w:rsid w:val="001D4395"/>
    <w:rsid w:val="001D43DE"/>
    <w:rsid w:val="001D4774"/>
    <w:rsid w:val="001D4C98"/>
    <w:rsid w:val="001D4EB6"/>
    <w:rsid w:val="001D5237"/>
    <w:rsid w:val="001D5E34"/>
    <w:rsid w:val="001D64BB"/>
    <w:rsid w:val="001D65F6"/>
    <w:rsid w:val="001D6819"/>
    <w:rsid w:val="001D6BDD"/>
    <w:rsid w:val="001E127D"/>
    <w:rsid w:val="001E186A"/>
    <w:rsid w:val="001E29CE"/>
    <w:rsid w:val="001E29DE"/>
    <w:rsid w:val="001E2DC3"/>
    <w:rsid w:val="001E341C"/>
    <w:rsid w:val="001E3507"/>
    <w:rsid w:val="001E38BF"/>
    <w:rsid w:val="001E3B87"/>
    <w:rsid w:val="001E4124"/>
    <w:rsid w:val="001E4D12"/>
    <w:rsid w:val="001E69D0"/>
    <w:rsid w:val="001E7C1A"/>
    <w:rsid w:val="001E7F6C"/>
    <w:rsid w:val="001F14B7"/>
    <w:rsid w:val="001F1A49"/>
    <w:rsid w:val="001F1E7F"/>
    <w:rsid w:val="001F20D0"/>
    <w:rsid w:val="001F229A"/>
    <w:rsid w:val="001F2405"/>
    <w:rsid w:val="001F28E1"/>
    <w:rsid w:val="001F31B6"/>
    <w:rsid w:val="001F3618"/>
    <w:rsid w:val="001F3E53"/>
    <w:rsid w:val="001F3F05"/>
    <w:rsid w:val="001F4BEB"/>
    <w:rsid w:val="001F4DAF"/>
    <w:rsid w:val="001F4FAD"/>
    <w:rsid w:val="001F5CC7"/>
    <w:rsid w:val="001F5DFB"/>
    <w:rsid w:val="001F62E9"/>
    <w:rsid w:val="001F6ADA"/>
    <w:rsid w:val="00200086"/>
    <w:rsid w:val="00201111"/>
    <w:rsid w:val="00201233"/>
    <w:rsid w:val="00201466"/>
    <w:rsid w:val="00201945"/>
    <w:rsid w:val="002027BD"/>
    <w:rsid w:val="00202FF9"/>
    <w:rsid w:val="00203C3F"/>
    <w:rsid w:val="0020436C"/>
    <w:rsid w:val="002043F0"/>
    <w:rsid w:val="002069BC"/>
    <w:rsid w:val="00206FEB"/>
    <w:rsid w:val="002102BE"/>
    <w:rsid w:val="002120E0"/>
    <w:rsid w:val="002128B9"/>
    <w:rsid w:val="00212EED"/>
    <w:rsid w:val="00213FD6"/>
    <w:rsid w:val="0021415B"/>
    <w:rsid w:val="0021417B"/>
    <w:rsid w:val="002149DD"/>
    <w:rsid w:val="002156C3"/>
    <w:rsid w:val="002157E8"/>
    <w:rsid w:val="00215CE8"/>
    <w:rsid w:val="00216F35"/>
    <w:rsid w:val="00216FCF"/>
    <w:rsid w:val="002175EE"/>
    <w:rsid w:val="002178C5"/>
    <w:rsid w:val="002179D2"/>
    <w:rsid w:val="00217D31"/>
    <w:rsid w:val="00217F4A"/>
    <w:rsid w:val="00220213"/>
    <w:rsid w:val="002202B6"/>
    <w:rsid w:val="0022056A"/>
    <w:rsid w:val="00220712"/>
    <w:rsid w:val="002208F1"/>
    <w:rsid w:val="00221338"/>
    <w:rsid w:val="0022278D"/>
    <w:rsid w:val="0022310A"/>
    <w:rsid w:val="00223A26"/>
    <w:rsid w:val="00224078"/>
    <w:rsid w:val="00224FD9"/>
    <w:rsid w:val="002255AF"/>
    <w:rsid w:val="00227293"/>
    <w:rsid w:val="002276A3"/>
    <w:rsid w:val="00227731"/>
    <w:rsid w:val="00230085"/>
    <w:rsid w:val="002300D9"/>
    <w:rsid w:val="00230402"/>
    <w:rsid w:val="0023041D"/>
    <w:rsid w:val="00230F52"/>
    <w:rsid w:val="0023120B"/>
    <w:rsid w:val="002314F4"/>
    <w:rsid w:val="0023170B"/>
    <w:rsid w:val="00231B19"/>
    <w:rsid w:val="0023592F"/>
    <w:rsid w:val="00236551"/>
    <w:rsid w:val="0023659E"/>
    <w:rsid w:val="0023667D"/>
    <w:rsid w:val="002366EB"/>
    <w:rsid w:val="00236C30"/>
    <w:rsid w:val="00237131"/>
    <w:rsid w:val="00237BC0"/>
    <w:rsid w:val="00237D34"/>
    <w:rsid w:val="00240471"/>
    <w:rsid w:val="002418BB"/>
    <w:rsid w:val="00242B55"/>
    <w:rsid w:val="002432D2"/>
    <w:rsid w:val="0024372F"/>
    <w:rsid w:val="00243EBE"/>
    <w:rsid w:val="00244164"/>
    <w:rsid w:val="00244D3F"/>
    <w:rsid w:val="00245EF4"/>
    <w:rsid w:val="00246B27"/>
    <w:rsid w:val="0024701A"/>
    <w:rsid w:val="002473E8"/>
    <w:rsid w:val="002476E2"/>
    <w:rsid w:val="00247C3D"/>
    <w:rsid w:val="00250401"/>
    <w:rsid w:val="00250607"/>
    <w:rsid w:val="0025068E"/>
    <w:rsid w:val="00250856"/>
    <w:rsid w:val="00250903"/>
    <w:rsid w:val="00251841"/>
    <w:rsid w:val="00252F9C"/>
    <w:rsid w:val="002530BD"/>
    <w:rsid w:val="0025329E"/>
    <w:rsid w:val="002536C6"/>
    <w:rsid w:val="002544D3"/>
    <w:rsid w:val="00255269"/>
    <w:rsid w:val="0025552C"/>
    <w:rsid w:val="00256641"/>
    <w:rsid w:val="002569FB"/>
    <w:rsid w:val="002571D0"/>
    <w:rsid w:val="00257C48"/>
    <w:rsid w:val="00257EC4"/>
    <w:rsid w:val="00260A15"/>
    <w:rsid w:val="00261CBF"/>
    <w:rsid w:val="002621BB"/>
    <w:rsid w:val="00263D92"/>
    <w:rsid w:val="00263F6E"/>
    <w:rsid w:val="002649CB"/>
    <w:rsid w:val="00264A12"/>
    <w:rsid w:val="00265335"/>
    <w:rsid w:val="002653A2"/>
    <w:rsid w:val="00265822"/>
    <w:rsid w:val="00265D0F"/>
    <w:rsid w:val="00265D5B"/>
    <w:rsid w:val="00267A56"/>
    <w:rsid w:val="00270077"/>
    <w:rsid w:val="00270746"/>
    <w:rsid w:val="00270B57"/>
    <w:rsid w:val="00271203"/>
    <w:rsid w:val="002714D1"/>
    <w:rsid w:val="00271A7B"/>
    <w:rsid w:val="00271C51"/>
    <w:rsid w:val="00272530"/>
    <w:rsid w:val="00272B4B"/>
    <w:rsid w:val="00272D32"/>
    <w:rsid w:val="00272D40"/>
    <w:rsid w:val="00272F24"/>
    <w:rsid w:val="00273B59"/>
    <w:rsid w:val="00273E56"/>
    <w:rsid w:val="002746BE"/>
    <w:rsid w:val="00274812"/>
    <w:rsid w:val="00275433"/>
    <w:rsid w:val="00275567"/>
    <w:rsid w:val="00275ACF"/>
    <w:rsid w:val="0027612C"/>
    <w:rsid w:val="0027749E"/>
    <w:rsid w:val="00277A19"/>
    <w:rsid w:val="0028019F"/>
    <w:rsid w:val="00280366"/>
    <w:rsid w:val="002808B0"/>
    <w:rsid w:val="00280EC2"/>
    <w:rsid w:val="00280FBD"/>
    <w:rsid w:val="00281A03"/>
    <w:rsid w:val="00283369"/>
    <w:rsid w:val="00283B5D"/>
    <w:rsid w:val="0028412E"/>
    <w:rsid w:val="00284339"/>
    <w:rsid w:val="002847BE"/>
    <w:rsid w:val="00285112"/>
    <w:rsid w:val="002853EC"/>
    <w:rsid w:val="00285B7C"/>
    <w:rsid w:val="00290143"/>
    <w:rsid w:val="00290765"/>
    <w:rsid w:val="002907FB"/>
    <w:rsid w:val="00290924"/>
    <w:rsid w:val="00290972"/>
    <w:rsid w:val="00290A7A"/>
    <w:rsid w:val="00290DA8"/>
    <w:rsid w:val="002923A3"/>
    <w:rsid w:val="0029280C"/>
    <w:rsid w:val="002938C9"/>
    <w:rsid w:val="00293B5E"/>
    <w:rsid w:val="00293D06"/>
    <w:rsid w:val="00294383"/>
    <w:rsid w:val="00294E0B"/>
    <w:rsid w:val="0029596B"/>
    <w:rsid w:val="00295FAD"/>
    <w:rsid w:val="002960A4"/>
    <w:rsid w:val="00296305"/>
    <w:rsid w:val="00296E46"/>
    <w:rsid w:val="0029743A"/>
    <w:rsid w:val="00297651"/>
    <w:rsid w:val="0029776C"/>
    <w:rsid w:val="002A0EB6"/>
    <w:rsid w:val="002A1298"/>
    <w:rsid w:val="002A13D2"/>
    <w:rsid w:val="002A28EE"/>
    <w:rsid w:val="002A3103"/>
    <w:rsid w:val="002A36D5"/>
    <w:rsid w:val="002A3AA4"/>
    <w:rsid w:val="002A3D95"/>
    <w:rsid w:val="002A424C"/>
    <w:rsid w:val="002A4CA0"/>
    <w:rsid w:val="002A5270"/>
    <w:rsid w:val="002A5C1A"/>
    <w:rsid w:val="002A5E3F"/>
    <w:rsid w:val="002A6249"/>
    <w:rsid w:val="002A6A95"/>
    <w:rsid w:val="002B099F"/>
    <w:rsid w:val="002B0A5E"/>
    <w:rsid w:val="002B0C70"/>
    <w:rsid w:val="002B17D5"/>
    <w:rsid w:val="002B27C7"/>
    <w:rsid w:val="002B37C0"/>
    <w:rsid w:val="002B3C2F"/>
    <w:rsid w:val="002B4A5C"/>
    <w:rsid w:val="002B4E93"/>
    <w:rsid w:val="002B51B0"/>
    <w:rsid w:val="002B5362"/>
    <w:rsid w:val="002B5566"/>
    <w:rsid w:val="002B5672"/>
    <w:rsid w:val="002B59A9"/>
    <w:rsid w:val="002B5A07"/>
    <w:rsid w:val="002B6048"/>
    <w:rsid w:val="002B62AA"/>
    <w:rsid w:val="002B6E4C"/>
    <w:rsid w:val="002B6EF7"/>
    <w:rsid w:val="002B7C0F"/>
    <w:rsid w:val="002B7F6B"/>
    <w:rsid w:val="002C0A81"/>
    <w:rsid w:val="002C0E0D"/>
    <w:rsid w:val="002C10D3"/>
    <w:rsid w:val="002C1736"/>
    <w:rsid w:val="002C1951"/>
    <w:rsid w:val="002C3644"/>
    <w:rsid w:val="002C3F1B"/>
    <w:rsid w:val="002C4532"/>
    <w:rsid w:val="002C5853"/>
    <w:rsid w:val="002C5859"/>
    <w:rsid w:val="002C6AF7"/>
    <w:rsid w:val="002C6FBE"/>
    <w:rsid w:val="002C7926"/>
    <w:rsid w:val="002C7D86"/>
    <w:rsid w:val="002D01FD"/>
    <w:rsid w:val="002D0421"/>
    <w:rsid w:val="002D0CAB"/>
    <w:rsid w:val="002D0EAB"/>
    <w:rsid w:val="002D174B"/>
    <w:rsid w:val="002D1A1B"/>
    <w:rsid w:val="002D1A46"/>
    <w:rsid w:val="002D1AFA"/>
    <w:rsid w:val="002D1FF5"/>
    <w:rsid w:val="002D298C"/>
    <w:rsid w:val="002D2E1D"/>
    <w:rsid w:val="002D3040"/>
    <w:rsid w:val="002D3176"/>
    <w:rsid w:val="002D3934"/>
    <w:rsid w:val="002D43F0"/>
    <w:rsid w:val="002D4683"/>
    <w:rsid w:val="002D4B61"/>
    <w:rsid w:val="002D4DC8"/>
    <w:rsid w:val="002D5FE4"/>
    <w:rsid w:val="002D618B"/>
    <w:rsid w:val="002D61DD"/>
    <w:rsid w:val="002D645E"/>
    <w:rsid w:val="002D67A5"/>
    <w:rsid w:val="002D693E"/>
    <w:rsid w:val="002D6A1D"/>
    <w:rsid w:val="002D71ED"/>
    <w:rsid w:val="002D75AD"/>
    <w:rsid w:val="002D7877"/>
    <w:rsid w:val="002E0F22"/>
    <w:rsid w:val="002E147F"/>
    <w:rsid w:val="002E1AD7"/>
    <w:rsid w:val="002E28AC"/>
    <w:rsid w:val="002E310A"/>
    <w:rsid w:val="002E36B8"/>
    <w:rsid w:val="002E3838"/>
    <w:rsid w:val="002E383C"/>
    <w:rsid w:val="002E3A55"/>
    <w:rsid w:val="002E418E"/>
    <w:rsid w:val="002E4886"/>
    <w:rsid w:val="002E4917"/>
    <w:rsid w:val="002E4AB2"/>
    <w:rsid w:val="002E4FFE"/>
    <w:rsid w:val="002E500B"/>
    <w:rsid w:val="002E57CE"/>
    <w:rsid w:val="002E5B49"/>
    <w:rsid w:val="002E5FB7"/>
    <w:rsid w:val="002E668B"/>
    <w:rsid w:val="002E67B5"/>
    <w:rsid w:val="002E7178"/>
    <w:rsid w:val="002E7577"/>
    <w:rsid w:val="002F004B"/>
    <w:rsid w:val="002F11AE"/>
    <w:rsid w:val="002F3B8C"/>
    <w:rsid w:val="002F3EFA"/>
    <w:rsid w:val="002F42E5"/>
    <w:rsid w:val="002F6250"/>
    <w:rsid w:val="002F6CD5"/>
    <w:rsid w:val="002F7814"/>
    <w:rsid w:val="003007AE"/>
    <w:rsid w:val="00302727"/>
    <w:rsid w:val="003036D7"/>
    <w:rsid w:val="003046C5"/>
    <w:rsid w:val="003047C1"/>
    <w:rsid w:val="00304ADD"/>
    <w:rsid w:val="003060EF"/>
    <w:rsid w:val="00306816"/>
    <w:rsid w:val="00306C8F"/>
    <w:rsid w:val="00306F5F"/>
    <w:rsid w:val="00306FAF"/>
    <w:rsid w:val="003077B8"/>
    <w:rsid w:val="003078AE"/>
    <w:rsid w:val="0030792F"/>
    <w:rsid w:val="00307FC3"/>
    <w:rsid w:val="00310480"/>
    <w:rsid w:val="003104CA"/>
    <w:rsid w:val="003106ED"/>
    <w:rsid w:val="00310F57"/>
    <w:rsid w:val="003110C3"/>
    <w:rsid w:val="0031214C"/>
    <w:rsid w:val="00312317"/>
    <w:rsid w:val="00312D82"/>
    <w:rsid w:val="00313890"/>
    <w:rsid w:val="00313E1F"/>
    <w:rsid w:val="003150C1"/>
    <w:rsid w:val="003150CD"/>
    <w:rsid w:val="00315128"/>
    <w:rsid w:val="0031671A"/>
    <w:rsid w:val="00316B38"/>
    <w:rsid w:val="00316B52"/>
    <w:rsid w:val="00317AD5"/>
    <w:rsid w:val="00320404"/>
    <w:rsid w:val="00320E0A"/>
    <w:rsid w:val="00321419"/>
    <w:rsid w:val="00322059"/>
    <w:rsid w:val="00322143"/>
    <w:rsid w:val="00322E0F"/>
    <w:rsid w:val="00322E1F"/>
    <w:rsid w:val="00323200"/>
    <w:rsid w:val="00323A10"/>
    <w:rsid w:val="00324852"/>
    <w:rsid w:val="00324D57"/>
    <w:rsid w:val="00325298"/>
    <w:rsid w:val="00325B31"/>
    <w:rsid w:val="00325CA0"/>
    <w:rsid w:val="00326724"/>
    <w:rsid w:val="003267A9"/>
    <w:rsid w:val="00326BA2"/>
    <w:rsid w:val="00327300"/>
    <w:rsid w:val="003274EA"/>
    <w:rsid w:val="003276C6"/>
    <w:rsid w:val="00327B17"/>
    <w:rsid w:val="00327F9F"/>
    <w:rsid w:val="00330F7F"/>
    <w:rsid w:val="0033129B"/>
    <w:rsid w:val="00331746"/>
    <w:rsid w:val="003326D7"/>
    <w:rsid w:val="0033375E"/>
    <w:rsid w:val="00333A60"/>
    <w:rsid w:val="00334712"/>
    <w:rsid w:val="00335409"/>
    <w:rsid w:val="003356ED"/>
    <w:rsid w:val="0033632F"/>
    <w:rsid w:val="00336470"/>
    <w:rsid w:val="00336B57"/>
    <w:rsid w:val="003373FB"/>
    <w:rsid w:val="00337B7D"/>
    <w:rsid w:val="00337D10"/>
    <w:rsid w:val="00337EB8"/>
    <w:rsid w:val="003400AF"/>
    <w:rsid w:val="003401E5"/>
    <w:rsid w:val="00340507"/>
    <w:rsid w:val="00340A8E"/>
    <w:rsid w:val="00340B76"/>
    <w:rsid w:val="00340B7B"/>
    <w:rsid w:val="00340DFB"/>
    <w:rsid w:val="00340EB2"/>
    <w:rsid w:val="003412CB"/>
    <w:rsid w:val="0034155C"/>
    <w:rsid w:val="0034199B"/>
    <w:rsid w:val="003419D9"/>
    <w:rsid w:val="00341CB7"/>
    <w:rsid w:val="0034203C"/>
    <w:rsid w:val="00342ADD"/>
    <w:rsid w:val="0034315C"/>
    <w:rsid w:val="003433DB"/>
    <w:rsid w:val="00343463"/>
    <w:rsid w:val="00343AD6"/>
    <w:rsid w:val="003440DE"/>
    <w:rsid w:val="00344F3E"/>
    <w:rsid w:val="00345F7A"/>
    <w:rsid w:val="003460DF"/>
    <w:rsid w:val="00346CFD"/>
    <w:rsid w:val="0034722D"/>
    <w:rsid w:val="00350003"/>
    <w:rsid w:val="0035030F"/>
    <w:rsid w:val="00350881"/>
    <w:rsid w:val="00351543"/>
    <w:rsid w:val="00351B9E"/>
    <w:rsid w:val="00351EFD"/>
    <w:rsid w:val="003524E6"/>
    <w:rsid w:val="003526E2"/>
    <w:rsid w:val="00352F1B"/>
    <w:rsid w:val="00352FBC"/>
    <w:rsid w:val="003533E9"/>
    <w:rsid w:val="00353BEF"/>
    <w:rsid w:val="00354152"/>
    <w:rsid w:val="00355419"/>
    <w:rsid w:val="00355B27"/>
    <w:rsid w:val="00355BDB"/>
    <w:rsid w:val="00355F45"/>
    <w:rsid w:val="00356081"/>
    <w:rsid w:val="0035611C"/>
    <w:rsid w:val="003563CA"/>
    <w:rsid w:val="00356783"/>
    <w:rsid w:val="00357883"/>
    <w:rsid w:val="0036076A"/>
    <w:rsid w:val="00361BBD"/>
    <w:rsid w:val="00361EA5"/>
    <w:rsid w:val="00362DAB"/>
    <w:rsid w:val="00363BAE"/>
    <w:rsid w:val="00363CA7"/>
    <w:rsid w:val="003648AF"/>
    <w:rsid w:val="00364A9E"/>
    <w:rsid w:val="00365727"/>
    <w:rsid w:val="00365934"/>
    <w:rsid w:val="003662DF"/>
    <w:rsid w:val="003667BD"/>
    <w:rsid w:val="00367431"/>
    <w:rsid w:val="00367841"/>
    <w:rsid w:val="00367DE2"/>
    <w:rsid w:val="00370D3F"/>
    <w:rsid w:val="00370E39"/>
    <w:rsid w:val="00371705"/>
    <w:rsid w:val="00371832"/>
    <w:rsid w:val="00371869"/>
    <w:rsid w:val="003721B3"/>
    <w:rsid w:val="00372DA9"/>
    <w:rsid w:val="003732FD"/>
    <w:rsid w:val="003733A3"/>
    <w:rsid w:val="003739D6"/>
    <w:rsid w:val="00373E60"/>
    <w:rsid w:val="003740DA"/>
    <w:rsid w:val="00374454"/>
    <w:rsid w:val="00374845"/>
    <w:rsid w:val="003749C4"/>
    <w:rsid w:val="00375B76"/>
    <w:rsid w:val="00375E4B"/>
    <w:rsid w:val="003779FE"/>
    <w:rsid w:val="00377F82"/>
    <w:rsid w:val="003807F7"/>
    <w:rsid w:val="00380DB2"/>
    <w:rsid w:val="00381396"/>
    <w:rsid w:val="003818EF"/>
    <w:rsid w:val="00381BD9"/>
    <w:rsid w:val="00381BFE"/>
    <w:rsid w:val="00381D14"/>
    <w:rsid w:val="00381D37"/>
    <w:rsid w:val="0038209C"/>
    <w:rsid w:val="00382354"/>
    <w:rsid w:val="003827E0"/>
    <w:rsid w:val="003833F4"/>
    <w:rsid w:val="00383788"/>
    <w:rsid w:val="00383B81"/>
    <w:rsid w:val="00384C72"/>
    <w:rsid w:val="00385840"/>
    <w:rsid w:val="00385CE1"/>
    <w:rsid w:val="00385D13"/>
    <w:rsid w:val="003866F4"/>
    <w:rsid w:val="00386824"/>
    <w:rsid w:val="00386880"/>
    <w:rsid w:val="003904D7"/>
    <w:rsid w:val="003904F1"/>
    <w:rsid w:val="00390D24"/>
    <w:rsid w:val="00391A07"/>
    <w:rsid w:val="00391BE3"/>
    <w:rsid w:val="0039231F"/>
    <w:rsid w:val="0039273E"/>
    <w:rsid w:val="00393754"/>
    <w:rsid w:val="00393C77"/>
    <w:rsid w:val="00393ED0"/>
    <w:rsid w:val="003951FC"/>
    <w:rsid w:val="003955D5"/>
    <w:rsid w:val="00397AF5"/>
    <w:rsid w:val="00397C3E"/>
    <w:rsid w:val="003A07FC"/>
    <w:rsid w:val="003A1C7D"/>
    <w:rsid w:val="003A2BE6"/>
    <w:rsid w:val="003A3849"/>
    <w:rsid w:val="003A3B37"/>
    <w:rsid w:val="003A3B71"/>
    <w:rsid w:val="003A3DC2"/>
    <w:rsid w:val="003A4CD2"/>
    <w:rsid w:val="003A4DDC"/>
    <w:rsid w:val="003A51A2"/>
    <w:rsid w:val="003A545B"/>
    <w:rsid w:val="003A622F"/>
    <w:rsid w:val="003A62A3"/>
    <w:rsid w:val="003A6847"/>
    <w:rsid w:val="003A755D"/>
    <w:rsid w:val="003A7ED4"/>
    <w:rsid w:val="003B00FE"/>
    <w:rsid w:val="003B01C5"/>
    <w:rsid w:val="003B14C2"/>
    <w:rsid w:val="003B16FC"/>
    <w:rsid w:val="003B1C55"/>
    <w:rsid w:val="003B238F"/>
    <w:rsid w:val="003B24E7"/>
    <w:rsid w:val="003B2C5E"/>
    <w:rsid w:val="003B3184"/>
    <w:rsid w:val="003B3203"/>
    <w:rsid w:val="003B4295"/>
    <w:rsid w:val="003B47EC"/>
    <w:rsid w:val="003B4FD2"/>
    <w:rsid w:val="003B58F5"/>
    <w:rsid w:val="003B62FA"/>
    <w:rsid w:val="003B7DD1"/>
    <w:rsid w:val="003C00F9"/>
    <w:rsid w:val="003C01E5"/>
    <w:rsid w:val="003C0215"/>
    <w:rsid w:val="003C03CD"/>
    <w:rsid w:val="003C07C5"/>
    <w:rsid w:val="003C1AED"/>
    <w:rsid w:val="003C3097"/>
    <w:rsid w:val="003C3EE8"/>
    <w:rsid w:val="003C4356"/>
    <w:rsid w:val="003C458D"/>
    <w:rsid w:val="003C4ABD"/>
    <w:rsid w:val="003C4AC2"/>
    <w:rsid w:val="003C527F"/>
    <w:rsid w:val="003C549D"/>
    <w:rsid w:val="003C6AC1"/>
    <w:rsid w:val="003C6D03"/>
    <w:rsid w:val="003C75E4"/>
    <w:rsid w:val="003D00C0"/>
    <w:rsid w:val="003D0872"/>
    <w:rsid w:val="003D0CEE"/>
    <w:rsid w:val="003D0D33"/>
    <w:rsid w:val="003D0F4A"/>
    <w:rsid w:val="003D1A7F"/>
    <w:rsid w:val="003D204F"/>
    <w:rsid w:val="003D2360"/>
    <w:rsid w:val="003D2D37"/>
    <w:rsid w:val="003D2F20"/>
    <w:rsid w:val="003D35BA"/>
    <w:rsid w:val="003D38AD"/>
    <w:rsid w:val="003D3E8D"/>
    <w:rsid w:val="003D41F9"/>
    <w:rsid w:val="003D5236"/>
    <w:rsid w:val="003D5842"/>
    <w:rsid w:val="003D5987"/>
    <w:rsid w:val="003D59D1"/>
    <w:rsid w:val="003D5ACD"/>
    <w:rsid w:val="003D5D97"/>
    <w:rsid w:val="003D66B5"/>
    <w:rsid w:val="003D6AEC"/>
    <w:rsid w:val="003D6B37"/>
    <w:rsid w:val="003D762D"/>
    <w:rsid w:val="003D77B5"/>
    <w:rsid w:val="003E00B0"/>
    <w:rsid w:val="003E0862"/>
    <w:rsid w:val="003E0AE8"/>
    <w:rsid w:val="003E0CBE"/>
    <w:rsid w:val="003E124D"/>
    <w:rsid w:val="003E15C8"/>
    <w:rsid w:val="003E207C"/>
    <w:rsid w:val="003E21A4"/>
    <w:rsid w:val="003E224D"/>
    <w:rsid w:val="003E292F"/>
    <w:rsid w:val="003E2AE7"/>
    <w:rsid w:val="003E2B5A"/>
    <w:rsid w:val="003E2C35"/>
    <w:rsid w:val="003E34E9"/>
    <w:rsid w:val="003E3848"/>
    <w:rsid w:val="003E3F79"/>
    <w:rsid w:val="003E42F7"/>
    <w:rsid w:val="003E52AE"/>
    <w:rsid w:val="003E586E"/>
    <w:rsid w:val="003E5CF8"/>
    <w:rsid w:val="003E668E"/>
    <w:rsid w:val="003E694A"/>
    <w:rsid w:val="003E6A12"/>
    <w:rsid w:val="003E6ACA"/>
    <w:rsid w:val="003E6BD2"/>
    <w:rsid w:val="003E7861"/>
    <w:rsid w:val="003E7F42"/>
    <w:rsid w:val="003F04BA"/>
    <w:rsid w:val="003F0A4A"/>
    <w:rsid w:val="003F0DF6"/>
    <w:rsid w:val="003F0E7E"/>
    <w:rsid w:val="003F1191"/>
    <w:rsid w:val="003F1667"/>
    <w:rsid w:val="003F1A73"/>
    <w:rsid w:val="003F2E09"/>
    <w:rsid w:val="003F2F35"/>
    <w:rsid w:val="003F37D5"/>
    <w:rsid w:val="003F3A25"/>
    <w:rsid w:val="003F44C3"/>
    <w:rsid w:val="003F497D"/>
    <w:rsid w:val="003F50A8"/>
    <w:rsid w:val="003F586A"/>
    <w:rsid w:val="003F5877"/>
    <w:rsid w:val="003F5AFE"/>
    <w:rsid w:val="003F6044"/>
    <w:rsid w:val="003F63A3"/>
    <w:rsid w:val="003F6559"/>
    <w:rsid w:val="003F7440"/>
    <w:rsid w:val="003F7977"/>
    <w:rsid w:val="003F797F"/>
    <w:rsid w:val="003F79BA"/>
    <w:rsid w:val="00401C41"/>
    <w:rsid w:val="00402183"/>
    <w:rsid w:val="004023B2"/>
    <w:rsid w:val="004024E6"/>
    <w:rsid w:val="0040289F"/>
    <w:rsid w:val="00403C4A"/>
    <w:rsid w:val="004046F2"/>
    <w:rsid w:val="00404741"/>
    <w:rsid w:val="004052B8"/>
    <w:rsid w:val="00406E83"/>
    <w:rsid w:val="00407687"/>
    <w:rsid w:val="00407E0A"/>
    <w:rsid w:val="00407E17"/>
    <w:rsid w:val="004101C3"/>
    <w:rsid w:val="00410B21"/>
    <w:rsid w:val="00410B7E"/>
    <w:rsid w:val="0041178A"/>
    <w:rsid w:val="004119D1"/>
    <w:rsid w:val="004128BD"/>
    <w:rsid w:val="00412A85"/>
    <w:rsid w:val="00412EB2"/>
    <w:rsid w:val="00413639"/>
    <w:rsid w:val="00413E7D"/>
    <w:rsid w:val="00413F95"/>
    <w:rsid w:val="004145B9"/>
    <w:rsid w:val="00414856"/>
    <w:rsid w:val="004149BA"/>
    <w:rsid w:val="00414B59"/>
    <w:rsid w:val="004155E9"/>
    <w:rsid w:val="00415641"/>
    <w:rsid w:val="004157C8"/>
    <w:rsid w:val="00415CB0"/>
    <w:rsid w:val="0041706D"/>
    <w:rsid w:val="00417C20"/>
    <w:rsid w:val="004205B7"/>
    <w:rsid w:val="004232EB"/>
    <w:rsid w:val="0042344A"/>
    <w:rsid w:val="00423A16"/>
    <w:rsid w:val="004258D1"/>
    <w:rsid w:val="00426349"/>
    <w:rsid w:val="00426866"/>
    <w:rsid w:val="004269E4"/>
    <w:rsid w:val="0042758B"/>
    <w:rsid w:val="004279B4"/>
    <w:rsid w:val="00430449"/>
    <w:rsid w:val="00430CB5"/>
    <w:rsid w:val="00431A58"/>
    <w:rsid w:val="0043229F"/>
    <w:rsid w:val="004323E6"/>
    <w:rsid w:val="00433ADB"/>
    <w:rsid w:val="00434DEB"/>
    <w:rsid w:val="0043517F"/>
    <w:rsid w:val="00435CCC"/>
    <w:rsid w:val="004362BD"/>
    <w:rsid w:val="00436F58"/>
    <w:rsid w:val="004372E4"/>
    <w:rsid w:val="0044018D"/>
    <w:rsid w:val="0044045A"/>
    <w:rsid w:val="00440477"/>
    <w:rsid w:val="00440705"/>
    <w:rsid w:val="004409E4"/>
    <w:rsid w:val="00440C1A"/>
    <w:rsid w:val="00441393"/>
    <w:rsid w:val="00441D5C"/>
    <w:rsid w:val="00442922"/>
    <w:rsid w:val="0044366E"/>
    <w:rsid w:val="0044433E"/>
    <w:rsid w:val="00444961"/>
    <w:rsid w:val="00444D37"/>
    <w:rsid w:val="0044533E"/>
    <w:rsid w:val="0044545A"/>
    <w:rsid w:val="00445A57"/>
    <w:rsid w:val="00445EAA"/>
    <w:rsid w:val="0044689F"/>
    <w:rsid w:val="00447AEA"/>
    <w:rsid w:val="00447E44"/>
    <w:rsid w:val="00450395"/>
    <w:rsid w:val="004505B8"/>
    <w:rsid w:val="00450C79"/>
    <w:rsid w:val="00450FAA"/>
    <w:rsid w:val="004513EE"/>
    <w:rsid w:val="00451775"/>
    <w:rsid w:val="00452015"/>
    <w:rsid w:val="004527C3"/>
    <w:rsid w:val="004527ED"/>
    <w:rsid w:val="00452B0E"/>
    <w:rsid w:val="00453FC9"/>
    <w:rsid w:val="00454275"/>
    <w:rsid w:val="004542E0"/>
    <w:rsid w:val="00455893"/>
    <w:rsid w:val="004574B6"/>
    <w:rsid w:val="004577E9"/>
    <w:rsid w:val="00457AE1"/>
    <w:rsid w:val="00460137"/>
    <w:rsid w:val="004604C3"/>
    <w:rsid w:val="004608C2"/>
    <w:rsid w:val="00460C56"/>
    <w:rsid w:val="00462105"/>
    <w:rsid w:val="00462579"/>
    <w:rsid w:val="0046377C"/>
    <w:rsid w:val="00464005"/>
    <w:rsid w:val="004641B6"/>
    <w:rsid w:val="0046455D"/>
    <w:rsid w:val="00465532"/>
    <w:rsid w:val="0046592A"/>
    <w:rsid w:val="00465A27"/>
    <w:rsid w:val="00465E00"/>
    <w:rsid w:val="0046644C"/>
    <w:rsid w:val="00467B14"/>
    <w:rsid w:val="00467BE8"/>
    <w:rsid w:val="00467FA5"/>
    <w:rsid w:val="00470258"/>
    <w:rsid w:val="004706B5"/>
    <w:rsid w:val="00470838"/>
    <w:rsid w:val="00470AEC"/>
    <w:rsid w:val="00471CA0"/>
    <w:rsid w:val="004720FA"/>
    <w:rsid w:val="00472A3F"/>
    <w:rsid w:val="004731C2"/>
    <w:rsid w:val="00473D8A"/>
    <w:rsid w:val="00473FCC"/>
    <w:rsid w:val="004740AB"/>
    <w:rsid w:val="0047526E"/>
    <w:rsid w:val="00475359"/>
    <w:rsid w:val="0047569A"/>
    <w:rsid w:val="004757DE"/>
    <w:rsid w:val="004760B8"/>
    <w:rsid w:val="0047653E"/>
    <w:rsid w:val="00476C5D"/>
    <w:rsid w:val="004803B9"/>
    <w:rsid w:val="00480DAC"/>
    <w:rsid w:val="004816F3"/>
    <w:rsid w:val="00481982"/>
    <w:rsid w:val="00481A71"/>
    <w:rsid w:val="00481EE8"/>
    <w:rsid w:val="00481F66"/>
    <w:rsid w:val="0048221F"/>
    <w:rsid w:val="0048231D"/>
    <w:rsid w:val="004829F8"/>
    <w:rsid w:val="00482E65"/>
    <w:rsid w:val="004840C3"/>
    <w:rsid w:val="00484545"/>
    <w:rsid w:val="004845DE"/>
    <w:rsid w:val="00484862"/>
    <w:rsid w:val="00484BE6"/>
    <w:rsid w:val="0048512D"/>
    <w:rsid w:val="00485133"/>
    <w:rsid w:val="00485598"/>
    <w:rsid w:val="00485789"/>
    <w:rsid w:val="004865E6"/>
    <w:rsid w:val="00487285"/>
    <w:rsid w:val="0049048B"/>
    <w:rsid w:val="004906D5"/>
    <w:rsid w:val="00491CDB"/>
    <w:rsid w:val="00492010"/>
    <w:rsid w:val="00492573"/>
    <w:rsid w:val="00492B7A"/>
    <w:rsid w:val="00492DF3"/>
    <w:rsid w:val="004933BB"/>
    <w:rsid w:val="0049356B"/>
    <w:rsid w:val="00493752"/>
    <w:rsid w:val="00493A1A"/>
    <w:rsid w:val="00494525"/>
    <w:rsid w:val="00494591"/>
    <w:rsid w:val="00494605"/>
    <w:rsid w:val="00494CDB"/>
    <w:rsid w:val="00495713"/>
    <w:rsid w:val="00495E86"/>
    <w:rsid w:val="00495F9B"/>
    <w:rsid w:val="0049648E"/>
    <w:rsid w:val="00496A70"/>
    <w:rsid w:val="00496D6C"/>
    <w:rsid w:val="004971D5"/>
    <w:rsid w:val="00497870"/>
    <w:rsid w:val="004979DF"/>
    <w:rsid w:val="00497DBB"/>
    <w:rsid w:val="004A03A8"/>
    <w:rsid w:val="004A1027"/>
    <w:rsid w:val="004A21FC"/>
    <w:rsid w:val="004A29F0"/>
    <w:rsid w:val="004A2BB8"/>
    <w:rsid w:val="004A39E3"/>
    <w:rsid w:val="004A4001"/>
    <w:rsid w:val="004A440A"/>
    <w:rsid w:val="004A4A51"/>
    <w:rsid w:val="004A4D87"/>
    <w:rsid w:val="004A53DC"/>
    <w:rsid w:val="004A5445"/>
    <w:rsid w:val="004A58EE"/>
    <w:rsid w:val="004A5DE1"/>
    <w:rsid w:val="004A6554"/>
    <w:rsid w:val="004A6A09"/>
    <w:rsid w:val="004A6F7B"/>
    <w:rsid w:val="004A6FC1"/>
    <w:rsid w:val="004A7133"/>
    <w:rsid w:val="004B0598"/>
    <w:rsid w:val="004B0959"/>
    <w:rsid w:val="004B0CCE"/>
    <w:rsid w:val="004B128A"/>
    <w:rsid w:val="004B1EAE"/>
    <w:rsid w:val="004B1ED7"/>
    <w:rsid w:val="004B1F6D"/>
    <w:rsid w:val="004B2AC0"/>
    <w:rsid w:val="004B2C15"/>
    <w:rsid w:val="004B3051"/>
    <w:rsid w:val="004B30A8"/>
    <w:rsid w:val="004B45F4"/>
    <w:rsid w:val="004B4DD6"/>
    <w:rsid w:val="004B55BA"/>
    <w:rsid w:val="004B5A6D"/>
    <w:rsid w:val="004B5CEC"/>
    <w:rsid w:val="004B6037"/>
    <w:rsid w:val="004B70E4"/>
    <w:rsid w:val="004B73FB"/>
    <w:rsid w:val="004B749F"/>
    <w:rsid w:val="004B7623"/>
    <w:rsid w:val="004C0255"/>
    <w:rsid w:val="004C100C"/>
    <w:rsid w:val="004C17CF"/>
    <w:rsid w:val="004C1A45"/>
    <w:rsid w:val="004C1B43"/>
    <w:rsid w:val="004C33F0"/>
    <w:rsid w:val="004C3751"/>
    <w:rsid w:val="004C37E9"/>
    <w:rsid w:val="004C47F6"/>
    <w:rsid w:val="004C4E86"/>
    <w:rsid w:val="004C5594"/>
    <w:rsid w:val="004C5687"/>
    <w:rsid w:val="004C6186"/>
    <w:rsid w:val="004C6619"/>
    <w:rsid w:val="004C6FA3"/>
    <w:rsid w:val="004C701F"/>
    <w:rsid w:val="004C707E"/>
    <w:rsid w:val="004C72B9"/>
    <w:rsid w:val="004C7DC3"/>
    <w:rsid w:val="004D0CA5"/>
    <w:rsid w:val="004D0EEC"/>
    <w:rsid w:val="004D2971"/>
    <w:rsid w:val="004D2C0F"/>
    <w:rsid w:val="004D3265"/>
    <w:rsid w:val="004D351D"/>
    <w:rsid w:val="004D492D"/>
    <w:rsid w:val="004D4A01"/>
    <w:rsid w:val="004D4BDA"/>
    <w:rsid w:val="004D512B"/>
    <w:rsid w:val="004D5A92"/>
    <w:rsid w:val="004D5D7C"/>
    <w:rsid w:val="004D77B8"/>
    <w:rsid w:val="004E1C1E"/>
    <w:rsid w:val="004E2194"/>
    <w:rsid w:val="004E22BB"/>
    <w:rsid w:val="004E23CC"/>
    <w:rsid w:val="004E2705"/>
    <w:rsid w:val="004E29DA"/>
    <w:rsid w:val="004E2EB4"/>
    <w:rsid w:val="004E3520"/>
    <w:rsid w:val="004E358A"/>
    <w:rsid w:val="004E3999"/>
    <w:rsid w:val="004E3FEF"/>
    <w:rsid w:val="004E4A6B"/>
    <w:rsid w:val="004E4F44"/>
    <w:rsid w:val="004E5C81"/>
    <w:rsid w:val="004E5D3A"/>
    <w:rsid w:val="004E6C26"/>
    <w:rsid w:val="004F04B8"/>
    <w:rsid w:val="004F0ADA"/>
    <w:rsid w:val="004F11F9"/>
    <w:rsid w:val="004F1A52"/>
    <w:rsid w:val="004F1D62"/>
    <w:rsid w:val="004F2348"/>
    <w:rsid w:val="004F2926"/>
    <w:rsid w:val="004F300D"/>
    <w:rsid w:val="004F3963"/>
    <w:rsid w:val="004F431C"/>
    <w:rsid w:val="004F531D"/>
    <w:rsid w:val="004F55EF"/>
    <w:rsid w:val="004F5837"/>
    <w:rsid w:val="004F6B8C"/>
    <w:rsid w:val="004F6E6C"/>
    <w:rsid w:val="004F7ACB"/>
    <w:rsid w:val="004F7D93"/>
    <w:rsid w:val="00500E51"/>
    <w:rsid w:val="00501A11"/>
    <w:rsid w:val="00502569"/>
    <w:rsid w:val="005025DF"/>
    <w:rsid w:val="00502E1E"/>
    <w:rsid w:val="00507AA9"/>
    <w:rsid w:val="005101BF"/>
    <w:rsid w:val="00511672"/>
    <w:rsid w:val="00511BEF"/>
    <w:rsid w:val="00512615"/>
    <w:rsid w:val="00512E52"/>
    <w:rsid w:val="00512F75"/>
    <w:rsid w:val="00514739"/>
    <w:rsid w:val="00515396"/>
    <w:rsid w:val="00515C17"/>
    <w:rsid w:val="00516283"/>
    <w:rsid w:val="00516D17"/>
    <w:rsid w:val="0051742C"/>
    <w:rsid w:val="005175BB"/>
    <w:rsid w:val="00517BCD"/>
    <w:rsid w:val="00520420"/>
    <w:rsid w:val="00520797"/>
    <w:rsid w:val="005209AF"/>
    <w:rsid w:val="00520C13"/>
    <w:rsid w:val="00521107"/>
    <w:rsid w:val="0052191D"/>
    <w:rsid w:val="00522AB8"/>
    <w:rsid w:val="005246D1"/>
    <w:rsid w:val="00525FBE"/>
    <w:rsid w:val="00526674"/>
    <w:rsid w:val="00526860"/>
    <w:rsid w:val="005268D1"/>
    <w:rsid w:val="00526950"/>
    <w:rsid w:val="00526C80"/>
    <w:rsid w:val="00526E31"/>
    <w:rsid w:val="00527CF3"/>
    <w:rsid w:val="00531416"/>
    <w:rsid w:val="00531A30"/>
    <w:rsid w:val="00531DA5"/>
    <w:rsid w:val="00531DDC"/>
    <w:rsid w:val="00532089"/>
    <w:rsid w:val="0053485F"/>
    <w:rsid w:val="0053563A"/>
    <w:rsid w:val="005358EF"/>
    <w:rsid w:val="00535E42"/>
    <w:rsid w:val="00535F0A"/>
    <w:rsid w:val="00535FD0"/>
    <w:rsid w:val="00536024"/>
    <w:rsid w:val="00536930"/>
    <w:rsid w:val="00536D7D"/>
    <w:rsid w:val="005370C8"/>
    <w:rsid w:val="0053715F"/>
    <w:rsid w:val="00537822"/>
    <w:rsid w:val="00537DA6"/>
    <w:rsid w:val="00541D42"/>
    <w:rsid w:val="00541D5D"/>
    <w:rsid w:val="0054270E"/>
    <w:rsid w:val="00542CAA"/>
    <w:rsid w:val="0054415D"/>
    <w:rsid w:val="00545C94"/>
    <w:rsid w:val="00546983"/>
    <w:rsid w:val="0054744F"/>
    <w:rsid w:val="00550BE9"/>
    <w:rsid w:val="00551389"/>
    <w:rsid w:val="005513B3"/>
    <w:rsid w:val="00553AE2"/>
    <w:rsid w:val="00554204"/>
    <w:rsid w:val="0055453A"/>
    <w:rsid w:val="00554F61"/>
    <w:rsid w:val="005575D7"/>
    <w:rsid w:val="005577F4"/>
    <w:rsid w:val="00557F19"/>
    <w:rsid w:val="005602EF"/>
    <w:rsid w:val="00560F8C"/>
    <w:rsid w:val="00561415"/>
    <w:rsid w:val="005626EC"/>
    <w:rsid w:val="00562D1B"/>
    <w:rsid w:val="00562F4B"/>
    <w:rsid w:val="0056309F"/>
    <w:rsid w:val="00564078"/>
    <w:rsid w:val="00564C0B"/>
    <w:rsid w:val="0056507C"/>
    <w:rsid w:val="00565300"/>
    <w:rsid w:val="00565DEF"/>
    <w:rsid w:val="00566864"/>
    <w:rsid w:val="00567C54"/>
    <w:rsid w:val="00570F84"/>
    <w:rsid w:val="00571856"/>
    <w:rsid w:val="00571A67"/>
    <w:rsid w:val="00572149"/>
    <w:rsid w:val="005721CB"/>
    <w:rsid w:val="0057266C"/>
    <w:rsid w:val="00572D25"/>
    <w:rsid w:val="00574E1D"/>
    <w:rsid w:val="00575653"/>
    <w:rsid w:val="00576491"/>
    <w:rsid w:val="00577172"/>
    <w:rsid w:val="0057772C"/>
    <w:rsid w:val="005800F1"/>
    <w:rsid w:val="00581674"/>
    <w:rsid w:val="0058218F"/>
    <w:rsid w:val="00582D9E"/>
    <w:rsid w:val="0058437B"/>
    <w:rsid w:val="005845B4"/>
    <w:rsid w:val="005845ED"/>
    <w:rsid w:val="00584CE1"/>
    <w:rsid w:val="005852A8"/>
    <w:rsid w:val="00586FB2"/>
    <w:rsid w:val="005872B1"/>
    <w:rsid w:val="005872C5"/>
    <w:rsid w:val="00587CDF"/>
    <w:rsid w:val="00590F4F"/>
    <w:rsid w:val="00591B4F"/>
    <w:rsid w:val="0059210F"/>
    <w:rsid w:val="00592400"/>
    <w:rsid w:val="00592500"/>
    <w:rsid w:val="0059338D"/>
    <w:rsid w:val="00593A37"/>
    <w:rsid w:val="00593D42"/>
    <w:rsid w:val="00594823"/>
    <w:rsid w:val="005948FB"/>
    <w:rsid w:val="0059544D"/>
    <w:rsid w:val="0059592F"/>
    <w:rsid w:val="00595FB9"/>
    <w:rsid w:val="00596661"/>
    <w:rsid w:val="005969F0"/>
    <w:rsid w:val="00597306"/>
    <w:rsid w:val="00597C76"/>
    <w:rsid w:val="005A08AC"/>
    <w:rsid w:val="005A091D"/>
    <w:rsid w:val="005A14FA"/>
    <w:rsid w:val="005A294C"/>
    <w:rsid w:val="005A35FD"/>
    <w:rsid w:val="005A3858"/>
    <w:rsid w:val="005A4AE9"/>
    <w:rsid w:val="005A5F9C"/>
    <w:rsid w:val="005A626A"/>
    <w:rsid w:val="005A6398"/>
    <w:rsid w:val="005A6BB7"/>
    <w:rsid w:val="005A6E8A"/>
    <w:rsid w:val="005A6F3B"/>
    <w:rsid w:val="005A7157"/>
    <w:rsid w:val="005B0877"/>
    <w:rsid w:val="005B1552"/>
    <w:rsid w:val="005B2319"/>
    <w:rsid w:val="005B279D"/>
    <w:rsid w:val="005B287B"/>
    <w:rsid w:val="005B2E41"/>
    <w:rsid w:val="005B32B4"/>
    <w:rsid w:val="005B3D4E"/>
    <w:rsid w:val="005B4388"/>
    <w:rsid w:val="005B5182"/>
    <w:rsid w:val="005B597E"/>
    <w:rsid w:val="005B7162"/>
    <w:rsid w:val="005B71D1"/>
    <w:rsid w:val="005B781A"/>
    <w:rsid w:val="005C142D"/>
    <w:rsid w:val="005C1827"/>
    <w:rsid w:val="005C3891"/>
    <w:rsid w:val="005C3A79"/>
    <w:rsid w:val="005C6160"/>
    <w:rsid w:val="005C62D0"/>
    <w:rsid w:val="005C6B5B"/>
    <w:rsid w:val="005C739A"/>
    <w:rsid w:val="005C7F49"/>
    <w:rsid w:val="005D003C"/>
    <w:rsid w:val="005D1217"/>
    <w:rsid w:val="005D16F5"/>
    <w:rsid w:val="005D1706"/>
    <w:rsid w:val="005D1C77"/>
    <w:rsid w:val="005D33F5"/>
    <w:rsid w:val="005D38AA"/>
    <w:rsid w:val="005D4F8E"/>
    <w:rsid w:val="005D67A4"/>
    <w:rsid w:val="005D6A6D"/>
    <w:rsid w:val="005D7082"/>
    <w:rsid w:val="005D72B2"/>
    <w:rsid w:val="005D7628"/>
    <w:rsid w:val="005E0A84"/>
    <w:rsid w:val="005E18DD"/>
    <w:rsid w:val="005E23FB"/>
    <w:rsid w:val="005E3E39"/>
    <w:rsid w:val="005E55F8"/>
    <w:rsid w:val="005E5798"/>
    <w:rsid w:val="005E5ACD"/>
    <w:rsid w:val="005E6098"/>
    <w:rsid w:val="005E62E3"/>
    <w:rsid w:val="005E6466"/>
    <w:rsid w:val="005E66C7"/>
    <w:rsid w:val="005E6F81"/>
    <w:rsid w:val="005F00C0"/>
    <w:rsid w:val="005F14ED"/>
    <w:rsid w:val="005F1D1E"/>
    <w:rsid w:val="005F2077"/>
    <w:rsid w:val="005F22E9"/>
    <w:rsid w:val="005F2A78"/>
    <w:rsid w:val="005F2FF4"/>
    <w:rsid w:val="005F3D03"/>
    <w:rsid w:val="005F50FE"/>
    <w:rsid w:val="005F5C57"/>
    <w:rsid w:val="005F64E0"/>
    <w:rsid w:val="005F6960"/>
    <w:rsid w:val="005F7126"/>
    <w:rsid w:val="005F71E2"/>
    <w:rsid w:val="005F7C99"/>
    <w:rsid w:val="00602B43"/>
    <w:rsid w:val="00603369"/>
    <w:rsid w:val="00603411"/>
    <w:rsid w:val="006036C2"/>
    <w:rsid w:val="00603A4C"/>
    <w:rsid w:val="00603A78"/>
    <w:rsid w:val="00603E28"/>
    <w:rsid w:val="006040B9"/>
    <w:rsid w:val="0060574C"/>
    <w:rsid w:val="00606DFE"/>
    <w:rsid w:val="006071EE"/>
    <w:rsid w:val="0060743E"/>
    <w:rsid w:val="006102BF"/>
    <w:rsid w:val="0061077E"/>
    <w:rsid w:val="0061095D"/>
    <w:rsid w:val="00610FE8"/>
    <w:rsid w:val="00611255"/>
    <w:rsid w:val="006121E2"/>
    <w:rsid w:val="0061240F"/>
    <w:rsid w:val="006129EB"/>
    <w:rsid w:val="00612E8A"/>
    <w:rsid w:val="006130D0"/>
    <w:rsid w:val="006135CD"/>
    <w:rsid w:val="00613A8D"/>
    <w:rsid w:val="00613C50"/>
    <w:rsid w:val="00613D55"/>
    <w:rsid w:val="00614894"/>
    <w:rsid w:val="006155BD"/>
    <w:rsid w:val="00615627"/>
    <w:rsid w:val="00615DEF"/>
    <w:rsid w:val="006179D0"/>
    <w:rsid w:val="00617B77"/>
    <w:rsid w:val="006200F3"/>
    <w:rsid w:val="00620A6E"/>
    <w:rsid w:val="00620FA9"/>
    <w:rsid w:val="00621A62"/>
    <w:rsid w:val="00621B9B"/>
    <w:rsid w:val="00622290"/>
    <w:rsid w:val="00624107"/>
    <w:rsid w:val="0062463F"/>
    <w:rsid w:val="00624D2B"/>
    <w:rsid w:val="00625E3B"/>
    <w:rsid w:val="00626075"/>
    <w:rsid w:val="00626BA0"/>
    <w:rsid w:val="0063017F"/>
    <w:rsid w:val="00630D8F"/>
    <w:rsid w:val="00631650"/>
    <w:rsid w:val="00631B6D"/>
    <w:rsid w:val="006321CF"/>
    <w:rsid w:val="0063266E"/>
    <w:rsid w:val="006330CA"/>
    <w:rsid w:val="00633583"/>
    <w:rsid w:val="006336BA"/>
    <w:rsid w:val="00633888"/>
    <w:rsid w:val="00633902"/>
    <w:rsid w:val="00633A88"/>
    <w:rsid w:val="00634825"/>
    <w:rsid w:val="00634A6D"/>
    <w:rsid w:val="00634F4C"/>
    <w:rsid w:val="00635089"/>
    <w:rsid w:val="006356FC"/>
    <w:rsid w:val="00635ACF"/>
    <w:rsid w:val="00636601"/>
    <w:rsid w:val="006374FC"/>
    <w:rsid w:val="00640763"/>
    <w:rsid w:val="0064131C"/>
    <w:rsid w:val="006427D8"/>
    <w:rsid w:val="00643000"/>
    <w:rsid w:val="00643ACA"/>
    <w:rsid w:val="0064430D"/>
    <w:rsid w:val="0064453C"/>
    <w:rsid w:val="0064522C"/>
    <w:rsid w:val="00645821"/>
    <w:rsid w:val="00645D61"/>
    <w:rsid w:val="00646D69"/>
    <w:rsid w:val="00647176"/>
    <w:rsid w:val="0064774A"/>
    <w:rsid w:val="00647822"/>
    <w:rsid w:val="006478CE"/>
    <w:rsid w:val="00647B26"/>
    <w:rsid w:val="0065068A"/>
    <w:rsid w:val="00651085"/>
    <w:rsid w:val="00651965"/>
    <w:rsid w:val="00651B01"/>
    <w:rsid w:val="00652879"/>
    <w:rsid w:val="006530F8"/>
    <w:rsid w:val="0065325C"/>
    <w:rsid w:val="00653662"/>
    <w:rsid w:val="00653A48"/>
    <w:rsid w:val="0065434C"/>
    <w:rsid w:val="0065513F"/>
    <w:rsid w:val="00655544"/>
    <w:rsid w:val="0065612C"/>
    <w:rsid w:val="00656AD6"/>
    <w:rsid w:val="00656BD7"/>
    <w:rsid w:val="00657112"/>
    <w:rsid w:val="00657547"/>
    <w:rsid w:val="00657764"/>
    <w:rsid w:val="00661395"/>
    <w:rsid w:val="00661BD2"/>
    <w:rsid w:val="006620A9"/>
    <w:rsid w:val="00663683"/>
    <w:rsid w:val="006647BF"/>
    <w:rsid w:val="0066572C"/>
    <w:rsid w:val="00665BC5"/>
    <w:rsid w:val="006669E8"/>
    <w:rsid w:val="00666CA2"/>
    <w:rsid w:val="00666E32"/>
    <w:rsid w:val="00667798"/>
    <w:rsid w:val="00667E3B"/>
    <w:rsid w:val="00671AB0"/>
    <w:rsid w:val="00671D6A"/>
    <w:rsid w:val="006734AE"/>
    <w:rsid w:val="0067353F"/>
    <w:rsid w:val="00673F0D"/>
    <w:rsid w:val="006744F0"/>
    <w:rsid w:val="00674F7B"/>
    <w:rsid w:val="00675889"/>
    <w:rsid w:val="00675AB3"/>
    <w:rsid w:val="00675C5A"/>
    <w:rsid w:val="00675E44"/>
    <w:rsid w:val="006761F2"/>
    <w:rsid w:val="00676217"/>
    <w:rsid w:val="00676ABE"/>
    <w:rsid w:val="00676DB5"/>
    <w:rsid w:val="00677626"/>
    <w:rsid w:val="00677692"/>
    <w:rsid w:val="0067789F"/>
    <w:rsid w:val="00677D37"/>
    <w:rsid w:val="006801F4"/>
    <w:rsid w:val="006803A0"/>
    <w:rsid w:val="006810D1"/>
    <w:rsid w:val="0068191E"/>
    <w:rsid w:val="00681BA8"/>
    <w:rsid w:val="00682007"/>
    <w:rsid w:val="006821F5"/>
    <w:rsid w:val="00682AF3"/>
    <w:rsid w:val="00683D20"/>
    <w:rsid w:val="00683F76"/>
    <w:rsid w:val="00684021"/>
    <w:rsid w:val="006842AA"/>
    <w:rsid w:val="006846DC"/>
    <w:rsid w:val="0068588E"/>
    <w:rsid w:val="00686CF9"/>
    <w:rsid w:val="00686E6A"/>
    <w:rsid w:val="006874E5"/>
    <w:rsid w:val="00687B38"/>
    <w:rsid w:val="00687FF3"/>
    <w:rsid w:val="00690864"/>
    <w:rsid w:val="0069146C"/>
    <w:rsid w:val="00691977"/>
    <w:rsid w:val="00691EC2"/>
    <w:rsid w:val="006923B8"/>
    <w:rsid w:val="00692B33"/>
    <w:rsid w:val="00692DEE"/>
    <w:rsid w:val="006930C4"/>
    <w:rsid w:val="006935C4"/>
    <w:rsid w:val="00693725"/>
    <w:rsid w:val="00693950"/>
    <w:rsid w:val="00693C22"/>
    <w:rsid w:val="00694281"/>
    <w:rsid w:val="006949C0"/>
    <w:rsid w:val="00694C26"/>
    <w:rsid w:val="006951DA"/>
    <w:rsid w:val="0069607C"/>
    <w:rsid w:val="0069683C"/>
    <w:rsid w:val="006968FF"/>
    <w:rsid w:val="00697BF6"/>
    <w:rsid w:val="006A05C4"/>
    <w:rsid w:val="006A17FC"/>
    <w:rsid w:val="006A2ABF"/>
    <w:rsid w:val="006A2D0D"/>
    <w:rsid w:val="006A3467"/>
    <w:rsid w:val="006A4091"/>
    <w:rsid w:val="006A4424"/>
    <w:rsid w:val="006A4F8D"/>
    <w:rsid w:val="006A51C6"/>
    <w:rsid w:val="006A54F0"/>
    <w:rsid w:val="006A69C3"/>
    <w:rsid w:val="006A7459"/>
    <w:rsid w:val="006B01EE"/>
    <w:rsid w:val="006B0BD2"/>
    <w:rsid w:val="006B0F4E"/>
    <w:rsid w:val="006B13CC"/>
    <w:rsid w:val="006B2430"/>
    <w:rsid w:val="006B3A2E"/>
    <w:rsid w:val="006B4281"/>
    <w:rsid w:val="006B493F"/>
    <w:rsid w:val="006B5381"/>
    <w:rsid w:val="006B567F"/>
    <w:rsid w:val="006B5995"/>
    <w:rsid w:val="006B6E53"/>
    <w:rsid w:val="006B7DDD"/>
    <w:rsid w:val="006C075C"/>
    <w:rsid w:val="006C09DD"/>
    <w:rsid w:val="006C0CFE"/>
    <w:rsid w:val="006C0F1D"/>
    <w:rsid w:val="006C0FC8"/>
    <w:rsid w:val="006C1459"/>
    <w:rsid w:val="006C149A"/>
    <w:rsid w:val="006C1587"/>
    <w:rsid w:val="006C1613"/>
    <w:rsid w:val="006C1924"/>
    <w:rsid w:val="006C19EA"/>
    <w:rsid w:val="006C1FEE"/>
    <w:rsid w:val="006C2AE4"/>
    <w:rsid w:val="006C2B9C"/>
    <w:rsid w:val="006C3023"/>
    <w:rsid w:val="006C46CC"/>
    <w:rsid w:val="006C4A65"/>
    <w:rsid w:val="006C5339"/>
    <w:rsid w:val="006C540F"/>
    <w:rsid w:val="006C54F0"/>
    <w:rsid w:val="006C5E2B"/>
    <w:rsid w:val="006C6096"/>
    <w:rsid w:val="006C78F8"/>
    <w:rsid w:val="006C7B22"/>
    <w:rsid w:val="006C7E7B"/>
    <w:rsid w:val="006C7E8C"/>
    <w:rsid w:val="006D0A8D"/>
    <w:rsid w:val="006D0D4B"/>
    <w:rsid w:val="006D127F"/>
    <w:rsid w:val="006D1B34"/>
    <w:rsid w:val="006D1E72"/>
    <w:rsid w:val="006D202A"/>
    <w:rsid w:val="006D2290"/>
    <w:rsid w:val="006D2F16"/>
    <w:rsid w:val="006D39EA"/>
    <w:rsid w:val="006D45F6"/>
    <w:rsid w:val="006D4F5D"/>
    <w:rsid w:val="006D4FBA"/>
    <w:rsid w:val="006D5DA6"/>
    <w:rsid w:val="006D603E"/>
    <w:rsid w:val="006D6127"/>
    <w:rsid w:val="006D6DDC"/>
    <w:rsid w:val="006E00C2"/>
    <w:rsid w:val="006E01AC"/>
    <w:rsid w:val="006E1600"/>
    <w:rsid w:val="006E29CB"/>
    <w:rsid w:val="006E2C58"/>
    <w:rsid w:val="006E32AC"/>
    <w:rsid w:val="006E5307"/>
    <w:rsid w:val="006E541D"/>
    <w:rsid w:val="006E645E"/>
    <w:rsid w:val="006E6681"/>
    <w:rsid w:val="006E7946"/>
    <w:rsid w:val="006E79F4"/>
    <w:rsid w:val="006F0749"/>
    <w:rsid w:val="006F0FCA"/>
    <w:rsid w:val="006F10A2"/>
    <w:rsid w:val="006F1367"/>
    <w:rsid w:val="006F28EB"/>
    <w:rsid w:val="006F2926"/>
    <w:rsid w:val="006F29C9"/>
    <w:rsid w:val="006F2A81"/>
    <w:rsid w:val="006F2FD1"/>
    <w:rsid w:val="006F3332"/>
    <w:rsid w:val="006F3682"/>
    <w:rsid w:val="006F3F14"/>
    <w:rsid w:val="006F46FD"/>
    <w:rsid w:val="006F4E6D"/>
    <w:rsid w:val="006F5186"/>
    <w:rsid w:val="006F5896"/>
    <w:rsid w:val="006F6248"/>
    <w:rsid w:val="006F63E9"/>
    <w:rsid w:val="006F67F1"/>
    <w:rsid w:val="006F6D9A"/>
    <w:rsid w:val="006F70F8"/>
    <w:rsid w:val="006F7F7D"/>
    <w:rsid w:val="00700083"/>
    <w:rsid w:val="00700373"/>
    <w:rsid w:val="007007EB"/>
    <w:rsid w:val="0070133C"/>
    <w:rsid w:val="00701795"/>
    <w:rsid w:val="0070226A"/>
    <w:rsid w:val="0070262F"/>
    <w:rsid w:val="007026F0"/>
    <w:rsid w:val="00702A59"/>
    <w:rsid w:val="0070304A"/>
    <w:rsid w:val="00703907"/>
    <w:rsid w:val="00704D99"/>
    <w:rsid w:val="007066F6"/>
    <w:rsid w:val="00706F6D"/>
    <w:rsid w:val="007079F3"/>
    <w:rsid w:val="0071037E"/>
    <w:rsid w:val="007109B1"/>
    <w:rsid w:val="00710C92"/>
    <w:rsid w:val="00711C1E"/>
    <w:rsid w:val="007122A3"/>
    <w:rsid w:val="00712E46"/>
    <w:rsid w:val="00712E4F"/>
    <w:rsid w:val="007132A4"/>
    <w:rsid w:val="0071437E"/>
    <w:rsid w:val="0071535C"/>
    <w:rsid w:val="00715BE6"/>
    <w:rsid w:val="00715CE4"/>
    <w:rsid w:val="007168BD"/>
    <w:rsid w:val="00716F50"/>
    <w:rsid w:val="00717684"/>
    <w:rsid w:val="00717AA6"/>
    <w:rsid w:val="007207A0"/>
    <w:rsid w:val="00721154"/>
    <w:rsid w:val="00722FE4"/>
    <w:rsid w:val="007243A2"/>
    <w:rsid w:val="0072457C"/>
    <w:rsid w:val="00724EF2"/>
    <w:rsid w:val="0072512D"/>
    <w:rsid w:val="007255D1"/>
    <w:rsid w:val="00726A8C"/>
    <w:rsid w:val="0072720E"/>
    <w:rsid w:val="007317A5"/>
    <w:rsid w:val="0073224B"/>
    <w:rsid w:val="0073253E"/>
    <w:rsid w:val="007328A2"/>
    <w:rsid w:val="0073341A"/>
    <w:rsid w:val="00733550"/>
    <w:rsid w:val="00733A7E"/>
    <w:rsid w:val="00734FDF"/>
    <w:rsid w:val="00735BE6"/>
    <w:rsid w:val="007361E8"/>
    <w:rsid w:val="00736633"/>
    <w:rsid w:val="0073797A"/>
    <w:rsid w:val="00737A0F"/>
    <w:rsid w:val="00740D84"/>
    <w:rsid w:val="00741586"/>
    <w:rsid w:val="00741653"/>
    <w:rsid w:val="007422E9"/>
    <w:rsid w:val="007425EE"/>
    <w:rsid w:val="0074338C"/>
    <w:rsid w:val="007438CD"/>
    <w:rsid w:val="00744861"/>
    <w:rsid w:val="00744ADE"/>
    <w:rsid w:val="00744E6F"/>
    <w:rsid w:val="0074588A"/>
    <w:rsid w:val="007458EC"/>
    <w:rsid w:val="00745FAA"/>
    <w:rsid w:val="00746C68"/>
    <w:rsid w:val="00746D6F"/>
    <w:rsid w:val="0074753B"/>
    <w:rsid w:val="00747575"/>
    <w:rsid w:val="00747AE6"/>
    <w:rsid w:val="00750528"/>
    <w:rsid w:val="00750576"/>
    <w:rsid w:val="00750A1F"/>
    <w:rsid w:val="00750D42"/>
    <w:rsid w:val="00751542"/>
    <w:rsid w:val="00752E8E"/>
    <w:rsid w:val="0075334B"/>
    <w:rsid w:val="0075365F"/>
    <w:rsid w:val="007547F8"/>
    <w:rsid w:val="007548A3"/>
    <w:rsid w:val="00754B55"/>
    <w:rsid w:val="00754CAD"/>
    <w:rsid w:val="00754EED"/>
    <w:rsid w:val="007554FE"/>
    <w:rsid w:val="007576FB"/>
    <w:rsid w:val="00760C7D"/>
    <w:rsid w:val="0076100D"/>
    <w:rsid w:val="00761CAA"/>
    <w:rsid w:val="0076261A"/>
    <w:rsid w:val="00762973"/>
    <w:rsid w:val="00762CE3"/>
    <w:rsid w:val="007632F4"/>
    <w:rsid w:val="007636F8"/>
    <w:rsid w:val="007638CB"/>
    <w:rsid w:val="00764260"/>
    <w:rsid w:val="00764D9B"/>
    <w:rsid w:val="00765342"/>
    <w:rsid w:val="007661D9"/>
    <w:rsid w:val="00767DF2"/>
    <w:rsid w:val="007706BD"/>
    <w:rsid w:val="00770753"/>
    <w:rsid w:val="007708C8"/>
    <w:rsid w:val="0077121F"/>
    <w:rsid w:val="007717EF"/>
    <w:rsid w:val="007718F4"/>
    <w:rsid w:val="00772113"/>
    <w:rsid w:val="007739DB"/>
    <w:rsid w:val="00774161"/>
    <w:rsid w:val="00774680"/>
    <w:rsid w:val="007754DD"/>
    <w:rsid w:val="007759D7"/>
    <w:rsid w:val="00775F32"/>
    <w:rsid w:val="00776104"/>
    <w:rsid w:val="007762B6"/>
    <w:rsid w:val="007762DB"/>
    <w:rsid w:val="00777861"/>
    <w:rsid w:val="00777B72"/>
    <w:rsid w:val="00780070"/>
    <w:rsid w:val="007800ED"/>
    <w:rsid w:val="00780754"/>
    <w:rsid w:val="00780FB1"/>
    <w:rsid w:val="00781A4B"/>
    <w:rsid w:val="00782657"/>
    <w:rsid w:val="00782760"/>
    <w:rsid w:val="00783C35"/>
    <w:rsid w:val="0078402E"/>
    <w:rsid w:val="007855D0"/>
    <w:rsid w:val="007867A8"/>
    <w:rsid w:val="00786A7D"/>
    <w:rsid w:val="00786C98"/>
    <w:rsid w:val="00787597"/>
    <w:rsid w:val="0078765C"/>
    <w:rsid w:val="007904E9"/>
    <w:rsid w:val="00790C7C"/>
    <w:rsid w:val="00790D5A"/>
    <w:rsid w:val="007910C9"/>
    <w:rsid w:val="00791449"/>
    <w:rsid w:val="00791CD8"/>
    <w:rsid w:val="0079261F"/>
    <w:rsid w:val="00792BED"/>
    <w:rsid w:val="007930D0"/>
    <w:rsid w:val="00793419"/>
    <w:rsid w:val="0079374A"/>
    <w:rsid w:val="0079375C"/>
    <w:rsid w:val="00794292"/>
    <w:rsid w:val="00794D17"/>
    <w:rsid w:val="00795396"/>
    <w:rsid w:val="007955DA"/>
    <w:rsid w:val="0079589E"/>
    <w:rsid w:val="00795B89"/>
    <w:rsid w:val="00795E6A"/>
    <w:rsid w:val="0079614A"/>
    <w:rsid w:val="007963FB"/>
    <w:rsid w:val="0079689B"/>
    <w:rsid w:val="0079724D"/>
    <w:rsid w:val="0079729E"/>
    <w:rsid w:val="007A010E"/>
    <w:rsid w:val="007A0502"/>
    <w:rsid w:val="007A0955"/>
    <w:rsid w:val="007A09B5"/>
    <w:rsid w:val="007A0A53"/>
    <w:rsid w:val="007A1BA3"/>
    <w:rsid w:val="007A1C39"/>
    <w:rsid w:val="007A2071"/>
    <w:rsid w:val="007A23B8"/>
    <w:rsid w:val="007A29BC"/>
    <w:rsid w:val="007A2F1E"/>
    <w:rsid w:val="007A2FA4"/>
    <w:rsid w:val="007A3EF8"/>
    <w:rsid w:val="007A422B"/>
    <w:rsid w:val="007A4A24"/>
    <w:rsid w:val="007A5EE9"/>
    <w:rsid w:val="007A656A"/>
    <w:rsid w:val="007A715D"/>
    <w:rsid w:val="007B0863"/>
    <w:rsid w:val="007B0ABE"/>
    <w:rsid w:val="007B0B65"/>
    <w:rsid w:val="007B3591"/>
    <w:rsid w:val="007B38DD"/>
    <w:rsid w:val="007B46CF"/>
    <w:rsid w:val="007B515C"/>
    <w:rsid w:val="007B5F32"/>
    <w:rsid w:val="007B6A98"/>
    <w:rsid w:val="007B7042"/>
    <w:rsid w:val="007B70C0"/>
    <w:rsid w:val="007B74F0"/>
    <w:rsid w:val="007B7AC5"/>
    <w:rsid w:val="007B7B59"/>
    <w:rsid w:val="007B7DA2"/>
    <w:rsid w:val="007C0166"/>
    <w:rsid w:val="007C0452"/>
    <w:rsid w:val="007C0BB6"/>
    <w:rsid w:val="007C170F"/>
    <w:rsid w:val="007C1E69"/>
    <w:rsid w:val="007C2155"/>
    <w:rsid w:val="007C22CE"/>
    <w:rsid w:val="007C238E"/>
    <w:rsid w:val="007C2744"/>
    <w:rsid w:val="007C2B56"/>
    <w:rsid w:val="007C2C50"/>
    <w:rsid w:val="007C2DD2"/>
    <w:rsid w:val="007C2E1F"/>
    <w:rsid w:val="007C2F07"/>
    <w:rsid w:val="007C3567"/>
    <w:rsid w:val="007C37FC"/>
    <w:rsid w:val="007C3E21"/>
    <w:rsid w:val="007C4007"/>
    <w:rsid w:val="007C4437"/>
    <w:rsid w:val="007C5B38"/>
    <w:rsid w:val="007C5D27"/>
    <w:rsid w:val="007C5FBD"/>
    <w:rsid w:val="007C6054"/>
    <w:rsid w:val="007C650E"/>
    <w:rsid w:val="007D06A5"/>
    <w:rsid w:val="007D16CC"/>
    <w:rsid w:val="007D33C4"/>
    <w:rsid w:val="007D445D"/>
    <w:rsid w:val="007D55AB"/>
    <w:rsid w:val="007D6A44"/>
    <w:rsid w:val="007D6EC3"/>
    <w:rsid w:val="007D6FDE"/>
    <w:rsid w:val="007D73D8"/>
    <w:rsid w:val="007D7481"/>
    <w:rsid w:val="007D7C8E"/>
    <w:rsid w:val="007E072B"/>
    <w:rsid w:val="007E1330"/>
    <w:rsid w:val="007E1700"/>
    <w:rsid w:val="007E1AC3"/>
    <w:rsid w:val="007E1B20"/>
    <w:rsid w:val="007E1F52"/>
    <w:rsid w:val="007E22DE"/>
    <w:rsid w:val="007E276A"/>
    <w:rsid w:val="007E2E93"/>
    <w:rsid w:val="007E336D"/>
    <w:rsid w:val="007E3651"/>
    <w:rsid w:val="007E3919"/>
    <w:rsid w:val="007E3EF8"/>
    <w:rsid w:val="007E4AF3"/>
    <w:rsid w:val="007E56C8"/>
    <w:rsid w:val="007E6467"/>
    <w:rsid w:val="007E66B5"/>
    <w:rsid w:val="007E6F35"/>
    <w:rsid w:val="007E7BEA"/>
    <w:rsid w:val="007F1187"/>
    <w:rsid w:val="007F12C4"/>
    <w:rsid w:val="007F1625"/>
    <w:rsid w:val="007F20AA"/>
    <w:rsid w:val="007F3994"/>
    <w:rsid w:val="007F3B33"/>
    <w:rsid w:val="007F466E"/>
    <w:rsid w:val="007F53CF"/>
    <w:rsid w:val="007F5E06"/>
    <w:rsid w:val="007F6293"/>
    <w:rsid w:val="007F6C08"/>
    <w:rsid w:val="007F7048"/>
    <w:rsid w:val="007F73CD"/>
    <w:rsid w:val="007F7741"/>
    <w:rsid w:val="007F7B85"/>
    <w:rsid w:val="0080045E"/>
    <w:rsid w:val="0080050D"/>
    <w:rsid w:val="00800D83"/>
    <w:rsid w:val="0080157F"/>
    <w:rsid w:val="0080185D"/>
    <w:rsid w:val="008018D1"/>
    <w:rsid w:val="00802AE1"/>
    <w:rsid w:val="00802D86"/>
    <w:rsid w:val="00802F32"/>
    <w:rsid w:val="0080327F"/>
    <w:rsid w:val="008037C9"/>
    <w:rsid w:val="00803E47"/>
    <w:rsid w:val="008042D8"/>
    <w:rsid w:val="00804B5D"/>
    <w:rsid w:val="00805467"/>
    <w:rsid w:val="00805E6A"/>
    <w:rsid w:val="00806147"/>
    <w:rsid w:val="008062AC"/>
    <w:rsid w:val="00806991"/>
    <w:rsid w:val="00807D78"/>
    <w:rsid w:val="008108E0"/>
    <w:rsid w:val="00810D7C"/>
    <w:rsid w:val="008110E3"/>
    <w:rsid w:val="00811530"/>
    <w:rsid w:val="0081268E"/>
    <w:rsid w:val="008126A1"/>
    <w:rsid w:val="00812C24"/>
    <w:rsid w:val="00812F6F"/>
    <w:rsid w:val="008137DD"/>
    <w:rsid w:val="00813BB0"/>
    <w:rsid w:val="00814BD0"/>
    <w:rsid w:val="00814EE2"/>
    <w:rsid w:val="00815FEE"/>
    <w:rsid w:val="00817E23"/>
    <w:rsid w:val="00817E6F"/>
    <w:rsid w:val="008204B7"/>
    <w:rsid w:val="00820A44"/>
    <w:rsid w:val="00820C25"/>
    <w:rsid w:val="008210CC"/>
    <w:rsid w:val="00821794"/>
    <w:rsid w:val="00822023"/>
    <w:rsid w:val="008220BB"/>
    <w:rsid w:val="008226D1"/>
    <w:rsid w:val="00822D2A"/>
    <w:rsid w:val="00822DDA"/>
    <w:rsid w:val="008230EF"/>
    <w:rsid w:val="008231D4"/>
    <w:rsid w:val="00823739"/>
    <w:rsid w:val="00823B55"/>
    <w:rsid w:val="008241B2"/>
    <w:rsid w:val="00824526"/>
    <w:rsid w:val="0082462A"/>
    <w:rsid w:val="00824703"/>
    <w:rsid w:val="00824BFA"/>
    <w:rsid w:val="00825763"/>
    <w:rsid w:val="00825C0C"/>
    <w:rsid w:val="00826F89"/>
    <w:rsid w:val="00827D13"/>
    <w:rsid w:val="00830051"/>
    <w:rsid w:val="00831A06"/>
    <w:rsid w:val="00831AAB"/>
    <w:rsid w:val="008334AD"/>
    <w:rsid w:val="00833C77"/>
    <w:rsid w:val="008341A3"/>
    <w:rsid w:val="00834DB3"/>
    <w:rsid w:val="00835C00"/>
    <w:rsid w:val="00837203"/>
    <w:rsid w:val="00837A8B"/>
    <w:rsid w:val="00837C6F"/>
    <w:rsid w:val="00837CAB"/>
    <w:rsid w:val="008403FA"/>
    <w:rsid w:val="008406E0"/>
    <w:rsid w:val="00840B20"/>
    <w:rsid w:val="00841009"/>
    <w:rsid w:val="0084187C"/>
    <w:rsid w:val="0084189D"/>
    <w:rsid w:val="00842E18"/>
    <w:rsid w:val="008431D7"/>
    <w:rsid w:val="0084333C"/>
    <w:rsid w:val="00843886"/>
    <w:rsid w:val="00843D0F"/>
    <w:rsid w:val="00843F01"/>
    <w:rsid w:val="0084446A"/>
    <w:rsid w:val="0084470F"/>
    <w:rsid w:val="00847CEA"/>
    <w:rsid w:val="00850284"/>
    <w:rsid w:val="008507F1"/>
    <w:rsid w:val="00850A03"/>
    <w:rsid w:val="00850AB5"/>
    <w:rsid w:val="00850B3D"/>
    <w:rsid w:val="00850FFB"/>
    <w:rsid w:val="008522DE"/>
    <w:rsid w:val="008526BA"/>
    <w:rsid w:val="00853473"/>
    <w:rsid w:val="0085349E"/>
    <w:rsid w:val="008543CC"/>
    <w:rsid w:val="00854FC1"/>
    <w:rsid w:val="00856A35"/>
    <w:rsid w:val="00856F9A"/>
    <w:rsid w:val="00857A6B"/>
    <w:rsid w:val="00860DCF"/>
    <w:rsid w:val="0086155A"/>
    <w:rsid w:val="00861B69"/>
    <w:rsid w:val="008630E1"/>
    <w:rsid w:val="00863149"/>
    <w:rsid w:val="00864634"/>
    <w:rsid w:val="00864E22"/>
    <w:rsid w:val="0086566B"/>
    <w:rsid w:val="00865F42"/>
    <w:rsid w:val="00866066"/>
    <w:rsid w:val="00866ECA"/>
    <w:rsid w:val="00867571"/>
    <w:rsid w:val="00867945"/>
    <w:rsid w:val="008714F5"/>
    <w:rsid w:val="00871C50"/>
    <w:rsid w:val="0087451C"/>
    <w:rsid w:val="00874589"/>
    <w:rsid w:val="00874681"/>
    <w:rsid w:val="00874EB1"/>
    <w:rsid w:val="00875880"/>
    <w:rsid w:val="0087682B"/>
    <w:rsid w:val="00876841"/>
    <w:rsid w:val="0087748E"/>
    <w:rsid w:val="0088026E"/>
    <w:rsid w:val="00880642"/>
    <w:rsid w:val="008808F3"/>
    <w:rsid w:val="00880DA2"/>
    <w:rsid w:val="00881069"/>
    <w:rsid w:val="008815B4"/>
    <w:rsid w:val="008819EE"/>
    <w:rsid w:val="00883227"/>
    <w:rsid w:val="00883A48"/>
    <w:rsid w:val="008845B8"/>
    <w:rsid w:val="00884655"/>
    <w:rsid w:val="00884974"/>
    <w:rsid w:val="0088605B"/>
    <w:rsid w:val="008861F0"/>
    <w:rsid w:val="0088620E"/>
    <w:rsid w:val="0088654F"/>
    <w:rsid w:val="008869E2"/>
    <w:rsid w:val="00886CFC"/>
    <w:rsid w:val="008870ED"/>
    <w:rsid w:val="0089084F"/>
    <w:rsid w:val="00891324"/>
    <w:rsid w:val="008919EE"/>
    <w:rsid w:val="00892BEA"/>
    <w:rsid w:val="00893470"/>
    <w:rsid w:val="00893507"/>
    <w:rsid w:val="00893514"/>
    <w:rsid w:val="008942F7"/>
    <w:rsid w:val="00894C90"/>
    <w:rsid w:val="008950E5"/>
    <w:rsid w:val="00895145"/>
    <w:rsid w:val="0089523C"/>
    <w:rsid w:val="0089578B"/>
    <w:rsid w:val="00896C67"/>
    <w:rsid w:val="00897226"/>
    <w:rsid w:val="0089733F"/>
    <w:rsid w:val="0089769C"/>
    <w:rsid w:val="00897C93"/>
    <w:rsid w:val="008A0C69"/>
    <w:rsid w:val="008A1E78"/>
    <w:rsid w:val="008A26D6"/>
    <w:rsid w:val="008A2FCF"/>
    <w:rsid w:val="008A336A"/>
    <w:rsid w:val="008A3392"/>
    <w:rsid w:val="008A37EA"/>
    <w:rsid w:val="008A3B41"/>
    <w:rsid w:val="008A3D1C"/>
    <w:rsid w:val="008A4134"/>
    <w:rsid w:val="008A4D8A"/>
    <w:rsid w:val="008A5F41"/>
    <w:rsid w:val="008A61D1"/>
    <w:rsid w:val="008A632B"/>
    <w:rsid w:val="008A7AF0"/>
    <w:rsid w:val="008B014F"/>
    <w:rsid w:val="008B204F"/>
    <w:rsid w:val="008B2955"/>
    <w:rsid w:val="008B29AF"/>
    <w:rsid w:val="008B3015"/>
    <w:rsid w:val="008B328E"/>
    <w:rsid w:val="008B447B"/>
    <w:rsid w:val="008B4914"/>
    <w:rsid w:val="008B4B34"/>
    <w:rsid w:val="008B5A9C"/>
    <w:rsid w:val="008B61C3"/>
    <w:rsid w:val="008B66AD"/>
    <w:rsid w:val="008B6D27"/>
    <w:rsid w:val="008B78E3"/>
    <w:rsid w:val="008B7B71"/>
    <w:rsid w:val="008B7BF0"/>
    <w:rsid w:val="008C02C2"/>
    <w:rsid w:val="008C0BBF"/>
    <w:rsid w:val="008C13C3"/>
    <w:rsid w:val="008C1AC5"/>
    <w:rsid w:val="008C22BC"/>
    <w:rsid w:val="008C275F"/>
    <w:rsid w:val="008C2BC3"/>
    <w:rsid w:val="008C3322"/>
    <w:rsid w:val="008C3430"/>
    <w:rsid w:val="008C3447"/>
    <w:rsid w:val="008C367E"/>
    <w:rsid w:val="008C3965"/>
    <w:rsid w:val="008C39A3"/>
    <w:rsid w:val="008C3B8F"/>
    <w:rsid w:val="008C4B6C"/>
    <w:rsid w:val="008C56B3"/>
    <w:rsid w:val="008C5ED9"/>
    <w:rsid w:val="008C7565"/>
    <w:rsid w:val="008C7698"/>
    <w:rsid w:val="008C7E66"/>
    <w:rsid w:val="008C7E6B"/>
    <w:rsid w:val="008D16FA"/>
    <w:rsid w:val="008D18E1"/>
    <w:rsid w:val="008D1F45"/>
    <w:rsid w:val="008D2017"/>
    <w:rsid w:val="008D21AD"/>
    <w:rsid w:val="008D2CD2"/>
    <w:rsid w:val="008D2D02"/>
    <w:rsid w:val="008D3642"/>
    <w:rsid w:val="008D3B37"/>
    <w:rsid w:val="008D3E19"/>
    <w:rsid w:val="008D41F4"/>
    <w:rsid w:val="008D469B"/>
    <w:rsid w:val="008D4859"/>
    <w:rsid w:val="008D4B21"/>
    <w:rsid w:val="008D5018"/>
    <w:rsid w:val="008D53F6"/>
    <w:rsid w:val="008D5AF1"/>
    <w:rsid w:val="008D5CFD"/>
    <w:rsid w:val="008D6342"/>
    <w:rsid w:val="008D7B56"/>
    <w:rsid w:val="008E0266"/>
    <w:rsid w:val="008E05C6"/>
    <w:rsid w:val="008E109D"/>
    <w:rsid w:val="008E10AC"/>
    <w:rsid w:val="008E1B33"/>
    <w:rsid w:val="008E3A31"/>
    <w:rsid w:val="008E3BCC"/>
    <w:rsid w:val="008E417F"/>
    <w:rsid w:val="008E4B30"/>
    <w:rsid w:val="008E5515"/>
    <w:rsid w:val="008E56C4"/>
    <w:rsid w:val="008E69FF"/>
    <w:rsid w:val="008E79B0"/>
    <w:rsid w:val="008F0F51"/>
    <w:rsid w:val="008F1A20"/>
    <w:rsid w:val="008F3BDC"/>
    <w:rsid w:val="008F4C6A"/>
    <w:rsid w:val="008F4FBA"/>
    <w:rsid w:val="008F5264"/>
    <w:rsid w:val="008F55EB"/>
    <w:rsid w:val="008F5E2B"/>
    <w:rsid w:val="008F70EC"/>
    <w:rsid w:val="008F74D2"/>
    <w:rsid w:val="009001CA"/>
    <w:rsid w:val="009007B9"/>
    <w:rsid w:val="00900F09"/>
    <w:rsid w:val="00901524"/>
    <w:rsid w:val="00901D13"/>
    <w:rsid w:val="00902DC2"/>
    <w:rsid w:val="00903869"/>
    <w:rsid w:val="00903BEB"/>
    <w:rsid w:val="00903CE3"/>
    <w:rsid w:val="00904A73"/>
    <w:rsid w:val="00904CC8"/>
    <w:rsid w:val="009057F0"/>
    <w:rsid w:val="00906BD6"/>
    <w:rsid w:val="00907431"/>
    <w:rsid w:val="00910071"/>
    <w:rsid w:val="009102DE"/>
    <w:rsid w:val="009109B5"/>
    <w:rsid w:val="009111AD"/>
    <w:rsid w:val="009115A5"/>
    <w:rsid w:val="009119D1"/>
    <w:rsid w:val="0091275A"/>
    <w:rsid w:val="00912CAB"/>
    <w:rsid w:val="00912F1D"/>
    <w:rsid w:val="009132FE"/>
    <w:rsid w:val="009137E6"/>
    <w:rsid w:val="00913B5D"/>
    <w:rsid w:val="00913E6F"/>
    <w:rsid w:val="009142BE"/>
    <w:rsid w:val="00914740"/>
    <w:rsid w:val="00914A89"/>
    <w:rsid w:val="00914DA3"/>
    <w:rsid w:val="00915213"/>
    <w:rsid w:val="009157C4"/>
    <w:rsid w:val="0091580F"/>
    <w:rsid w:val="00916964"/>
    <w:rsid w:val="00916B66"/>
    <w:rsid w:val="00916F58"/>
    <w:rsid w:val="00916F8B"/>
    <w:rsid w:val="00920C4D"/>
    <w:rsid w:val="009224A5"/>
    <w:rsid w:val="00923BA7"/>
    <w:rsid w:val="00924016"/>
    <w:rsid w:val="00924B5D"/>
    <w:rsid w:val="009256A5"/>
    <w:rsid w:val="00926373"/>
    <w:rsid w:val="00926992"/>
    <w:rsid w:val="009270C8"/>
    <w:rsid w:val="0092747E"/>
    <w:rsid w:val="0092763F"/>
    <w:rsid w:val="00930D35"/>
    <w:rsid w:val="00930F7D"/>
    <w:rsid w:val="00932AD5"/>
    <w:rsid w:val="00932F4D"/>
    <w:rsid w:val="0093363B"/>
    <w:rsid w:val="00933850"/>
    <w:rsid w:val="0093592D"/>
    <w:rsid w:val="00935B19"/>
    <w:rsid w:val="00936286"/>
    <w:rsid w:val="009362E5"/>
    <w:rsid w:val="009375AD"/>
    <w:rsid w:val="0093797E"/>
    <w:rsid w:val="00937EAA"/>
    <w:rsid w:val="0094051E"/>
    <w:rsid w:val="00940AEF"/>
    <w:rsid w:val="00940C86"/>
    <w:rsid w:val="00940D3C"/>
    <w:rsid w:val="00940E9C"/>
    <w:rsid w:val="009410E8"/>
    <w:rsid w:val="009417EF"/>
    <w:rsid w:val="009427A1"/>
    <w:rsid w:val="00942A63"/>
    <w:rsid w:val="00942BBF"/>
    <w:rsid w:val="00942CBF"/>
    <w:rsid w:val="00943CCC"/>
    <w:rsid w:val="009448A4"/>
    <w:rsid w:val="009449C7"/>
    <w:rsid w:val="00944F5A"/>
    <w:rsid w:val="00945E2C"/>
    <w:rsid w:val="00946687"/>
    <w:rsid w:val="00946AA7"/>
    <w:rsid w:val="0095021B"/>
    <w:rsid w:val="00950271"/>
    <w:rsid w:val="0095056F"/>
    <w:rsid w:val="00950910"/>
    <w:rsid w:val="00951A31"/>
    <w:rsid w:val="0095211A"/>
    <w:rsid w:val="009526F2"/>
    <w:rsid w:val="0095365C"/>
    <w:rsid w:val="0095491F"/>
    <w:rsid w:val="00954A1A"/>
    <w:rsid w:val="00955D41"/>
    <w:rsid w:val="0095761C"/>
    <w:rsid w:val="00957665"/>
    <w:rsid w:val="00957751"/>
    <w:rsid w:val="00957E56"/>
    <w:rsid w:val="00957F7A"/>
    <w:rsid w:val="009602E2"/>
    <w:rsid w:val="00960720"/>
    <w:rsid w:val="0096139B"/>
    <w:rsid w:val="00961CB1"/>
    <w:rsid w:val="00961F73"/>
    <w:rsid w:val="00962300"/>
    <w:rsid w:val="009625A1"/>
    <w:rsid w:val="00962A12"/>
    <w:rsid w:val="00962EFE"/>
    <w:rsid w:val="009645E7"/>
    <w:rsid w:val="009653EC"/>
    <w:rsid w:val="00965CA2"/>
    <w:rsid w:val="00966B8E"/>
    <w:rsid w:val="00966DE9"/>
    <w:rsid w:val="009677B8"/>
    <w:rsid w:val="00967CC8"/>
    <w:rsid w:val="00970CDB"/>
    <w:rsid w:val="00972017"/>
    <w:rsid w:val="00972D61"/>
    <w:rsid w:val="00973F96"/>
    <w:rsid w:val="00974317"/>
    <w:rsid w:val="00974BBA"/>
    <w:rsid w:val="0097568E"/>
    <w:rsid w:val="00975A68"/>
    <w:rsid w:val="00975E77"/>
    <w:rsid w:val="009766A1"/>
    <w:rsid w:val="0097679A"/>
    <w:rsid w:val="009767F8"/>
    <w:rsid w:val="0097680A"/>
    <w:rsid w:val="00977B50"/>
    <w:rsid w:val="00980241"/>
    <w:rsid w:val="009803C3"/>
    <w:rsid w:val="00980CAE"/>
    <w:rsid w:val="00981261"/>
    <w:rsid w:val="00981BC5"/>
    <w:rsid w:val="009823A5"/>
    <w:rsid w:val="0098270E"/>
    <w:rsid w:val="00982BE7"/>
    <w:rsid w:val="00982FFE"/>
    <w:rsid w:val="00983BA4"/>
    <w:rsid w:val="009843BC"/>
    <w:rsid w:val="00985504"/>
    <w:rsid w:val="00986A47"/>
    <w:rsid w:val="00986DBD"/>
    <w:rsid w:val="009877D8"/>
    <w:rsid w:val="00987F0B"/>
    <w:rsid w:val="00990442"/>
    <w:rsid w:val="00990C16"/>
    <w:rsid w:val="00991131"/>
    <w:rsid w:val="00992EDD"/>
    <w:rsid w:val="00993B3A"/>
    <w:rsid w:val="009942E8"/>
    <w:rsid w:val="00995DC0"/>
    <w:rsid w:val="00996D0F"/>
    <w:rsid w:val="00996FB7"/>
    <w:rsid w:val="0099704A"/>
    <w:rsid w:val="00997A90"/>
    <w:rsid w:val="00997D6F"/>
    <w:rsid w:val="009A038A"/>
    <w:rsid w:val="009A08CB"/>
    <w:rsid w:val="009A0D5F"/>
    <w:rsid w:val="009A0D7F"/>
    <w:rsid w:val="009A1335"/>
    <w:rsid w:val="009A1717"/>
    <w:rsid w:val="009A2BEF"/>
    <w:rsid w:val="009A2C45"/>
    <w:rsid w:val="009A2D22"/>
    <w:rsid w:val="009A2F37"/>
    <w:rsid w:val="009A3015"/>
    <w:rsid w:val="009A32E8"/>
    <w:rsid w:val="009A3FF8"/>
    <w:rsid w:val="009A408F"/>
    <w:rsid w:val="009A48D6"/>
    <w:rsid w:val="009A4CD7"/>
    <w:rsid w:val="009A507F"/>
    <w:rsid w:val="009A58AF"/>
    <w:rsid w:val="009A5D8F"/>
    <w:rsid w:val="009A5DC8"/>
    <w:rsid w:val="009A652E"/>
    <w:rsid w:val="009A7053"/>
    <w:rsid w:val="009A713C"/>
    <w:rsid w:val="009A739D"/>
    <w:rsid w:val="009A7A2E"/>
    <w:rsid w:val="009B12C5"/>
    <w:rsid w:val="009B1310"/>
    <w:rsid w:val="009B14B6"/>
    <w:rsid w:val="009B2670"/>
    <w:rsid w:val="009B370F"/>
    <w:rsid w:val="009B447A"/>
    <w:rsid w:val="009B4A37"/>
    <w:rsid w:val="009B4EF8"/>
    <w:rsid w:val="009B4F05"/>
    <w:rsid w:val="009B5AF4"/>
    <w:rsid w:val="009B7070"/>
    <w:rsid w:val="009B7A48"/>
    <w:rsid w:val="009C088B"/>
    <w:rsid w:val="009C0AAA"/>
    <w:rsid w:val="009C0F4C"/>
    <w:rsid w:val="009C14EE"/>
    <w:rsid w:val="009C1BB9"/>
    <w:rsid w:val="009C210D"/>
    <w:rsid w:val="009C2722"/>
    <w:rsid w:val="009C29F1"/>
    <w:rsid w:val="009C3773"/>
    <w:rsid w:val="009C3EAE"/>
    <w:rsid w:val="009C48F8"/>
    <w:rsid w:val="009C598F"/>
    <w:rsid w:val="009C5A11"/>
    <w:rsid w:val="009C6C13"/>
    <w:rsid w:val="009C710A"/>
    <w:rsid w:val="009C7508"/>
    <w:rsid w:val="009C7CC2"/>
    <w:rsid w:val="009D00F5"/>
    <w:rsid w:val="009D053B"/>
    <w:rsid w:val="009D0B81"/>
    <w:rsid w:val="009D20FC"/>
    <w:rsid w:val="009D2989"/>
    <w:rsid w:val="009D29EA"/>
    <w:rsid w:val="009D2C87"/>
    <w:rsid w:val="009D2E68"/>
    <w:rsid w:val="009D34C8"/>
    <w:rsid w:val="009D3854"/>
    <w:rsid w:val="009D394B"/>
    <w:rsid w:val="009D395E"/>
    <w:rsid w:val="009D3998"/>
    <w:rsid w:val="009D4951"/>
    <w:rsid w:val="009D5094"/>
    <w:rsid w:val="009D58D6"/>
    <w:rsid w:val="009D61A6"/>
    <w:rsid w:val="009D6DB5"/>
    <w:rsid w:val="009D6F86"/>
    <w:rsid w:val="009D7033"/>
    <w:rsid w:val="009D7B22"/>
    <w:rsid w:val="009D7F79"/>
    <w:rsid w:val="009E0680"/>
    <w:rsid w:val="009E0DB7"/>
    <w:rsid w:val="009E0E90"/>
    <w:rsid w:val="009E13F2"/>
    <w:rsid w:val="009E18CC"/>
    <w:rsid w:val="009E1C80"/>
    <w:rsid w:val="009E31EE"/>
    <w:rsid w:val="009E3E43"/>
    <w:rsid w:val="009E463D"/>
    <w:rsid w:val="009E4A75"/>
    <w:rsid w:val="009E4D36"/>
    <w:rsid w:val="009E5A63"/>
    <w:rsid w:val="009E77A6"/>
    <w:rsid w:val="009E798F"/>
    <w:rsid w:val="009F005B"/>
    <w:rsid w:val="009F023E"/>
    <w:rsid w:val="009F0385"/>
    <w:rsid w:val="009F03E0"/>
    <w:rsid w:val="009F05B8"/>
    <w:rsid w:val="009F0815"/>
    <w:rsid w:val="009F16B0"/>
    <w:rsid w:val="009F209A"/>
    <w:rsid w:val="009F22FC"/>
    <w:rsid w:val="009F2664"/>
    <w:rsid w:val="009F2DC1"/>
    <w:rsid w:val="009F2EDF"/>
    <w:rsid w:val="009F360F"/>
    <w:rsid w:val="009F3921"/>
    <w:rsid w:val="009F3A67"/>
    <w:rsid w:val="009F5541"/>
    <w:rsid w:val="009F5966"/>
    <w:rsid w:val="009F6077"/>
    <w:rsid w:val="009F6372"/>
    <w:rsid w:val="009F63BC"/>
    <w:rsid w:val="009F6840"/>
    <w:rsid w:val="009F77F3"/>
    <w:rsid w:val="009F7AA2"/>
    <w:rsid w:val="009F7D34"/>
    <w:rsid w:val="009F7D9E"/>
    <w:rsid w:val="00A00CCF"/>
    <w:rsid w:val="00A01005"/>
    <w:rsid w:val="00A01834"/>
    <w:rsid w:val="00A01904"/>
    <w:rsid w:val="00A03195"/>
    <w:rsid w:val="00A0332E"/>
    <w:rsid w:val="00A03356"/>
    <w:rsid w:val="00A0513B"/>
    <w:rsid w:val="00A0532F"/>
    <w:rsid w:val="00A0596F"/>
    <w:rsid w:val="00A06F36"/>
    <w:rsid w:val="00A10169"/>
    <w:rsid w:val="00A10297"/>
    <w:rsid w:val="00A11375"/>
    <w:rsid w:val="00A1163F"/>
    <w:rsid w:val="00A11661"/>
    <w:rsid w:val="00A119CF"/>
    <w:rsid w:val="00A11C03"/>
    <w:rsid w:val="00A11E3B"/>
    <w:rsid w:val="00A12732"/>
    <w:rsid w:val="00A14A7B"/>
    <w:rsid w:val="00A14C35"/>
    <w:rsid w:val="00A14CA1"/>
    <w:rsid w:val="00A14FB9"/>
    <w:rsid w:val="00A15036"/>
    <w:rsid w:val="00A1520F"/>
    <w:rsid w:val="00A15671"/>
    <w:rsid w:val="00A15A6F"/>
    <w:rsid w:val="00A162AB"/>
    <w:rsid w:val="00A1782C"/>
    <w:rsid w:val="00A17835"/>
    <w:rsid w:val="00A17AB3"/>
    <w:rsid w:val="00A20372"/>
    <w:rsid w:val="00A21347"/>
    <w:rsid w:val="00A21465"/>
    <w:rsid w:val="00A217B7"/>
    <w:rsid w:val="00A21ADB"/>
    <w:rsid w:val="00A23191"/>
    <w:rsid w:val="00A234AF"/>
    <w:rsid w:val="00A23536"/>
    <w:rsid w:val="00A23924"/>
    <w:rsid w:val="00A23936"/>
    <w:rsid w:val="00A24A7D"/>
    <w:rsid w:val="00A2524F"/>
    <w:rsid w:val="00A265C2"/>
    <w:rsid w:val="00A2668C"/>
    <w:rsid w:val="00A26A13"/>
    <w:rsid w:val="00A27AA0"/>
    <w:rsid w:val="00A27C0D"/>
    <w:rsid w:val="00A30233"/>
    <w:rsid w:val="00A305CE"/>
    <w:rsid w:val="00A30655"/>
    <w:rsid w:val="00A306A3"/>
    <w:rsid w:val="00A30921"/>
    <w:rsid w:val="00A30E55"/>
    <w:rsid w:val="00A31424"/>
    <w:rsid w:val="00A31EC5"/>
    <w:rsid w:val="00A32860"/>
    <w:rsid w:val="00A32FCA"/>
    <w:rsid w:val="00A338C9"/>
    <w:rsid w:val="00A33DBD"/>
    <w:rsid w:val="00A33FE6"/>
    <w:rsid w:val="00A34571"/>
    <w:rsid w:val="00A346EB"/>
    <w:rsid w:val="00A34FCC"/>
    <w:rsid w:val="00A3502C"/>
    <w:rsid w:val="00A3523C"/>
    <w:rsid w:val="00A35940"/>
    <w:rsid w:val="00A35A9E"/>
    <w:rsid w:val="00A35C55"/>
    <w:rsid w:val="00A36E1B"/>
    <w:rsid w:val="00A36F09"/>
    <w:rsid w:val="00A3702D"/>
    <w:rsid w:val="00A37625"/>
    <w:rsid w:val="00A406CB"/>
    <w:rsid w:val="00A40B69"/>
    <w:rsid w:val="00A40DAC"/>
    <w:rsid w:val="00A412F3"/>
    <w:rsid w:val="00A41B4A"/>
    <w:rsid w:val="00A41FC9"/>
    <w:rsid w:val="00A4205D"/>
    <w:rsid w:val="00A4269A"/>
    <w:rsid w:val="00A42848"/>
    <w:rsid w:val="00A428F4"/>
    <w:rsid w:val="00A43804"/>
    <w:rsid w:val="00A43C52"/>
    <w:rsid w:val="00A45E5D"/>
    <w:rsid w:val="00A4693D"/>
    <w:rsid w:val="00A4748A"/>
    <w:rsid w:val="00A50175"/>
    <w:rsid w:val="00A50305"/>
    <w:rsid w:val="00A50803"/>
    <w:rsid w:val="00A517BF"/>
    <w:rsid w:val="00A51A88"/>
    <w:rsid w:val="00A51D23"/>
    <w:rsid w:val="00A51E22"/>
    <w:rsid w:val="00A52913"/>
    <w:rsid w:val="00A52C8F"/>
    <w:rsid w:val="00A539C0"/>
    <w:rsid w:val="00A53C40"/>
    <w:rsid w:val="00A53C54"/>
    <w:rsid w:val="00A5470D"/>
    <w:rsid w:val="00A54959"/>
    <w:rsid w:val="00A549A3"/>
    <w:rsid w:val="00A57D18"/>
    <w:rsid w:val="00A57E04"/>
    <w:rsid w:val="00A57E34"/>
    <w:rsid w:val="00A57EEB"/>
    <w:rsid w:val="00A617BD"/>
    <w:rsid w:val="00A62316"/>
    <w:rsid w:val="00A631EB"/>
    <w:rsid w:val="00A63300"/>
    <w:rsid w:val="00A634EB"/>
    <w:rsid w:val="00A64DA0"/>
    <w:rsid w:val="00A64DCA"/>
    <w:rsid w:val="00A64E8E"/>
    <w:rsid w:val="00A65E75"/>
    <w:rsid w:val="00A663EA"/>
    <w:rsid w:val="00A669CA"/>
    <w:rsid w:val="00A66C8A"/>
    <w:rsid w:val="00A66F97"/>
    <w:rsid w:val="00A70AC8"/>
    <w:rsid w:val="00A713E4"/>
    <w:rsid w:val="00A7161B"/>
    <w:rsid w:val="00A71EDA"/>
    <w:rsid w:val="00A7239F"/>
    <w:rsid w:val="00A72A6C"/>
    <w:rsid w:val="00A73568"/>
    <w:rsid w:val="00A73DD1"/>
    <w:rsid w:val="00A73F98"/>
    <w:rsid w:val="00A743B3"/>
    <w:rsid w:val="00A7458A"/>
    <w:rsid w:val="00A74BE4"/>
    <w:rsid w:val="00A75CA5"/>
    <w:rsid w:val="00A76D66"/>
    <w:rsid w:val="00A7710B"/>
    <w:rsid w:val="00A77433"/>
    <w:rsid w:val="00A77510"/>
    <w:rsid w:val="00A777AE"/>
    <w:rsid w:val="00A77C32"/>
    <w:rsid w:val="00A80C8F"/>
    <w:rsid w:val="00A8115F"/>
    <w:rsid w:val="00A8116A"/>
    <w:rsid w:val="00A819A2"/>
    <w:rsid w:val="00A81C47"/>
    <w:rsid w:val="00A82ABA"/>
    <w:rsid w:val="00A83886"/>
    <w:rsid w:val="00A844CF"/>
    <w:rsid w:val="00A8503D"/>
    <w:rsid w:val="00A8557D"/>
    <w:rsid w:val="00A8582E"/>
    <w:rsid w:val="00A85BD2"/>
    <w:rsid w:val="00A87DBF"/>
    <w:rsid w:val="00A87F61"/>
    <w:rsid w:val="00A903C8"/>
    <w:rsid w:val="00A90D56"/>
    <w:rsid w:val="00A921B2"/>
    <w:rsid w:val="00A934FD"/>
    <w:rsid w:val="00A93CFF"/>
    <w:rsid w:val="00A9409B"/>
    <w:rsid w:val="00A94276"/>
    <w:rsid w:val="00A94364"/>
    <w:rsid w:val="00A94A16"/>
    <w:rsid w:val="00A969B2"/>
    <w:rsid w:val="00A971E5"/>
    <w:rsid w:val="00A9791D"/>
    <w:rsid w:val="00A97C8A"/>
    <w:rsid w:val="00AA032C"/>
    <w:rsid w:val="00AA05A7"/>
    <w:rsid w:val="00AA05FB"/>
    <w:rsid w:val="00AA0A66"/>
    <w:rsid w:val="00AA129D"/>
    <w:rsid w:val="00AA1621"/>
    <w:rsid w:val="00AA1EF7"/>
    <w:rsid w:val="00AA26EB"/>
    <w:rsid w:val="00AA276C"/>
    <w:rsid w:val="00AA3569"/>
    <w:rsid w:val="00AA5056"/>
    <w:rsid w:val="00AA5949"/>
    <w:rsid w:val="00AA5B47"/>
    <w:rsid w:val="00AA6197"/>
    <w:rsid w:val="00AA6A60"/>
    <w:rsid w:val="00AA6E8D"/>
    <w:rsid w:val="00AB03E0"/>
    <w:rsid w:val="00AB0458"/>
    <w:rsid w:val="00AB06AD"/>
    <w:rsid w:val="00AB1440"/>
    <w:rsid w:val="00AB1CF0"/>
    <w:rsid w:val="00AB32C6"/>
    <w:rsid w:val="00AB4536"/>
    <w:rsid w:val="00AB58C8"/>
    <w:rsid w:val="00AB5903"/>
    <w:rsid w:val="00AB5A35"/>
    <w:rsid w:val="00AB61A1"/>
    <w:rsid w:val="00AB626A"/>
    <w:rsid w:val="00AB62D9"/>
    <w:rsid w:val="00AB6B1B"/>
    <w:rsid w:val="00AB73C0"/>
    <w:rsid w:val="00AB77F6"/>
    <w:rsid w:val="00AB7A6C"/>
    <w:rsid w:val="00AC0AC9"/>
    <w:rsid w:val="00AC0EC1"/>
    <w:rsid w:val="00AC1DE2"/>
    <w:rsid w:val="00AC2537"/>
    <w:rsid w:val="00AC2F17"/>
    <w:rsid w:val="00AC3349"/>
    <w:rsid w:val="00AC34CD"/>
    <w:rsid w:val="00AC39C4"/>
    <w:rsid w:val="00AC41DF"/>
    <w:rsid w:val="00AC4BEB"/>
    <w:rsid w:val="00AC577D"/>
    <w:rsid w:val="00AC5B54"/>
    <w:rsid w:val="00AC6183"/>
    <w:rsid w:val="00AC668F"/>
    <w:rsid w:val="00AC66FC"/>
    <w:rsid w:val="00AC6714"/>
    <w:rsid w:val="00AC68D1"/>
    <w:rsid w:val="00AC7E02"/>
    <w:rsid w:val="00AC7FB2"/>
    <w:rsid w:val="00AD0880"/>
    <w:rsid w:val="00AD0ADC"/>
    <w:rsid w:val="00AD0DBF"/>
    <w:rsid w:val="00AD157F"/>
    <w:rsid w:val="00AD1CDA"/>
    <w:rsid w:val="00AD2528"/>
    <w:rsid w:val="00AD3190"/>
    <w:rsid w:val="00AD455A"/>
    <w:rsid w:val="00AD45E8"/>
    <w:rsid w:val="00AD4A0F"/>
    <w:rsid w:val="00AD4B0D"/>
    <w:rsid w:val="00AD4FE8"/>
    <w:rsid w:val="00AD5A5C"/>
    <w:rsid w:val="00AD5F60"/>
    <w:rsid w:val="00AD6866"/>
    <w:rsid w:val="00AD765C"/>
    <w:rsid w:val="00AE0729"/>
    <w:rsid w:val="00AE0BDD"/>
    <w:rsid w:val="00AE17A5"/>
    <w:rsid w:val="00AE196A"/>
    <w:rsid w:val="00AE3085"/>
    <w:rsid w:val="00AE365E"/>
    <w:rsid w:val="00AE3982"/>
    <w:rsid w:val="00AE4618"/>
    <w:rsid w:val="00AE531D"/>
    <w:rsid w:val="00AE5E7B"/>
    <w:rsid w:val="00AE65DF"/>
    <w:rsid w:val="00AE6D07"/>
    <w:rsid w:val="00AE6DF1"/>
    <w:rsid w:val="00AE6E52"/>
    <w:rsid w:val="00AE7AFD"/>
    <w:rsid w:val="00AF0058"/>
    <w:rsid w:val="00AF0453"/>
    <w:rsid w:val="00AF0718"/>
    <w:rsid w:val="00AF199A"/>
    <w:rsid w:val="00AF228C"/>
    <w:rsid w:val="00AF30D7"/>
    <w:rsid w:val="00AF38CC"/>
    <w:rsid w:val="00AF451C"/>
    <w:rsid w:val="00AF4A48"/>
    <w:rsid w:val="00AF4E0A"/>
    <w:rsid w:val="00AF518C"/>
    <w:rsid w:val="00AF5D0D"/>
    <w:rsid w:val="00AF6492"/>
    <w:rsid w:val="00AF6BDE"/>
    <w:rsid w:val="00AF76D7"/>
    <w:rsid w:val="00AF7E9C"/>
    <w:rsid w:val="00B015C6"/>
    <w:rsid w:val="00B01A46"/>
    <w:rsid w:val="00B020E5"/>
    <w:rsid w:val="00B02ADB"/>
    <w:rsid w:val="00B0389A"/>
    <w:rsid w:val="00B044F5"/>
    <w:rsid w:val="00B04EDA"/>
    <w:rsid w:val="00B04F0F"/>
    <w:rsid w:val="00B05BB7"/>
    <w:rsid w:val="00B061CF"/>
    <w:rsid w:val="00B0710F"/>
    <w:rsid w:val="00B07C14"/>
    <w:rsid w:val="00B11B4E"/>
    <w:rsid w:val="00B11C9F"/>
    <w:rsid w:val="00B1287A"/>
    <w:rsid w:val="00B13432"/>
    <w:rsid w:val="00B136FF"/>
    <w:rsid w:val="00B13812"/>
    <w:rsid w:val="00B14574"/>
    <w:rsid w:val="00B14658"/>
    <w:rsid w:val="00B14B92"/>
    <w:rsid w:val="00B14FBC"/>
    <w:rsid w:val="00B156B7"/>
    <w:rsid w:val="00B1572F"/>
    <w:rsid w:val="00B165A4"/>
    <w:rsid w:val="00B1662B"/>
    <w:rsid w:val="00B17952"/>
    <w:rsid w:val="00B17B77"/>
    <w:rsid w:val="00B203AE"/>
    <w:rsid w:val="00B20F96"/>
    <w:rsid w:val="00B212B7"/>
    <w:rsid w:val="00B21775"/>
    <w:rsid w:val="00B217B0"/>
    <w:rsid w:val="00B2180F"/>
    <w:rsid w:val="00B21D00"/>
    <w:rsid w:val="00B22BA6"/>
    <w:rsid w:val="00B22DF4"/>
    <w:rsid w:val="00B234B5"/>
    <w:rsid w:val="00B23683"/>
    <w:rsid w:val="00B23AB6"/>
    <w:rsid w:val="00B23AD6"/>
    <w:rsid w:val="00B240D4"/>
    <w:rsid w:val="00B24228"/>
    <w:rsid w:val="00B25330"/>
    <w:rsid w:val="00B255BA"/>
    <w:rsid w:val="00B25694"/>
    <w:rsid w:val="00B256A4"/>
    <w:rsid w:val="00B256D3"/>
    <w:rsid w:val="00B25927"/>
    <w:rsid w:val="00B261C6"/>
    <w:rsid w:val="00B26E5C"/>
    <w:rsid w:val="00B276BF"/>
    <w:rsid w:val="00B30458"/>
    <w:rsid w:val="00B30AE4"/>
    <w:rsid w:val="00B30EF2"/>
    <w:rsid w:val="00B31B2D"/>
    <w:rsid w:val="00B32578"/>
    <w:rsid w:val="00B32EB5"/>
    <w:rsid w:val="00B33305"/>
    <w:rsid w:val="00B334A4"/>
    <w:rsid w:val="00B3358E"/>
    <w:rsid w:val="00B33816"/>
    <w:rsid w:val="00B34136"/>
    <w:rsid w:val="00B34FCD"/>
    <w:rsid w:val="00B350A8"/>
    <w:rsid w:val="00B355C7"/>
    <w:rsid w:val="00B36360"/>
    <w:rsid w:val="00B36436"/>
    <w:rsid w:val="00B3702F"/>
    <w:rsid w:val="00B37454"/>
    <w:rsid w:val="00B3765E"/>
    <w:rsid w:val="00B4031B"/>
    <w:rsid w:val="00B41DE5"/>
    <w:rsid w:val="00B4223A"/>
    <w:rsid w:val="00B431FB"/>
    <w:rsid w:val="00B4360E"/>
    <w:rsid w:val="00B4387B"/>
    <w:rsid w:val="00B4396A"/>
    <w:rsid w:val="00B43CDD"/>
    <w:rsid w:val="00B43E4C"/>
    <w:rsid w:val="00B44409"/>
    <w:rsid w:val="00B44794"/>
    <w:rsid w:val="00B44979"/>
    <w:rsid w:val="00B45098"/>
    <w:rsid w:val="00B453FE"/>
    <w:rsid w:val="00B45641"/>
    <w:rsid w:val="00B45A6B"/>
    <w:rsid w:val="00B45EEC"/>
    <w:rsid w:val="00B45F6B"/>
    <w:rsid w:val="00B460F6"/>
    <w:rsid w:val="00B4675A"/>
    <w:rsid w:val="00B46793"/>
    <w:rsid w:val="00B46C4E"/>
    <w:rsid w:val="00B46F69"/>
    <w:rsid w:val="00B47780"/>
    <w:rsid w:val="00B47A16"/>
    <w:rsid w:val="00B502DF"/>
    <w:rsid w:val="00B5068D"/>
    <w:rsid w:val="00B5076B"/>
    <w:rsid w:val="00B50C2B"/>
    <w:rsid w:val="00B50E4B"/>
    <w:rsid w:val="00B51559"/>
    <w:rsid w:val="00B52A0D"/>
    <w:rsid w:val="00B52C22"/>
    <w:rsid w:val="00B52FB3"/>
    <w:rsid w:val="00B54CE4"/>
    <w:rsid w:val="00B5547D"/>
    <w:rsid w:val="00B556BB"/>
    <w:rsid w:val="00B55783"/>
    <w:rsid w:val="00B5595B"/>
    <w:rsid w:val="00B562D9"/>
    <w:rsid w:val="00B5648F"/>
    <w:rsid w:val="00B5694F"/>
    <w:rsid w:val="00B56E3D"/>
    <w:rsid w:val="00B571EE"/>
    <w:rsid w:val="00B574AD"/>
    <w:rsid w:val="00B578B0"/>
    <w:rsid w:val="00B604C1"/>
    <w:rsid w:val="00B604E8"/>
    <w:rsid w:val="00B609CA"/>
    <w:rsid w:val="00B60C5D"/>
    <w:rsid w:val="00B60DB2"/>
    <w:rsid w:val="00B61DBA"/>
    <w:rsid w:val="00B6219F"/>
    <w:rsid w:val="00B625FA"/>
    <w:rsid w:val="00B6285A"/>
    <w:rsid w:val="00B64AB9"/>
    <w:rsid w:val="00B66220"/>
    <w:rsid w:val="00B66316"/>
    <w:rsid w:val="00B66D38"/>
    <w:rsid w:val="00B66EB6"/>
    <w:rsid w:val="00B672EF"/>
    <w:rsid w:val="00B67459"/>
    <w:rsid w:val="00B67B1B"/>
    <w:rsid w:val="00B67E89"/>
    <w:rsid w:val="00B70964"/>
    <w:rsid w:val="00B72D54"/>
    <w:rsid w:val="00B7318F"/>
    <w:rsid w:val="00B7465A"/>
    <w:rsid w:val="00B74A67"/>
    <w:rsid w:val="00B7512B"/>
    <w:rsid w:val="00B7577A"/>
    <w:rsid w:val="00B75EE6"/>
    <w:rsid w:val="00B761B0"/>
    <w:rsid w:val="00B764FC"/>
    <w:rsid w:val="00B7678C"/>
    <w:rsid w:val="00B76A89"/>
    <w:rsid w:val="00B774AD"/>
    <w:rsid w:val="00B77C86"/>
    <w:rsid w:val="00B80143"/>
    <w:rsid w:val="00B80512"/>
    <w:rsid w:val="00B80B02"/>
    <w:rsid w:val="00B80F26"/>
    <w:rsid w:val="00B81BF8"/>
    <w:rsid w:val="00B823E0"/>
    <w:rsid w:val="00B82551"/>
    <w:rsid w:val="00B82570"/>
    <w:rsid w:val="00B82E90"/>
    <w:rsid w:val="00B8351F"/>
    <w:rsid w:val="00B84636"/>
    <w:rsid w:val="00B8498F"/>
    <w:rsid w:val="00B87B71"/>
    <w:rsid w:val="00B87E3B"/>
    <w:rsid w:val="00B904BA"/>
    <w:rsid w:val="00B90F19"/>
    <w:rsid w:val="00B9215C"/>
    <w:rsid w:val="00B92B8B"/>
    <w:rsid w:val="00B92D2D"/>
    <w:rsid w:val="00B93C6F"/>
    <w:rsid w:val="00B95729"/>
    <w:rsid w:val="00B957F9"/>
    <w:rsid w:val="00B967B9"/>
    <w:rsid w:val="00B96DD2"/>
    <w:rsid w:val="00B97874"/>
    <w:rsid w:val="00B978BC"/>
    <w:rsid w:val="00B9794A"/>
    <w:rsid w:val="00B97B9F"/>
    <w:rsid w:val="00B97D45"/>
    <w:rsid w:val="00B97D9A"/>
    <w:rsid w:val="00BA00AB"/>
    <w:rsid w:val="00BA00B9"/>
    <w:rsid w:val="00BA0B0E"/>
    <w:rsid w:val="00BA0C62"/>
    <w:rsid w:val="00BA1713"/>
    <w:rsid w:val="00BA18A7"/>
    <w:rsid w:val="00BA1987"/>
    <w:rsid w:val="00BA19C0"/>
    <w:rsid w:val="00BA1D37"/>
    <w:rsid w:val="00BA1F68"/>
    <w:rsid w:val="00BA4601"/>
    <w:rsid w:val="00BA46F6"/>
    <w:rsid w:val="00BA4812"/>
    <w:rsid w:val="00BA4EC3"/>
    <w:rsid w:val="00BA548D"/>
    <w:rsid w:val="00BA5C62"/>
    <w:rsid w:val="00BA5CD8"/>
    <w:rsid w:val="00BB0BD8"/>
    <w:rsid w:val="00BB0E0D"/>
    <w:rsid w:val="00BB10D3"/>
    <w:rsid w:val="00BB1922"/>
    <w:rsid w:val="00BB1972"/>
    <w:rsid w:val="00BB21F9"/>
    <w:rsid w:val="00BB2496"/>
    <w:rsid w:val="00BB2948"/>
    <w:rsid w:val="00BB3720"/>
    <w:rsid w:val="00BB37F6"/>
    <w:rsid w:val="00BB3C6D"/>
    <w:rsid w:val="00BB43A9"/>
    <w:rsid w:val="00BB4657"/>
    <w:rsid w:val="00BB47E6"/>
    <w:rsid w:val="00BB4AD0"/>
    <w:rsid w:val="00BB526D"/>
    <w:rsid w:val="00BB5B94"/>
    <w:rsid w:val="00BB71B9"/>
    <w:rsid w:val="00BB7E1C"/>
    <w:rsid w:val="00BC1C3C"/>
    <w:rsid w:val="00BC26C6"/>
    <w:rsid w:val="00BC2B5C"/>
    <w:rsid w:val="00BC343E"/>
    <w:rsid w:val="00BC3565"/>
    <w:rsid w:val="00BC3B08"/>
    <w:rsid w:val="00BC4A87"/>
    <w:rsid w:val="00BC5779"/>
    <w:rsid w:val="00BC577D"/>
    <w:rsid w:val="00BC6149"/>
    <w:rsid w:val="00BC6246"/>
    <w:rsid w:val="00BC627F"/>
    <w:rsid w:val="00BC6651"/>
    <w:rsid w:val="00BC6825"/>
    <w:rsid w:val="00BC6BCF"/>
    <w:rsid w:val="00BC7453"/>
    <w:rsid w:val="00BC7ED9"/>
    <w:rsid w:val="00BC7F0A"/>
    <w:rsid w:val="00BD06A7"/>
    <w:rsid w:val="00BD0BCA"/>
    <w:rsid w:val="00BD103F"/>
    <w:rsid w:val="00BD17D9"/>
    <w:rsid w:val="00BD1B72"/>
    <w:rsid w:val="00BD21A4"/>
    <w:rsid w:val="00BD2666"/>
    <w:rsid w:val="00BD2730"/>
    <w:rsid w:val="00BD2817"/>
    <w:rsid w:val="00BD38F1"/>
    <w:rsid w:val="00BD418F"/>
    <w:rsid w:val="00BD453D"/>
    <w:rsid w:val="00BD4541"/>
    <w:rsid w:val="00BD4F96"/>
    <w:rsid w:val="00BD52FF"/>
    <w:rsid w:val="00BD5499"/>
    <w:rsid w:val="00BD55AF"/>
    <w:rsid w:val="00BD5790"/>
    <w:rsid w:val="00BD6272"/>
    <w:rsid w:val="00BD76F5"/>
    <w:rsid w:val="00BD782B"/>
    <w:rsid w:val="00BE025D"/>
    <w:rsid w:val="00BE07B2"/>
    <w:rsid w:val="00BE089D"/>
    <w:rsid w:val="00BE0AEE"/>
    <w:rsid w:val="00BE1DA7"/>
    <w:rsid w:val="00BE24FF"/>
    <w:rsid w:val="00BE3017"/>
    <w:rsid w:val="00BE34B4"/>
    <w:rsid w:val="00BE38F0"/>
    <w:rsid w:val="00BE4766"/>
    <w:rsid w:val="00BE4C26"/>
    <w:rsid w:val="00BE4F08"/>
    <w:rsid w:val="00BE51FD"/>
    <w:rsid w:val="00BE62C8"/>
    <w:rsid w:val="00BE668E"/>
    <w:rsid w:val="00BE7088"/>
    <w:rsid w:val="00BE7DDE"/>
    <w:rsid w:val="00BF1A98"/>
    <w:rsid w:val="00BF2AF2"/>
    <w:rsid w:val="00BF424C"/>
    <w:rsid w:val="00BF42C5"/>
    <w:rsid w:val="00BF476E"/>
    <w:rsid w:val="00BF5785"/>
    <w:rsid w:val="00BF5822"/>
    <w:rsid w:val="00BF590A"/>
    <w:rsid w:val="00BF647C"/>
    <w:rsid w:val="00BF6D39"/>
    <w:rsid w:val="00C003AA"/>
    <w:rsid w:val="00C00F87"/>
    <w:rsid w:val="00C0117C"/>
    <w:rsid w:val="00C01205"/>
    <w:rsid w:val="00C01664"/>
    <w:rsid w:val="00C0184F"/>
    <w:rsid w:val="00C01A58"/>
    <w:rsid w:val="00C02783"/>
    <w:rsid w:val="00C02997"/>
    <w:rsid w:val="00C029F9"/>
    <w:rsid w:val="00C03026"/>
    <w:rsid w:val="00C03975"/>
    <w:rsid w:val="00C03D79"/>
    <w:rsid w:val="00C03E12"/>
    <w:rsid w:val="00C03F04"/>
    <w:rsid w:val="00C040D4"/>
    <w:rsid w:val="00C0445D"/>
    <w:rsid w:val="00C04B1C"/>
    <w:rsid w:val="00C0543D"/>
    <w:rsid w:val="00C05A18"/>
    <w:rsid w:val="00C068FF"/>
    <w:rsid w:val="00C06CEE"/>
    <w:rsid w:val="00C077A8"/>
    <w:rsid w:val="00C07876"/>
    <w:rsid w:val="00C1017B"/>
    <w:rsid w:val="00C102BE"/>
    <w:rsid w:val="00C10C88"/>
    <w:rsid w:val="00C118C5"/>
    <w:rsid w:val="00C11B99"/>
    <w:rsid w:val="00C12217"/>
    <w:rsid w:val="00C12EB9"/>
    <w:rsid w:val="00C12F1D"/>
    <w:rsid w:val="00C13C33"/>
    <w:rsid w:val="00C14259"/>
    <w:rsid w:val="00C146CF"/>
    <w:rsid w:val="00C14BD2"/>
    <w:rsid w:val="00C14D0A"/>
    <w:rsid w:val="00C155A7"/>
    <w:rsid w:val="00C15AC0"/>
    <w:rsid w:val="00C15BEF"/>
    <w:rsid w:val="00C1613F"/>
    <w:rsid w:val="00C1681A"/>
    <w:rsid w:val="00C16A57"/>
    <w:rsid w:val="00C16EB3"/>
    <w:rsid w:val="00C17CCD"/>
    <w:rsid w:val="00C203EF"/>
    <w:rsid w:val="00C209EE"/>
    <w:rsid w:val="00C21BE0"/>
    <w:rsid w:val="00C21DAA"/>
    <w:rsid w:val="00C22656"/>
    <w:rsid w:val="00C22BE0"/>
    <w:rsid w:val="00C232CF"/>
    <w:rsid w:val="00C232F3"/>
    <w:rsid w:val="00C23560"/>
    <w:rsid w:val="00C23FDF"/>
    <w:rsid w:val="00C24229"/>
    <w:rsid w:val="00C24889"/>
    <w:rsid w:val="00C248E4"/>
    <w:rsid w:val="00C24CA5"/>
    <w:rsid w:val="00C250D9"/>
    <w:rsid w:val="00C26A1C"/>
    <w:rsid w:val="00C26FBE"/>
    <w:rsid w:val="00C278E9"/>
    <w:rsid w:val="00C27941"/>
    <w:rsid w:val="00C27A52"/>
    <w:rsid w:val="00C27D38"/>
    <w:rsid w:val="00C314B4"/>
    <w:rsid w:val="00C31DFF"/>
    <w:rsid w:val="00C33B99"/>
    <w:rsid w:val="00C34814"/>
    <w:rsid w:val="00C3548E"/>
    <w:rsid w:val="00C357B0"/>
    <w:rsid w:val="00C375E5"/>
    <w:rsid w:val="00C40678"/>
    <w:rsid w:val="00C40E38"/>
    <w:rsid w:val="00C41691"/>
    <w:rsid w:val="00C41F27"/>
    <w:rsid w:val="00C4270F"/>
    <w:rsid w:val="00C42C13"/>
    <w:rsid w:val="00C43142"/>
    <w:rsid w:val="00C44436"/>
    <w:rsid w:val="00C44D88"/>
    <w:rsid w:val="00C44EE4"/>
    <w:rsid w:val="00C4524E"/>
    <w:rsid w:val="00C45610"/>
    <w:rsid w:val="00C45720"/>
    <w:rsid w:val="00C4592C"/>
    <w:rsid w:val="00C46963"/>
    <w:rsid w:val="00C46CD6"/>
    <w:rsid w:val="00C47859"/>
    <w:rsid w:val="00C47A76"/>
    <w:rsid w:val="00C50B5D"/>
    <w:rsid w:val="00C5136A"/>
    <w:rsid w:val="00C53D79"/>
    <w:rsid w:val="00C54292"/>
    <w:rsid w:val="00C542C3"/>
    <w:rsid w:val="00C54F9A"/>
    <w:rsid w:val="00C55580"/>
    <w:rsid w:val="00C5559E"/>
    <w:rsid w:val="00C55AA6"/>
    <w:rsid w:val="00C56278"/>
    <w:rsid w:val="00C56484"/>
    <w:rsid w:val="00C565A5"/>
    <w:rsid w:val="00C56A06"/>
    <w:rsid w:val="00C57350"/>
    <w:rsid w:val="00C60373"/>
    <w:rsid w:val="00C60E78"/>
    <w:rsid w:val="00C63791"/>
    <w:rsid w:val="00C63B54"/>
    <w:rsid w:val="00C63E35"/>
    <w:rsid w:val="00C64459"/>
    <w:rsid w:val="00C648A2"/>
    <w:rsid w:val="00C64D83"/>
    <w:rsid w:val="00C65164"/>
    <w:rsid w:val="00C653BA"/>
    <w:rsid w:val="00C65BAB"/>
    <w:rsid w:val="00C66190"/>
    <w:rsid w:val="00C6669B"/>
    <w:rsid w:val="00C7007B"/>
    <w:rsid w:val="00C70498"/>
    <w:rsid w:val="00C71178"/>
    <w:rsid w:val="00C71AC5"/>
    <w:rsid w:val="00C72CD6"/>
    <w:rsid w:val="00C731C8"/>
    <w:rsid w:val="00C73B39"/>
    <w:rsid w:val="00C748B2"/>
    <w:rsid w:val="00C74AE7"/>
    <w:rsid w:val="00C74ECB"/>
    <w:rsid w:val="00C75187"/>
    <w:rsid w:val="00C75937"/>
    <w:rsid w:val="00C75CCA"/>
    <w:rsid w:val="00C75DAE"/>
    <w:rsid w:val="00C77C8F"/>
    <w:rsid w:val="00C803EC"/>
    <w:rsid w:val="00C809BD"/>
    <w:rsid w:val="00C80DE1"/>
    <w:rsid w:val="00C80F5C"/>
    <w:rsid w:val="00C82669"/>
    <w:rsid w:val="00C826AA"/>
    <w:rsid w:val="00C82908"/>
    <w:rsid w:val="00C83191"/>
    <w:rsid w:val="00C834A4"/>
    <w:rsid w:val="00C844A7"/>
    <w:rsid w:val="00C847BF"/>
    <w:rsid w:val="00C87049"/>
    <w:rsid w:val="00C90087"/>
    <w:rsid w:val="00C91B3C"/>
    <w:rsid w:val="00C91FC4"/>
    <w:rsid w:val="00C932F3"/>
    <w:rsid w:val="00C93660"/>
    <w:rsid w:val="00C94B23"/>
    <w:rsid w:val="00C95245"/>
    <w:rsid w:val="00C961A2"/>
    <w:rsid w:val="00C97C4A"/>
    <w:rsid w:val="00CA072A"/>
    <w:rsid w:val="00CA1993"/>
    <w:rsid w:val="00CA1C4C"/>
    <w:rsid w:val="00CA24C1"/>
    <w:rsid w:val="00CA25B6"/>
    <w:rsid w:val="00CA265B"/>
    <w:rsid w:val="00CA28FD"/>
    <w:rsid w:val="00CA3209"/>
    <w:rsid w:val="00CA35DA"/>
    <w:rsid w:val="00CA3D9C"/>
    <w:rsid w:val="00CA441B"/>
    <w:rsid w:val="00CA49A0"/>
    <w:rsid w:val="00CA4B9E"/>
    <w:rsid w:val="00CA5EA7"/>
    <w:rsid w:val="00CA6230"/>
    <w:rsid w:val="00CA6237"/>
    <w:rsid w:val="00CA6467"/>
    <w:rsid w:val="00CA6FE9"/>
    <w:rsid w:val="00CA7640"/>
    <w:rsid w:val="00CB0B9C"/>
    <w:rsid w:val="00CB0CDF"/>
    <w:rsid w:val="00CB1BC6"/>
    <w:rsid w:val="00CB20C3"/>
    <w:rsid w:val="00CB31C4"/>
    <w:rsid w:val="00CB3484"/>
    <w:rsid w:val="00CB3ED0"/>
    <w:rsid w:val="00CB41EC"/>
    <w:rsid w:val="00CB4449"/>
    <w:rsid w:val="00CB5B36"/>
    <w:rsid w:val="00CB6050"/>
    <w:rsid w:val="00CB6855"/>
    <w:rsid w:val="00CB69D1"/>
    <w:rsid w:val="00CC00FC"/>
    <w:rsid w:val="00CC0949"/>
    <w:rsid w:val="00CC0AF2"/>
    <w:rsid w:val="00CC16AD"/>
    <w:rsid w:val="00CC3681"/>
    <w:rsid w:val="00CC3DF8"/>
    <w:rsid w:val="00CC5236"/>
    <w:rsid w:val="00CC53E6"/>
    <w:rsid w:val="00CC5CA8"/>
    <w:rsid w:val="00CC6072"/>
    <w:rsid w:val="00CC67EB"/>
    <w:rsid w:val="00CC68E3"/>
    <w:rsid w:val="00CC6EFE"/>
    <w:rsid w:val="00CC709C"/>
    <w:rsid w:val="00CC775E"/>
    <w:rsid w:val="00CD005B"/>
    <w:rsid w:val="00CD0BFC"/>
    <w:rsid w:val="00CD1118"/>
    <w:rsid w:val="00CD1891"/>
    <w:rsid w:val="00CD19EF"/>
    <w:rsid w:val="00CD1C5F"/>
    <w:rsid w:val="00CD25C9"/>
    <w:rsid w:val="00CD3476"/>
    <w:rsid w:val="00CD421C"/>
    <w:rsid w:val="00CD4EF0"/>
    <w:rsid w:val="00CD5360"/>
    <w:rsid w:val="00CD7D2A"/>
    <w:rsid w:val="00CD7D4F"/>
    <w:rsid w:val="00CE177F"/>
    <w:rsid w:val="00CE29AF"/>
    <w:rsid w:val="00CE40A7"/>
    <w:rsid w:val="00CE50E0"/>
    <w:rsid w:val="00CE5647"/>
    <w:rsid w:val="00CE5978"/>
    <w:rsid w:val="00CE6238"/>
    <w:rsid w:val="00CE6580"/>
    <w:rsid w:val="00CE77B6"/>
    <w:rsid w:val="00CE7AB2"/>
    <w:rsid w:val="00CE7D7D"/>
    <w:rsid w:val="00CF01A9"/>
    <w:rsid w:val="00CF0258"/>
    <w:rsid w:val="00CF1579"/>
    <w:rsid w:val="00CF1630"/>
    <w:rsid w:val="00CF1817"/>
    <w:rsid w:val="00CF1CF2"/>
    <w:rsid w:val="00CF2384"/>
    <w:rsid w:val="00CF2DFA"/>
    <w:rsid w:val="00CF30CE"/>
    <w:rsid w:val="00CF3146"/>
    <w:rsid w:val="00CF333B"/>
    <w:rsid w:val="00CF3391"/>
    <w:rsid w:val="00CF3691"/>
    <w:rsid w:val="00CF3A97"/>
    <w:rsid w:val="00CF48C3"/>
    <w:rsid w:val="00CF6D93"/>
    <w:rsid w:val="00CF707A"/>
    <w:rsid w:val="00CF7EB7"/>
    <w:rsid w:val="00D001DD"/>
    <w:rsid w:val="00D00FE3"/>
    <w:rsid w:val="00D02644"/>
    <w:rsid w:val="00D02DCD"/>
    <w:rsid w:val="00D03D35"/>
    <w:rsid w:val="00D040A9"/>
    <w:rsid w:val="00D05510"/>
    <w:rsid w:val="00D059D3"/>
    <w:rsid w:val="00D060E4"/>
    <w:rsid w:val="00D0641E"/>
    <w:rsid w:val="00D06C1F"/>
    <w:rsid w:val="00D07066"/>
    <w:rsid w:val="00D072C2"/>
    <w:rsid w:val="00D07447"/>
    <w:rsid w:val="00D078D0"/>
    <w:rsid w:val="00D10429"/>
    <w:rsid w:val="00D10783"/>
    <w:rsid w:val="00D10D27"/>
    <w:rsid w:val="00D1194F"/>
    <w:rsid w:val="00D1329C"/>
    <w:rsid w:val="00D134F6"/>
    <w:rsid w:val="00D13809"/>
    <w:rsid w:val="00D13A04"/>
    <w:rsid w:val="00D13A3F"/>
    <w:rsid w:val="00D151A1"/>
    <w:rsid w:val="00D15257"/>
    <w:rsid w:val="00D15D57"/>
    <w:rsid w:val="00D1668B"/>
    <w:rsid w:val="00D17490"/>
    <w:rsid w:val="00D17673"/>
    <w:rsid w:val="00D178BA"/>
    <w:rsid w:val="00D17F4C"/>
    <w:rsid w:val="00D2050D"/>
    <w:rsid w:val="00D20728"/>
    <w:rsid w:val="00D20829"/>
    <w:rsid w:val="00D21273"/>
    <w:rsid w:val="00D2135E"/>
    <w:rsid w:val="00D2143B"/>
    <w:rsid w:val="00D21714"/>
    <w:rsid w:val="00D2272C"/>
    <w:rsid w:val="00D228CC"/>
    <w:rsid w:val="00D2298C"/>
    <w:rsid w:val="00D230EF"/>
    <w:rsid w:val="00D23190"/>
    <w:rsid w:val="00D235EE"/>
    <w:rsid w:val="00D23C23"/>
    <w:rsid w:val="00D23E11"/>
    <w:rsid w:val="00D245EC"/>
    <w:rsid w:val="00D24A7F"/>
    <w:rsid w:val="00D24EB5"/>
    <w:rsid w:val="00D25B61"/>
    <w:rsid w:val="00D25BBA"/>
    <w:rsid w:val="00D25EE2"/>
    <w:rsid w:val="00D25F0B"/>
    <w:rsid w:val="00D2691C"/>
    <w:rsid w:val="00D2709B"/>
    <w:rsid w:val="00D2777A"/>
    <w:rsid w:val="00D27E89"/>
    <w:rsid w:val="00D31B6D"/>
    <w:rsid w:val="00D32197"/>
    <w:rsid w:val="00D322EC"/>
    <w:rsid w:val="00D32A86"/>
    <w:rsid w:val="00D32C9C"/>
    <w:rsid w:val="00D33007"/>
    <w:rsid w:val="00D33373"/>
    <w:rsid w:val="00D3371B"/>
    <w:rsid w:val="00D33736"/>
    <w:rsid w:val="00D33D75"/>
    <w:rsid w:val="00D344EE"/>
    <w:rsid w:val="00D34AEC"/>
    <w:rsid w:val="00D34C76"/>
    <w:rsid w:val="00D34C88"/>
    <w:rsid w:val="00D34CB4"/>
    <w:rsid w:val="00D34DCE"/>
    <w:rsid w:val="00D364AD"/>
    <w:rsid w:val="00D366ED"/>
    <w:rsid w:val="00D36C93"/>
    <w:rsid w:val="00D373F3"/>
    <w:rsid w:val="00D378F2"/>
    <w:rsid w:val="00D400E2"/>
    <w:rsid w:val="00D409F2"/>
    <w:rsid w:val="00D414B1"/>
    <w:rsid w:val="00D4251C"/>
    <w:rsid w:val="00D42915"/>
    <w:rsid w:val="00D42C1F"/>
    <w:rsid w:val="00D4310B"/>
    <w:rsid w:val="00D43DF7"/>
    <w:rsid w:val="00D44754"/>
    <w:rsid w:val="00D44A8C"/>
    <w:rsid w:val="00D453A8"/>
    <w:rsid w:val="00D46F22"/>
    <w:rsid w:val="00D46F60"/>
    <w:rsid w:val="00D4723D"/>
    <w:rsid w:val="00D472A4"/>
    <w:rsid w:val="00D47A94"/>
    <w:rsid w:val="00D47DBC"/>
    <w:rsid w:val="00D504A0"/>
    <w:rsid w:val="00D50D44"/>
    <w:rsid w:val="00D51002"/>
    <w:rsid w:val="00D513BC"/>
    <w:rsid w:val="00D520F4"/>
    <w:rsid w:val="00D52991"/>
    <w:rsid w:val="00D5346E"/>
    <w:rsid w:val="00D55797"/>
    <w:rsid w:val="00D5588F"/>
    <w:rsid w:val="00D55C13"/>
    <w:rsid w:val="00D565C3"/>
    <w:rsid w:val="00D56C22"/>
    <w:rsid w:val="00D5717F"/>
    <w:rsid w:val="00D578EB"/>
    <w:rsid w:val="00D57921"/>
    <w:rsid w:val="00D57AC6"/>
    <w:rsid w:val="00D57F8E"/>
    <w:rsid w:val="00D60771"/>
    <w:rsid w:val="00D60EC7"/>
    <w:rsid w:val="00D6106C"/>
    <w:rsid w:val="00D61117"/>
    <w:rsid w:val="00D6127F"/>
    <w:rsid w:val="00D61688"/>
    <w:rsid w:val="00D61E43"/>
    <w:rsid w:val="00D62FCE"/>
    <w:rsid w:val="00D63327"/>
    <w:rsid w:val="00D63498"/>
    <w:rsid w:val="00D641C8"/>
    <w:rsid w:val="00D646A3"/>
    <w:rsid w:val="00D65B41"/>
    <w:rsid w:val="00D65F7A"/>
    <w:rsid w:val="00D660C2"/>
    <w:rsid w:val="00D66761"/>
    <w:rsid w:val="00D669D6"/>
    <w:rsid w:val="00D671A8"/>
    <w:rsid w:val="00D70B37"/>
    <w:rsid w:val="00D711CF"/>
    <w:rsid w:val="00D714C7"/>
    <w:rsid w:val="00D71BBF"/>
    <w:rsid w:val="00D720AB"/>
    <w:rsid w:val="00D72D67"/>
    <w:rsid w:val="00D72DD5"/>
    <w:rsid w:val="00D732E6"/>
    <w:rsid w:val="00D737AE"/>
    <w:rsid w:val="00D7454B"/>
    <w:rsid w:val="00D7482C"/>
    <w:rsid w:val="00D74887"/>
    <w:rsid w:val="00D75F07"/>
    <w:rsid w:val="00D763EA"/>
    <w:rsid w:val="00D768B4"/>
    <w:rsid w:val="00D76CCF"/>
    <w:rsid w:val="00D76DEE"/>
    <w:rsid w:val="00D771B8"/>
    <w:rsid w:val="00D77203"/>
    <w:rsid w:val="00D7754F"/>
    <w:rsid w:val="00D77A02"/>
    <w:rsid w:val="00D804DE"/>
    <w:rsid w:val="00D80FD8"/>
    <w:rsid w:val="00D81286"/>
    <w:rsid w:val="00D8200E"/>
    <w:rsid w:val="00D822D6"/>
    <w:rsid w:val="00D82365"/>
    <w:rsid w:val="00D838C0"/>
    <w:rsid w:val="00D83C5B"/>
    <w:rsid w:val="00D84249"/>
    <w:rsid w:val="00D843C4"/>
    <w:rsid w:val="00D84889"/>
    <w:rsid w:val="00D85257"/>
    <w:rsid w:val="00D8566C"/>
    <w:rsid w:val="00D85D56"/>
    <w:rsid w:val="00D868C8"/>
    <w:rsid w:val="00D87226"/>
    <w:rsid w:val="00D8764A"/>
    <w:rsid w:val="00D87B83"/>
    <w:rsid w:val="00D87FCD"/>
    <w:rsid w:val="00D903E5"/>
    <w:rsid w:val="00D907F0"/>
    <w:rsid w:val="00D9083E"/>
    <w:rsid w:val="00D90CFD"/>
    <w:rsid w:val="00D90E0B"/>
    <w:rsid w:val="00D92E4C"/>
    <w:rsid w:val="00D92F6B"/>
    <w:rsid w:val="00D930B1"/>
    <w:rsid w:val="00D93142"/>
    <w:rsid w:val="00D93197"/>
    <w:rsid w:val="00D94D86"/>
    <w:rsid w:val="00D94EB2"/>
    <w:rsid w:val="00D95792"/>
    <w:rsid w:val="00D959FE"/>
    <w:rsid w:val="00D95AF7"/>
    <w:rsid w:val="00D95E79"/>
    <w:rsid w:val="00D972FA"/>
    <w:rsid w:val="00D973C1"/>
    <w:rsid w:val="00D97523"/>
    <w:rsid w:val="00D97CC7"/>
    <w:rsid w:val="00DA0387"/>
    <w:rsid w:val="00DA07F4"/>
    <w:rsid w:val="00DA14D2"/>
    <w:rsid w:val="00DA235B"/>
    <w:rsid w:val="00DA25E5"/>
    <w:rsid w:val="00DA2657"/>
    <w:rsid w:val="00DA2790"/>
    <w:rsid w:val="00DA35F9"/>
    <w:rsid w:val="00DA386E"/>
    <w:rsid w:val="00DA5074"/>
    <w:rsid w:val="00DA51DF"/>
    <w:rsid w:val="00DA54A1"/>
    <w:rsid w:val="00DA6200"/>
    <w:rsid w:val="00DA65C5"/>
    <w:rsid w:val="00DA716B"/>
    <w:rsid w:val="00DA7AC8"/>
    <w:rsid w:val="00DB00F3"/>
    <w:rsid w:val="00DB0487"/>
    <w:rsid w:val="00DB12D0"/>
    <w:rsid w:val="00DB14D3"/>
    <w:rsid w:val="00DB29C2"/>
    <w:rsid w:val="00DB2EE2"/>
    <w:rsid w:val="00DB3615"/>
    <w:rsid w:val="00DB42A5"/>
    <w:rsid w:val="00DB45D1"/>
    <w:rsid w:val="00DB54D5"/>
    <w:rsid w:val="00DB5D8C"/>
    <w:rsid w:val="00DB67B7"/>
    <w:rsid w:val="00DB6852"/>
    <w:rsid w:val="00DB72B9"/>
    <w:rsid w:val="00DB7501"/>
    <w:rsid w:val="00DC01E8"/>
    <w:rsid w:val="00DC07DD"/>
    <w:rsid w:val="00DC23A0"/>
    <w:rsid w:val="00DC2AB5"/>
    <w:rsid w:val="00DC3121"/>
    <w:rsid w:val="00DC368F"/>
    <w:rsid w:val="00DC39B1"/>
    <w:rsid w:val="00DC3A39"/>
    <w:rsid w:val="00DC40B7"/>
    <w:rsid w:val="00DC437B"/>
    <w:rsid w:val="00DC4786"/>
    <w:rsid w:val="00DC4AE7"/>
    <w:rsid w:val="00DC4E71"/>
    <w:rsid w:val="00DC53F1"/>
    <w:rsid w:val="00DC6C86"/>
    <w:rsid w:val="00DC71A8"/>
    <w:rsid w:val="00DC7396"/>
    <w:rsid w:val="00DC79C2"/>
    <w:rsid w:val="00DD0AB8"/>
    <w:rsid w:val="00DD0B77"/>
    <w:rsid w:val="00DD12E3"/>
    <w:rsid w:val="00DD21A0"/>
    <w:rsid w:val="00DD250A"/>
    <w:rsid w:val="00DD2B9C"/>
    <w:rsid w:val="00DD35A3"/>
    <w:rsid w:val="00DD36F6"/>
    <w:rsid w:val="00DD3E2B"/>
    <w:rsid w:val="00DD3E74"/>
    <w:rsid w:val="00DD404A"/>
    <w:rsid w:val="00DD40F0"/>
    <w:rsid w:val="00DD423B"/>
    <w:rsid w:val="00DD49E6"/>
    <w:rsid w:val="00DD4A94"/>
    <w:rsid w:val="00DD4CC0"/>
    <w:rsid w:val="00DD582F"/>
    <w:rsid w:val="00DD6AC6"/>
    <w:rsid w:val="00DD77D5"/>
    <w:rsid w:val="00DE0276"/>
    <w:rsid w:val="00DE05A2"/>
    <w:rsid w:val="00DE0A85"/>
    <w:rsid w:val="00DE130D"/>
    <w:rsid w:val="00DE18C6"/>
    <w:rsid w:val="00DE19EA"/>
    <w:rsid w:val="00DE1F79"/>
    <w:rsid w:val="00DE2E7F"/>
    <w:rsid w:val="00DE30F5"/>
    <w:rsid w:val="00DE341F"/>
    <w:rsid w:val="00DE4E7C"/>
    <w:rsid w:val="00DE4EEE"/>
    <w:rsid w:val="00DE6397"/>
    <w:rsid w:val="00DE6E0A"/>
    <w:rsid w:val="00DE719D"/>
    <w:rsid w:val="00DE7350"/>
    <w:rsid w:val="00DF0F32"/>
    <w:rsid w:val="00DF1CEE"/>
    <w:rsid w:val="00DF1F1D"/>
    <w:rsid w:val="00DF2272"/>
    <w:rsid w:val="00DF2482"/>
    <w:rsid w:val="00DF453E"/>
    <w:rsid w:val="00DF63A0"/>
    <w:rsid w:val="00DF7685"/>
    <w:rsid w:val="00DF775C"/>
    <w:rsid w:val="00DF791A"/>
    <w:rsid w:val="00DF791D"/>
    <w:rsid w:val="00E00BD8"/>
    <w:rsid w:val="00E01B7D"/>
    <w:rsid w:val="00E01D21"/>
    <w:rsid w:val="00E01E70"/>
    <w:rsid w:val="00E020AD"/>
    <w:rsid w:val="00E0386A"/>
    <w:rsid w:val="00E03B40"/>
    <w:rsid w:val="00E03CFD"/>
    <w:rsid w:val="00E0410D"/>
    <w:rsid w:val="00E0441D"/>
    <w:rsid w:val="00E0469B"/>
    <w:rsid w:val="00E06BFC"/>
    <w:rsid w:val="00E074B2"/>
    <w:rsid w:val="00E07A97"/>
    <w:rsid w:val="00E10F22"/>
    <w:rsid w:val="00E12D4A"/>
    <w:rsid w:val="00E13A5F"/>
    <w:rsid w:val="00E14A08"/>
    <w:rsid w:val="00E158CB"/>
    <w:rsid w:val="00E15D8C"/>
    <w:rsid w:val="00E16716"/>
    <w:rsid w:val="00E17B05"/>
    <w:rsid w:val="00E20623"/>
    <w:rsid w:val="00E22299"/>
    <w:rsid w:val="00E22492"/>
    <w:rsid w:val="00E23FCA"/>
    <w:rsid w:val="00E2420F"/>
    <w:rsid w:val="00E2488C"/>
    <w:rsid w:val="00E25093"/>
    <w:rsid w:val="00E253E4"/>
    <w:rsid w:val="00E254BC"/>
    <w:rsid w:val="00E26689"/>
    <w:rsid w:val="00E267FB"/>
    <w:rsid w:val="00E26EF6"/>
    <w:rsid w:val="00E270B2"/>
    <w:rsid w:val="00E2744C"/>
    <w:rsid w:val="00E30710"/>
    <w:rsid w:val="00E30780"/>
    <w:rsid w:val="00E30F7F"/>
    <w:rsid w:val="00E30FA8"/>
    <w:rsid w:val="00E31221"/>
    <w:rsid w:val="00E32464"/>
    <w:rsid w:val="00E326F6"/>
    <w:rsid w:val="00E32C77"/>
    <w:rsid w:val="00E33012"/>
    <w:rsid w:val="00E332A7"/>
    <w:rsid w:val="00E34B15"/>
    <w:rsid w:val="00E352D4"/>
    <w:rsid w:val="00E35B5D"/>
    <w:rsid w:val="00E35DA5"/>
    <w:rsid w:val="00E36048"/>
    <w:rsid w:val="00E37434"/>
    <w:rsid w:val="00E37607"/>
    <w:rsid w:val="00E378B0"/>
    <w:rsid w:val="00E37CD5"/>
    <w:rsid w:val="00E403E3"/>
    <w:rsid w:val="00E40833"/>
    <w:rsid w:val="00E41076"/>
    <w:rsid w:val="00E416C2"/>
    <w:rsid w:val="00E422E1"/>
    <w:rsid w:val="00E4269F"/>
    <w:rsid w:val="00E429ED"/>
    <w:rsid w:val="00E451AF"/>
    <w:rsid w:val="00E466DE"/>
    <w:rsid w:val="00E46AC2"/>
    <w:rsid w:val="00E46C31"/>
    <w:rsid w:val="00E478C0"/>
    <w:rsid w:val="00E47D6D"/>
    <w:rsid w:val="00E47E56"/>
    <w:rsid w:val="00E5054A"/>
    <w:rsid w:val="00E507B0"/>
    <w:rsid w:val="00E50AED"/>
    <w:rsid w:val="00E526AC"/>
    <w:rsid w:val="00E5283D"/>
    <w:rsid w:val="00E529F9"/>
    <w:rsid w:val="00E53589"/>
    <w:rsid w:val="00E53AA3"/>
    <w:rsid w:val="00E53C73"/>
    <w:rsid w:val="00E54803"/>
    <w:rsid w:val="00E5627F"/>
    <w:rsid w:val="00E57480"/>
    <w:rsid w:val="00E57A25"/>
    <w:rsid w:val="00E6037F"/>
    <w:rsid w:val="00E61A4F"/>
    <w:rsid w:val="00E61A8B"/>
    <w:rsid w:val="00E6256D"/>
    <w:rsid w:val="00E62B42"/>
    <w:rsid w:val="00E647D0"/>
    <w:rsid w:val="00E64BD9"/>
    <w:rsid w:val="00E6553C"/>
    <w:rsid w:val="00E6610D"/>
    <w:rsid w:val="00E66251"/>
    <w:rsid w:val="00E66643"/>
    <w:rsid w:val="00E72DA9"/>
    <w:rsid w:val="00E73473"/>
    <w:rsid w:val="00E73CF7"/>
    <w:rsid w:val="00E73D19"/>
    <w:rsid w:val="00E73FA2"/>
    <w:rsid w:val="00E743EC"/>
    <w:rsid w:val="00E744DA"/>
    <w:rsid w:val="00E753F4"/>
    <w:rsid w:val="00E7552E"/>
    <w:rsid w:val="00E755F8"/>
    <w:rsid w:val="00E759BA"/>
    <w:rsid w:val="00E76336"/>
    <w:rsid w:val="00E76590"/>
    <w:rsid w:val="00E766D1"/>
    <w:rsid w:val="00E76AFD"/>
    <w:rsid w:val="00E77219"/>
    <w:rsid w:val="00E81442"/>
    <w:rsid w:val="00E81510"/>
    <w:rsid w:val="00E81D01"/>
    <w:rsid w:val="00E82A92"/>
    <w:rsid w:val="00E82F67"/>
    <w:rsid w:val="00E82F9C"/>
    <w:rsid w:val="00E832CD"/>
    <w:rsid w:val="00E841E1"/>
    <w:rsid w:val="00E85F5D"/>
    <w:rsid w:val="00E86A4E"/>
    <w:rsid w:val="00E87746"/>
    <w:rsid w:val="00E877EE"/>
    <w:rsid w:val="00E90550"/>
    <w:rsid w:val="00E90B9D"/>
    <w:rsid w:val="00E9116F"/>
    <w:rsid w:val="00E92961"/>
    <w:rsid w:val="00E92D4A"/>
    <w:rsid w:val="00E93783"/>
    <w:rsid w:val="00E946C0"/>
    <w:rsid w:val="00E9495D"/>
    <w:rsid w:val="00E94D62"/>
    <w:rsid w:val="00E95C9A"/>
    <w:rsid w:val="00E960BE"/>
    <w:rsid w:val="00E962B7"/>
    <w:rsid w:val="00E9743B"/>
    <w:rsid w:val="00E974D8"/>
    <w:rsid w:val="00E97ACF"/>
    <w:rsid w:val="00EA0016"/>
    <w:rsid w:val="00EA0117"/>
    <w:rsid w:val="00EA0A4F"/>
    <w:rsid w:val="00EA1427"/>
    <w:rsid w:val="00EA2280"/>
    <w:rsid w:val="00EA2955"/>
    <w:rsid w:val="00EA2DB1"/>
    <w:rsid w:val="00EA311E"/>
    <w:rsid w:val="00EA35C5"/>
    <w:rsid w:val="00EA3D61"/>
    <w:rsid w:val="00EA4028"/>
    <w:rsid w:val="00EA41A6"/>
    <w:rsid w:val="00EA4240"/>
    <w:rsid w:val="00EA4BAD"/>
    <w:rsid w:val="00EA5B09"/>
    <w:rsid w:val="00EA5F30"/>
    <w:rsid w:val="00EA6655"/>
    <w:rsid w:val="00EA6976"/>
    <w:rsid w:val="00EA6DC0"/>
    <w:rsid w:val="00EA7BA1"/>
    <w:rsid w:val="00EA7CB7"/>
    <w:rsid w:val="00EB0202"/>
    <w:rsid w:val="00EB092F"/>
    <w:rsid w:val="00EB0DEF"/>
    <w:rsid w:val="00EB0E34"/>
    <w:rsid w:val="00EB109C"/>
    <w:rsid w:val="00EB182A"/>
    <w:rsid w:val="00EB2175"/>
    <w:rsid w:val="00EB2744"/>
    <w:rsid w:val="00EB3427"/>
    <w:rsid w:val="00EB511C"/>
    <w:rsid w:val="00EB5182"/>
    <w:rsid w:val="00EB7D71"/>
    <w:rsid w:val="00EB7EB5"/>
    <w:rsid w:val="00EC0203"/>
    <w:rsid w:val="00EC0BFA"/>
    <w:rsid w:val="00EC1100"/>
    <w:rsid w:val="00EC1D50"/>
    <w:rsid w:val="00EC2D0F"/>
    <w:rsid w:val="00EC2F6D"/>
    <w:rsid w:val="00EC31AB"/>
    <w:rsid w:val="00EC3554"/>
    <w:rsid w:val="00EC39F8"/>
    <w:rsid w:val="00EC42FD"/>
    <w:rsid w:val="00EC480A"/>
    <w:rsid w:val="00EC5230"/>
    <w:rsid w:val="00EC5234"/>
    <w:rsid w:val="00EC5445"/>
    <w:rsid w:val="00EC5D7A"/>
    <w:rsid w:val="00EC600A"/>
    <w:rsid w:val="00EC685A"/>
    <w:rsid w:val="00EC68F0"/>
    <w:rsid w:val="00EC7531"/>
    <w:rsid w:val="00EC7C3F"/>
    <w:rsid w:val="00EC7CFD"/>
    <w:rsid w:val="00ED02A4"/>
    <w:rsid w:val="00ED05E7"/>
    <w:rsid w:val="00ED0C14"/>
    <w:rsid w:val="00ED1000"/>
    <w:rsid w:val="00ED145D"/>
    <w:rsid w:val="00ED2C82"/>
    <w:rsid w:val="00ED2FEF"/>
    <w:rsid w:val="00ED313F"/>
    <w:rsid w:val="00ED31B7"/>
    <w:rsid w:val="00ED3993"/>
    <w:rsid w:val="00ED45BC"/>
    <w:rsid w:val="00ED5266"/>
    <w:rsid w:val="00ED5628"/>
    <w:rsid w:val="00ED5C98"/>
    <w:rsid w:val="00ED5D75"/>
    <w:rsid w:val="00ED5F6F"/>
    <w:rsid w:val="00ED61D1"/>
    <w:rsid w:val="00ED622A"/>
    <w:rsid w:val="00ED659A"/>
    <w:rsid w:val="00ED6966"/>
    <w:rsid w:val="00ED6EA8"/>
    <w:rsid w:val="00ED7B28"/>
    <w:rsid w:val="00EE1B40"/>
    <w:rsid w:val="00EE2622"/>
    <w:rsid w:val="00EE2A6A"/>
    <w:rsid w:val="00EE4A8C"/>
    <w:rsid w:val="00EE527D"/>
    <w:rsid w:val="00EE57DE"/>
    <w:rsid w:val="00EE617E"/>
    <w:rsid w:val="00EE64CE"/>
    <w:rsid w:val="00EE67FE"/>
    <w:rsid w:val="00EE6CDC"/>
    <w:rsid w:val="00EE6DC4"/>
    <w:rsid w:val="00EE7395"/>
    <w:rsid w:val="00EE76E0"/>
    <w:rsid w:val="00EE790D"/>
    <w:rsid w:val="00EE7975"/>
    <w:rsid w:val="00EF07DE"/>
    <w:rsid w:val="00EF1BD5"/>
    <w:rsid w:val="00EF21C5"/>
    <w:rsid w:val="00EF3F03"/>
    <w:rsid w:val="00EF4C14"/>
    <w:rsid w:val="00EF684D"/>
    <w:rsid w:val="00EF6CD2"/>
    <w:rsid w:val="00EF6FA5"/>
    <w:rsid w:val="00EF7258"/>
    <w:rsid w:val="00F001B8"/>
    <w:rsid w:val="00F00788"/>
    <w:rsid w:val="00F00A70"/>
    <w:rsid w:val="00F0140B"/>
    <w:rsid w:val="00F017EA"/>
    <w:rsid w:val="00F0189B"/>
    <w:rsid w:val="00F03C83"/>
    <w:rsid w:val="00F03E85"/>
    <w:rsid w:val="00F040EC"/>
    <w:rsid w:val="00F045A0"/>
    <w:rsid w:val="00F0488D"/>
    <w:rsid w:val="00F048C2"/>
    <w:rsid w:val="00F0599C"/>
    <w:rsid w:val="00F06836"/>
    <w:rsid w:val="00F06C14"/>
    <w:rsid w:val="00F070C8"/>
    <w:rsid w:val="00F1038A"/>
    <w:rsid w:val="00F1061A"/>
    <w:rsid w:val="00F10685"/>
    <w:rsid w:val="00F10E1A"/>
    <w:rsid w:val="00F116C8"/>
    <w:rsid w:val="00F11B30"/>
    <w:rsid w:val="00F12DA4"/>
    <w:rsid w:val="00F12E30"/>
    <w:rsid w:val="00F1349E"/>
    <w:rsid w:val="00F13AAA"/>
    <w:rsid w:val="00F15759"/>
    <w:rsid w:val="00F15E17"/>
    <w:rsid w:val="00F16B57"/>
    <w:rsid w:val="00F17036"/>
    <w:rsid w:val="00F17620"/>
    <w:rsid w:val="00F177FA"/>
    <w:rsid w:val="00F179C4"/>
    <w:rsid w:val="00F17EE0"/>
    <w:rsid w:val="00F2005F"/>
    <w:rsid w:val="00F20CBD"/>
    <w:rsid w:val="00F2163C"/>
    <w:rsid w:val="00F21B70"/>
    <w:rsid w:val="00F2250E"/>
    <w:rsid w:val="00F2293A"/>
    <w:rsid w:val="00F23A38"/>
    <w:rsid w:val="00F23C9C"/>
    <w:rsid w:val="00F24298"/>
    <w:rsid w:val="00F250C8"/>
    <w:rsid w:val="00F26332"/>
    <w:rsid w:val="00F26551"/>
    <w:rsid w:val="00F266AA"/>
    <w:rsid w:val="00F268C0"/>
    <w:rsid w:val="00F27434"/>
    <w:rsid w:val="00F279F4"/>
    <w:rsid w:val="00F27BD7"/>
    <w:rsid w:val="00F27E0F"/>
    <w:rsid w:val="00F3055D"/>
    <w:rsid w:val="00F30884"/>
    <w:rsid w:val="00F30E31"/>
    <w:rsid w:val="00F31446"/>
    <w:rsid w:val="00F33937"/>
    <w:rsid w:val="00F33F3C"/>
    <w:rsid w:val="00F3430C"/>
    <w:rsid w:val="00F3440A"/>
    <w:rsid w:val="00F35363"/>
    <w:rsid w:val="00F3547B"/>
    <w:rsid w:val="00F35D06"/>
    <w:rsid w:val="00F363F4"/>
    <w:rsid w:val="00F37284"/>
    <w:rsid w:val="00F405DD"/>
    <w:rsid w:val="00F407C0"/>
    <w:rsid w:val="00F40C56"/>
    <w:rsid w:val="00F40F32"/>
    <w:rsid w:val="00F40FAB"/>
    <w:rsid w:val="00F41A65"/>
    <w:rsid w:val="00F41D52"/>
    <w:rsid w:val="00F421A7"/>
    <w:rsid w:val="00F421D6"/>
    <w:rsid w:val="00F4282F"/>
    <w:rsid w:val="00F42B38"/>
    <w:rsid w:val="00F42F0F"/>
    <w:rsid w:val="00F42F74"/>
    <w:rsid w:val="00F448A7"/>
    <w:rsid w:val="00F45575"/>
    <w:rsid w:val="00F4594D"/>
    <w:rsid w:val="00F4657F"/>
    <w:rsid w:val="00F4692A"/>
    <w:rsid w:val="00F469EB"/>
    <w:rsid w:val="00F46CF5"/>
    <w:rsid w:val="00F46EFF"/>
    <w:rsid w:val="00F478CA"/>
    <w:rsid w:val="00F47AFF"/>
    <w:rsid w:val="00F47DB5"/>
    <w:rsid w:val="00F47FD1"/>
    <w:rsid w:val="00F506BE"/>
    <w:rsid w:val="00F50A8A"/>
    <w:rsid w:val="00F51331"/>
    <w:rsid w:val="00F517AE"/>
    <w:rsid w:val="00F51CBB"/>
    <w:rsid w:val="00F5246A"/>
    <w:rsid w:val="00F5292D"/>
    <w:rsid w:val="00F532C5"/>
    <w:rsid w:val="00F53C36"/>
    <w:rsid w:val="00F5412D"/>
    <w:rsid w:val="00F5441D"/>
    <w:rsid w:val="00F544DE"/>
    <w:rsid w:val="00F5506C"/>
    <w:rsid w:val="00F5581B"/>
    <w:rsid w:val="00F55E10"/>
    <w:rsid w:val="00F56710"/>
    <w:rsid w:val="00F56C43"/>
    <w:rsid w:val="00F56EF2"/>
    <w:rsid w:val="00F57035"/>
    <w:rsid w:val="00F57115"/>
    <w:rsid w:val="00F57F2C"/>
    <w:rsid w:val="00F60079"/>
    <w:rsid w:val="00F6081C"/>
    <w:rsid w:val="00F6255E"/>
    <w:rsid w:val="00F6463B"/>
    <w:rsid w:val="00F65436"/>
    <w:rsid w:val="00F66617"/>
    <w:rsid w:val="00F66A6A"/>
    <w:rsid w:val="00F66DB2"/>
    <w:rsid w:val="00F66FE6"/>
    <w:rsid w:val="00F67005"/>
    <w:rsid w:val="00F67214"/>
    <w:rsid w:val="00F67708"/>
    <w:rsid w:val="00F67C07"/>
    <w:rsid w:val="00F67EC1"/>
    <w:rsid w:val="00F70E67"/>
    <w:rsid w:val="00F712DA"/>
    <w:rsid w:val="00F72165"/>
    <w:rsid w:val="00F7232E"/>
    <w:rsid w:val="00F72847"/>
    <w:rsid w:val="00F72EB5"/>
    <w:rsid w:val="00F741AA"/>
    <w:rsid w:val="00F748E1"/>
    <w:rsid w:val="00F75248"/>
    <w:rsid w:val="00F76412"/>
    <w:rsid w:val="00F778C9"/>
    <w:rsid w:val="00F77EC6"/>
    <w:rsid w:val="00F8101F"/>
    <w:rsid w:val="00F81B1B"/>
    <w:rsid w:val="00F81C0D"/>
    <w:rsid w:val="00F81D48"/>
    <w:rsid w:val="00F82787"/>
    <w:rsid w:val="00F82CA9"/>
    <w:rsid w:val="00F82D31"/>
    <w:rsid w:val="00F82DEA"/>
    <w:rsid w:val="00F837C0"/>
    <w:rsid w:val="00F8383C"/>
    <w:rsid w:val="00F8442A"/>
    <w:rsid w:val="00F84D00"/>
    <w:rsid w:val="00F85E67"/>
    <w:rsid w:val="00F86034"/>
    <w:rsid w:val="00F86FBC"/>
    <w:rsid w:val="00F877C2"/>
    <w:rsid w:val="00F87AF8"/>
    <w:rsid w:val="00F91A91"/>
    <w:rsid w:val="00F924C5"/>
    <w:rsid w:val="00F924DE"/>
    <w:rsid w:val="00F92D49"/>
    <w:rsid w:val="00F9305F"/>
    <w:rsid w:val="00F93CFF"/>
    <w:rsid w:val="00F93FEE"/>
    <w:rsid w:val="00F94243"/>
    <w:rsid w:val="00F94A5D"/>
    <w:rsid w:val="00F95B0D"/>
    <w:rsid w:val="00F963D8"/>
    <w:rsid w:val="00F96AAB"/>
    <w:rsid w:val="00F96BAA"/>
    <w:rsid w:val="00FA0132"/>
    <w:rsid w:val="00FA02AD"/>
    <w:rsid w:val="00FA0919"/>
    <w:rsid w:val="00FA0A92"/>
    <w:rsid w:val="00FA1805"/>
    <w:rsid w:val="00FA197C"/>
    <w:rsid w:val="00FA1E7D"/>
    <w:rsid w:val="00FA200C"/>
    <w:rsid w:val="00FA2314"/>
    <w:rsid w:val="00FA252D"/>
    <w:rsid w:val="00FA26E5"/>
    <w:rsid w:val="00FA294B"/>
    <w:rsid w:val="00FA353E"/>
    <w:rsid w:val="00FA3709"/>
    <w:rsid w:val="00FA3A3F"/>
    <w:rsid w:val="00FA3D10"/>
    <w:rsid w:val="00FA3D6C"/>
    <w:rsid w:val="00FA4200"/>
    <w:rsid w:val="00FA45DB"/>
    <w:rsid w:val="00FA466A"/>
    <w:rsid w:val="00FA468A"/>
    <w:rsid w:val="00FA4D27"/>
    <w:rsid w:val="00FA4EA4"/>
    <w:rsid w:val="00FA5119"/>
    <w:rsid w:val="00FA5C63"/>
    <w:rsid w:val="00FA644E"/>
    <w:rsid w:val="00FA6776"/>
    <w:rsid w:val="00FA7176"/>
    <w:rsid w:val="00FA7246"/>
    <w:rsid w:val="00FA7436"/>
    <w:rsid w:val="00FA75A6"/>
    <w:rsid w:val="00FB03E7"/>
    <w:rsid w:val="00FB1AA9"/>
    <w:rsid w:val="00FB1F95"/>
    <w:rsid w:val="00FB25CC"/>
    <w:rsid w:val="00FB2692"/>
    <w:rsid w:val="00FB2E4E"/>
    <w:rsid w:val="00FB2EF1"/>
    <w:rsid w:val="00FB3D68"/>
    <w:rsid w:val="00FB3EC3"/>
    <w:rsid w:val="00FB3FC4"/>
    <w:rsid w:val="00FB41A1"/>
    <w:rsid w:val="00FB432E"/>
    <w:rsid w:val="00FB4F6D"/>
    <w:rsid w:val="00FB508B"/>
    <w:rsid w:val="00FB52AB"/>
    <w:rsid w:val="00FB565F"/>
    <w:rsid w:val="00FB59AF"/>
    <w:rsid w:val="00FB5AF2"/>
    <w:rsid w:val="00FB5C94"/>
    <w:rsid w:val="00FB605A"/>
    <w:rsid w:val="00FB6D10"/>
    <w:rsid w:val="00FB72C1"/>
    <w:rsid w:val="00FB7385"/>
    <w:rsid w:val="00FB738E"/>
    <w:rsid w:val="00FC0137"/>
    <w:rsid w:val="00FC03E5"/>
    <w:rsid w:val="00FC0430"/>
    <w:rsid w:val="00FC0BD3"/>
    <w:rsid w:val="00FC1035"/>
    <w:rsid w:val="00FC11D6"/>
    <w:rsid w:val="00FC17AB"/>
    <w:rsid w:val="00FC2A5E"/>
    <w:rsid w:val="00FC39FD"/>
    <w:rsid w:val="00FC3A4E"/>
    <w:rsid w:val="00FC4D27"/>
    <w:rsid w:val="00FC534B"/>
    <w:rsid w:val="00FC53C9"/>
    <w:rsid w:val="00FC550A"/>
    <w:rsid w:val="00FC5F95"/>
    <w:rsid w:val="00FC63F8"/>
    <w:rsid w:val="00FC6A52"/>
    <w:rsid w:val="00FC70B4"/>
    <w:rsid w:val="00FC73EF"/>
    <w:rsid w:val="00FC79DE"/>
    <w:rsid w:val="00FD1172"/>
    <w:rsid w:val="00FD14EE"/>
    <w:rsid w:val="00FD163A"/>
    <w:rsid w:val="00FD1AAA"/>
    <w:rsid w:val="00FD1FFD"/>
    <w:rsid w:val="00FD324C"/>
    <w:rsid w:val="00FD3251"/>
    <w:rsid w:val="00FD3453"/>
    <w:rsid w:val="00FD3A9A"/>
    <w:rsid w:val="00FD42E9"/>
    <w:rsid w:val="00FD4468"/>
    <w:rsid w:val="00FD4A53"/>
    <w:rsid w:val="00FD4A5B"/>
    <w:rsid w:val="00FD53FD"/>
    <w:rsid w:val="00FD543E"/>
    <w:rsid w:val="00FD5EA2"/>
    <w:rsid w:val="00FD637D"/>
    <w:rsid w:val="00FE1184"/>
    <w:rsid w:val="00FE16F0"/>
    <w:rsid w:val="00FE18C0"/>
    <w:rsid w:val="00FE1CB2"/>
    <w:rsid w:val="00FE2411"/>
    <w:rsid w:val="00FE2917"/>
    <w:rsid w:val="00FE30DF"/>
    <w:rsid w:val="00FE31B9"/>
    <w:rsid w:val="00FE59E8"/>
    <w:rsid w:val="00FE6472"/>
    <w:rsid w:val="00FE6EFC"/>
    <w:rsid w:val="00FE6F2F"/>
    <w:rsid w:val="00FE7455"/>
    <w:rsid w:val="00FE7B99"/>
    <w:rsid w:val="00FE7BB8"/>
    <w:rsid w:val="00FE7D14"/>
    <w:rsid w:val="00FE7F88"/>
    <w:rsid w:val="00FF040F"/>
    <w:rsid w:val="00FF0D58"/>
    <w:rsid w:val="00FF15A7"/>
    <w:rsid w:val="00FF162F"/>
    <w:rsid w:val="00FF1B5B"/>
    <w:rsid w:val="00FF1CAF"/>
    <w:rsid w:val="00FF22F4"/>
    <w:rsid w:val="00FF2921"/>
    <w:rsid w:val="00FF2C29"/>
    <w:rsid w:val="00FF3FF5"/>
    <w:rsid w:val="00FF49AE"/>
    <w:rsid w:val="00FF4BEC"/>
    <w:rsid w:val="00FF4D8F"/>
    <w:rsid w:val="00FF4FDD"/>
    <w:rsid w:val="00FF53A6"/>
    <w:rsid w:val="00FF62AF"/>
    <w:rsid w:val="00FF6587"/>
    <w:rsid w:val="00FF658B"/>
    <w:rsid w:val="00FF6DC2"/>
    <w:rsid w:val="00FF7063"/>
    <w:rsid w:val="00FF71BC"/>
    <w:rsid w:val="01119175"/>
    <w:rsid w:val="0251D29F"/>
    <w:rsid w:val="02AC9BAE"/>
    <w:rsid w:val="0339C496"/>
    <w:rsid w:val="03720E2D"/>
    <w:rsid w:val="03E2D3AE"/>
    <w:rsid w:val="040383EF"/>
    <w:rsid w:val="04622F4E"/>
    <w:rsid w:val="0463CCFD"/>
    <w:rsid w:val="05123292"/>
    <w:rsid w:val="05C29447"/>
    <w:rsid w:val="073A5356"/>
    <w:rsid w:val="07427B67"/>
    <w:rsid w:val="08713E42"/>
    <w:rsid w:val="08958895"/>
    <w:rsid w:val="095CF63A"/>
    <w:rsid w:val="0971EFFF"/>
    <w:rsid w:val="098A00D2"/>
    <w:rsid w:val="0ABF8253"/>
    <w:rsid w:val="0BE18EFE"/>
    <w:rsid w:val="0CB66AEC"/>
    <w:rsid w:val="0CCC04AD"/>
    <w:rsid w:val="0D8E4601"/>
    <w:rsid w:val="0DC62300"/>
    <w:rsid w:val="0E0AB5F1"/>
    <w:rsid w:val="0E492C52"/>
    <w:rsid w:val="0FE8EE63"/>
    <w:rsid w:val="10C27DBB"/>
    <w:rsid w:val="113E4F87"/>
    <w:rsid w:val="124F6619"/>
    <w:rsid w:val="1343AEFA"/>
    <w:rsid w:val="1400E4FE"/>
    <w:rsid w:val="14D4D729"/>
    <w:rsid w:val="150D62EC"/>
    <w:rsid w:val="156E22E2"/>
    <w:rsid w:val="165721E5"/>
    <w:rsid w:val="183875F9"/>
    <w:rsid w:val="184E2C3C"/>
    <w:rsid w:val="18AC90C2"/>
    <w:rsid w:val="197B3039"/>
    <w:rsid w:val="1A5CBBE6"/>
    <w:rsid w:val="1B2C7082"/>
    <w:rsid w:val="1C0990CE"/>
    <w:rsid w:val="1C1F3ACB"/>
    <w:rsid w:val="1D28507A"/>
    <w:rsid w:val="1E863ED8"/>
    <w:rsid w:val="1EB82E07"/>
    <w:rsid w:val="203E99B3"/>
    <w:rsid w:val="216CB62F"/>
    <w:rsid w:val="21DC75F0"/>
    <w:rsid w:val="22D89866"/>
    <w:rsid w:val="22FBE3C7"/>
    <w:rsid w:val="236F696B"/>
    <w:rsid w:val="23843240"/>
    <w:rsid w:val="23B2A0BA"/>
    <w:rsid w:val="23ED4261"/>
    <w:rsid w:val="2653C780"/>
    <w:rsid w:val="26BAA856"/>
    <w:rsid w:val="275694B8"/>
    <w:rsid w:val="275DB7A2"/>
    <w:rsid w:val="27E57C21"/>
    <w:rsid w:val="280BEE8D"/>
    <w:rsid w:val="28620EE9"/>
    <w:rsid w:val="28C1040A"/>
    <w:rsid w:val="292C35A3"/>
    <w:rsid w:val="2949D4EC"/>
    <w:rsid w:val="2A9CF3E7"/>
    <w:rsid w:val="2B3FA00D"/>
    <w:rsid w:val="2B60E4E2"/>
    <w:rsid w:val="2B72B731"/>
    <w:rsid w:val="2BCEC3DB"/>
    <w:rsid w:val="2C2138C5"/>
    <w:rsid w:val="2C3C66A4"/>
    <w:rsid w:val="2D28C08E"/>
    <w:rsid w:val="2D3314D1"/>
    <w:rsid w:val="2D5727FD"/>
    <w:rsid w:val="2D69D6FD"/>
    <w:rsid w:val="306624BD"/>
    <w:rsid w:val="3167EDC1"/>
    <w:rsid w:val="31D7D75D"/>
    <w:rsid w:val="3232BD5B"/>
    <w:rsid w:val="3247D403"/>
    <w:rsid w:val="32C3E7BC"/>
    <w:rsid w:val="32E816A6"/>
    <w:rsid w:val="33850E63"/>
    <w:rsid w:val="356E16F0"/>
    <w:rsid w:val="35901998"/>
    <w:rsid w:val="37A92CCB"/>
    <w:rsid w:val="38B0F0A8"/>
    <w:rsid w:val="38DEAB33"/>
    <w:rsid w:val="38FBF8AC"/>
    <w:rsid w:val="39316475"/>
    <w:rsid w:val="39D43431"/>
    <w:rsid w:val="3AA8B0D5"/>
    <w:rsid w:val="3AED1ACE"/>
    <w:rsid w:val="3C008AFA"/>
    <w:rsid w:val="3C7AAF0C"/>
    <w:rsid w:val="3CF3005E"/>
    <w:rsid w:val="3D0A0CDC"/>
    <w:rsid w:val="3D3E1205"/>
    <w:rsid w:val="3D7D74AB"/>
    <w:rsid w:val="3D812E97"/>
    <w:rsid w:val="3EECC85E"/>
    <w:rsid w:val="4002852C"/>
    <w:rsid w:val="407D39CD"/>
    <w:rsid w:val="4124043A"/>
    <w:rsid w:val="4158101C"/>
    <w:rsid w:val="42DBCB15"/>
    <w:rsid w:val="4392C7F1"/>
    <w:rsid w:val="45A2EB3A"/>
    <w:rsid w:val="47E7D7DB"/>
    <w:rsid w:val="489F7AD1"/>
    <w:rsid w:val="489FE55F"/>
    <w:rsid w:val="48DA8BFC"/>
    <w:rsid w:val="4A4E0037"/>
    <w:rsid w:val="4A592D6F"/>
    <w:rsid w:val="4BD71B93"/>
    <w:rsid w:val="4C6637AF"/>
    <w:rsid w:val="4C822240"/>
    <w:rsid w:val="4D6D5C4E"/>
    <w:rsid w:val="4DDF77FD"/>
    <w:rsid w:val="4F092CAF"/>
    <w:rsid w:val="4F5E5048"/>
    <w:rsid w:val="4FB04869"/>
    <w:rsid w:val="5149B83C"/>
    <w:rsid w:val="51FF8415"/>
    <w:rsid w:val="52F81877"/>
    <w:rsid w:val="53870384"/>
    <w:rsid w:val="54019016"/>
    <w:rsid w:val="5593430B"/>
    <w:rsid w:val="55F45750"/>
    <w:rsid w:val="5733ACDD"/>
    <w:rsid w:val="57F2F6E5"/>
    <w:rsid w:val="58AC7556"/>
    <w:rsid w:val="58F4C01F"/>
    <w:rsid w:val="59291F1E"/>
    <w:rsid w:val="593451A0"/>
    <w:rsid w:val="5952AAA2"/>
    <w:rsid w:val="5964E85B"/>
    <w:rsid w:val="5A0C0814"/>
    <w:rsid w:val="5BF0DF73"/>
    <w:rsid w:val="5BF7000A"/>
    <w:rsid w:val="5C5862BD"/>
    <w:rsid w:val="5CD5D46E"/>
    <w:rsid w:val="5DC08838"/>
    <w:rsid w:val="5E21A8BD"/>
    <w:rsid w:val="5F11E945"/>
    <w:rsid w:val="5F349EEC"/>
    <w:rsid w:val="5F61CDDD"/>
    <w:rsid w:val="5F6CF78A"/>
    <w:rsid w:val="60EB9CF6"/>
    <w:rsid w:val="62A894D3"/>
    <w:rsid w:val="63371B77"/>
    <w:rsid w:val="637E83F9"/>
    <w:rsid w:val="6381ACE4"/>
    <w:rsid w:val="63D2442C"/>
    <w:rsid w:val="63D95E19"/>
    <w:rsid w:val="63EE8798"/>
    <w:rsid w:val="640D875E"/>
    <w:rsid w:val="6413F313"/>
    <w:rsid w:val="64251D0D"/>
    <w:rsid w:val="659D50DF"/>
    <w:rsid w:val="65DB78B5"/>
    <w:rsid w:val="661E133C"/>
    <w:rsid w:val="6767C195"/>
    <w:rsid w:val="68CD066A"/>
    <w:rsid w:val="690F9D2B"/>
    <w:rsid w:val="6915E924"/>
    <w:rsid w:val="6951A1EC"/>
    <w:rsid w:val="6990841B"/>
    <w:rsid w:val="6A90BB2E"/>
    <w:rsid w:val="6AC6882C"/>
    <w:rsid w:val="6B718A54"/>
    <w:rsid w:val="6BA5B3CD"/>
    <w:rsid w:val="6F53B5A3"/>
    <w:rsid w:val="7051E8B3"/>
    <w:rsid w:val="70D8033A"/>
    <w:rsid w:val="713BF64E"/>
    <w:rsid w:val="71C69963"/>
    <w:rsid w:val="71F43F61"/>
    <w:rsid w:val="722FB572"/>
    <w:rsid w:val="72C44D8C"/>
    <w:rsid w:val="73552CC7"/>
    <w:rsid w:val="73DD7C30"/>
    <w:rsid w:val="752C0E53"/>
    <w:rsid w:val="75848ACD"/>
    <w:rsid w:val="75B565BB"/>
    <w:rsid w:val="7883E698"/>
    <w:rsid w:val="78A9873C"/>
    <w:rsid w:val="79BF1E50"/>
    <w:rsid w:val="7AA072B8"/>
    <w:rsid w:val="7BBA6596"/>
    <w:rsid w:val="7BEE8E79"/>
    <w:rsid w:val="7D2C4714"/>
    <w:rsid w:val="7E5721B9"/>
    <w:rsid w:val="7F3CD6F2"/>
    <w:rsid w:val="7F978577"/>
    <w:rsid w:val="7FA4D168"/>
    <w:rsid w:val="7FAB5B3E"/>
    <w:rsid w:val="7FC101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04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B9E"/>
  </w:style>
  <w:style w:type="paragraph" w:styleId="Heading1">
    <w:name w:val="heading 1"/>
    <w:basedOn w:val="Normal"/>
    <w:next w:val="Normal"/>
    <w:link w:val="Heading1Char"/>
    <w:uiPriority w:val="9"/>
    <w:qFormat/>
    <w:rsid w:val="001F3F0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1F3F0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F3F0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9"/>
    <w:unhideWhenUsed/>
    <w:qFormat/>
    <w:rsid w:val="001F3F05"/>
    <w:pPr>
      <w:keepNext/>
      <w:keepLines/>
      <w:spacing w:before="40" w:after="0"/>
      <w:outlineLvl w:val="3"/>
    </w:pPr>
    <w:rPr>
      <w:rFonts w:asciiTheme="majorHAnsi" w:eastAsiaTheme="majorEastAsia" w:hAnsiTheme="majorHAnsi" w:cstheme="majorBidi"/>
      <w:sz w:val="22"/>
      <w:szCs w:val="22"/>
    </w:rPr>
  </w:style>
  <w:style w:type="paragraph" w:styleId="Heading5">
    <w:name w:val="heading 5"/>
    <w:aliases w:val="Level 1 Numbered"/>
    <w:basedOn w:val="Normal"/>
    <w:next w:val="Normal"/>
    <w:link w:val="Heading5Char"/>
    <w:uiPriority w:val="99"/>
    <w:unhideWhenUsed/>
    <w:qFormat/>
    <w:rsid w:val="001F3F0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aliases w:val="Level 2 Numbered"/>
    <w:basedOn w:val="Normal"/>
    <w:next w:val="Normal"/>
    <w:link w:val="Heading6Char"/>
    <w:uiPriority w:val="99"/>
    <w:unhideWhenUsed/>
    <w:qFormat/>
    <w:rsid w:val="001F3F0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aliases w:val="Level 3 Numbered"/>
    <w:basedOn w:val="Normal"/>
    <w:next w:val="Normal"/>
    <w:link w:val="Heading7Char"/>
    <w:uiPriority w:val="99"/>
    <w:unhideWhenUsed/>
    <w:qFormat/>
    <w:rsid w:val="001F3F0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aliases w:val="Level 4 Numbered"/>
    <w:basedOn w:val="Normal"/>
    <w:next w:val="Normal"/>
    <w:link w:val="Heading8Char"/>
    <w:uiPriority w:val="99"/>
    <w:unhideWhenUsed/>
    <w:qFormat/>
    <w:rsid w:val="001F3F0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9"/>
    <w:unhideWhenUsed/>
    <w:qFormat/>
    <w:rsid w:val="001F3F0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F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3F0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F3F0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1F3F05"/>
    <w:rPr>
      <w:rFonts w:asciiTheme="majorHAnsi" w:eastAsiaTheme="majorEastAsia" w:hAnsiTheme="majorHAnsi" w:cstheme="majorBidi"/>
      <w:sz w:val="22"/>
      <w:szCs w:val="22"/>
    </w:rPr>
  </w:style>
  <w:style w:type="character" w:customStyle="1" w:styleId="Heading5Char">
    <w:name w:val="Heading 5 Char"/>
    <w:aliases w:val="Level 1 Numbered Char"/>
    <w:basedOn w:val="DefaultParagraphFont"/>
    <w:link w:val="Heading5"/>
    <w:uiPriority w:val="9"/>
    <w:rsid w:val="001F3F05"/>
    <w:rPr>
      <w:rFonts w:asciiTheme="majorHAnsi" w:eastAsiaTheme="majorEastAsia" w:hAnsiTheme="majorHAnsi" w:cstheme="majorBidi"/>
      <w:color w:val="44546A" w:themeColor="text2"/>
      <w:sz w:val="22"/>
      <w:szCs w:val="22"/>
    </w:rPr>
  </w:style>
  <w:style w:type="character" w:customStyle="1" w:styleId="Heading6Char">
    <w:name w:val="Heading 6 Char"/>
    <w:aliases w:val="Level 2 Numbered Char"/>
    <w:basedOn w:val="DefaultParagraphFont"/>
    <w:link w:val="Heading6"/>
    <w:uiPriority w:val="9"/>
    <w:rsid w:val="001F3F05"/>
    <w:rPr>
      <w:rFonts w:asciiTheme="majorHAnsi" w:eastAsiaTheme="majorEastAsia" w:hAnsiTheme="majorHAnsi" w:cstheme="majorBidi"/>
      <w:i/>
      <w:iCs/>
      <w:color w:val="44546A" w:themeColor="text2"/>
      <w:sz w:val="21"/>
      <w:szCs w:val="21"/>
    </w:rPr>
  </w:style>
  <w:style w:type="character" w:customStyle="1" w:styleId="Heading7Char">
    <w:name w:val="Heading 7 Char"/>
    <w:aliases w:val="Level 3 Numbered Char"/>
    <w:basedOn w:val="DefaultParagraphFont"/>
    <w:link w:val="Heading7"/>
    <w:uiPriority w:val="99"/>
    <w:rsid w:val="001F3F0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aliases w:val="Level 4 Numbered Char"/>
    <w:basedOn w:val="DefaultParagraphFont"/>
    <w:link w:val="Heading8"/>
    <w:uiPriority w:val="9"/>
    <w:rsid w:val="001F3F0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9"/>
    <w:rsid w:val="001F3F05"/>
    <w:rPr>
      <w:rFonts w:asciiTheme="majorHAnsi" w:eastAsiaTheme="majorEastAsia" w:hAnsiTheme="majorHAnsi" w:cstheme="majorBidi"/>
      <w:b/>
      <w:bCs/>
      <w:i/>
      <w:iCs/>
      <w:color w:val="44546A" w:themeColor="text2"/>
    </w:rPr>
  </w:style>
  <w:style w:type="character" w:styleId="Hyperlink">
    <w:name w:val="Hyperlink"/>
    <w:basedOn w:val="DefaultParagraphFont"/>
    <w:uiPriority w:val="99"/>
    <w:rsid w:val="00DB42A5"/>
    <w:rPr>
      <w:rFonts w:cs="Times New Roman"/>
      <w:color w:val="000000"/>
      <w:u w:val="none"/>
    </w:rPr>
  </w:style>
  <w:style w:type="table" w:styleId="TableGrid">
    <w:name w:val="Table Grid"/>
    <w:basedOn w:val="TableNormal"/>
    <w:uiPriority w:val="39"/>
    <w:rsid w:val="00DB42A5"/>
    <w:pPr>
      <w:spacing w:after="0" w:line="240" w:lineRule="auto"/>
    </w:pPr>
    <w:rPr>
      <w:rFonts w:ascii="Times New Roman" w:eastAsia="Times New Roman" w:hAnsi="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DB42A5"/>
  </w:style>
  <w:style w:type="character" w:customStyle="1" w:styleId="FootnoteTextChar">
    <w:name w:val="Footnote Text Char"/>
    <w:basedOn w:val="DefaultParagraphFont"/>
    <w:link w:val="FootnoteText"/>
    <w:uiPriority w:val="99"/>
    <w:rsid w:val="00DB42A5"/>
    <w:rPr>
      <w:rFonts w:eastAsia="Times New Roman" w:cs="Times New Roman"/>
      <w:sz w:val="20"/>
      <w:szCs w:val="20"/>
    </w:rPr>
  </w:style>
  <w:style w:type="character" w:styleId="FootnoteReference">
    <w:name w:val="footnote reference"/>
    <w:uiPriority w:val="99"/>
    <w:unhideWhenUsed/>
    <w:rsid w:val="00DB42A5"/>
    <w:rPr>
      <w:rFonts w:asciiTheme="minorHAnsi" w:hAnsiTheme="minorHAnsi"/>
      <w:color w:val="7F7F7F" w:themeColor="text1" w:themeTint="80"/>
      <w:vertAlign w:val="superscript"/>
      <w:lang w:eastAsia="en-AU"/>
    </w:rPr>
  </w:style>
  <w:style w:type="paragraph" w:customStyle="1" w:styleId="Pa4">
    <w:name w:val="Pa4"/>
    <w:basedOn w:val="Normal"/>
    <w:next w:val="Normal"/>
    <w:uiPriority w:val="99"/>
    <w:rsid w:val="00DB42A5"/>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uiPriority w:val="99"/>
    <w:rsid w:val="00DB42A5"/>
    <w:pPr>
      <w:widowControl w:val="0"/>
      <w:autoSpaceDE w:val="0"/>
      <w:autoSpaceDN w:val="0"/>
      <w:adjustRightInd w:val="0"/>
      <w:spacing w:after="160" w:line="241" w:lineRule="atLeast"/>
    </w:pPr>
    <w:rPr>
      <w:rFonts w:ascii="Univers" w:eastAsia="SimSun" w:hAnsi="Univers" w:cs="Univers"/>
      <w:lang w:val="en-US"/>
    </w:rPr>
  </w:style>
  <w:style w:type="paragraph" w:styleId="Caption">
    <w:name w:val="caption"/>
    <w:basedOn w:val="Normal"/>
    <w:next w:val="Normal"/>
    <w:uiPriority w:val="3"/>
    <w:unhideWhenUsed/>
    <w:qFormat/>
    <w:rsid w:val="001F3F0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1F3F0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1F3F0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1F3F0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F3F05"/>
    <w:rPr>
      <w:rFonts w:asciiTheme="majorHAnsi" w:eastAsiaTheme="majorEastAsia" w:hAnsiTheme="majorHAnsi" w:cstheme="majorBidi"/>
      <w:sz w:val="24"/>
      <w:szCs w:val="24"/>
    </w:rPr>
  </w:style>
  <w:style w:type="character" w:styleId="Strong">
    <w:name w:val="Strong"/>
    <w:basedOn w:val="DefaultParagraphFont"/>
    <w:uiPriority w:val="99"/>
    <w:qFormat/>
    <w:rsid w:val="001F3F05"/>
    <w:rPr>
      <w:b/>
      <w:bCs/>
    </w:rPr>
  </w:style>
  <w:style w:type="character" w:styleId="Emphasis">
    <w:name w:val="Emphasis"/>
    <w:basedOn w:val="DefaultParagraphFont"/>
    <w:uiPriority w:val="20"/>
    <w:qFormat/>
    <w:rsid w:val="001F3F05"/>
    <w:rPr>
      <w:i/>
      <w:iCs/>
    </w:rPr>
  </w:style>
  <w:style w:type="paragraph" w:styleId="NoSpacing">
    <w:name w:val="No Spacing"/>
    <w:uiPriority w:val="1"/>
    <w:qFormat/>
    <w:rsid w:val="001F3F05"/>
    <w:pPr>
      <w:spacing w:after="0" w:line="240" w:lineRule="auto"/>
    </w:pPr>
  </w:style>
  <w:style w:type="paragraph" w:styleId="Quote">
    <w:name w:val="Quote"/>
    <w:basedOn w:val="Normal"/>
    <w:next w:val="Normal"/>
    <w:link w:val="QuoteChar"/>
    <w:uiPriority w:val="31"/>
    <w:qFormat/>
    <w:rsid w:val="001F3F05"/>
    <w:pPr>
      <w:spacing w:before="160"/>
      <w:ind w:left="720" w:right="720"/>
    </w:pPr>
    <w:rPr>
      <w:i/>
      <w:iCs/>
      <w:color w:val="404040" w:themeColor="text1" w:themeTint="BF"/>
    </w:rPr>
  </w:style>
  <w:style w:type="character" w:customStyle="1" w:styleId="QuoteChar">
    <w:name w:val="Quote Char"/>
    <w:basedOn w:val="DefaultParagraphFont"/>
    <w:link w:val="Quote"/>
    <w:uiPriority w:val="31"/>
    <w:rsid w:val="001F3F05"/>
    <w:rPr>
      <w:i/>
      <w:iCs/>
      <w:color w:val="404040" w:themeColor="text1" w:themeTint="BF"/>
    </w:rPr>
  </w:style>
  <w:style w:type="paragraph" w:styleId="IntenseQuote">
    <w:name w:val="Intense Quote"/>
    <w:basedOn w:val="Normal"/>
    <w:next w:val="Normal"/>
    <w:link w:val="IntenseQuoteChar"/>
    <w:uiPriority w:val="30"/>
    <w:qFormat/>
    <w:rsid w:val="001F3F0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F3F0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F3F05"/>
    <w:rPr>
      <w:i/>
      <w:iCs/>
      <w:color w:val="404040" w:themeColor="text1" w:themeTint="BF"/>
    </w:rPr>
  </w:style>
  <w:style w:type="character" w:styleId="IntenseEmphasis">
    <w:name w:val="Intense Emphasis"/>
    <w:basedOn w:val="DefaultParagraphFont"/>
    <w:uiPriority w:val="21"/>
    <w:qFormat/>
    <w:rsid w:val="001F3F05"/>
    <w:rPr>
      <w:b/>
      <w:bCs/>
      <w:i/>
      <w:iCs/>
    </w:rPr>
  </w:style>
  <w:style w:type="character" w:styleId="SubtleReference">
    <w:name w:val="Subtle Reference"/>
    <w:basedOn w:val="DefaultParagraphFont"/>
    <w:uiPriority w:val="31"/>
    <w:qFormat/>
    <w:rsid w:val="001F3F0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3F05"/>
    <w:rPr>
      <w:b/>
      <w:bCs/>
      <w:smallCaps/>
      <w:spacing w:val="5"/>
      <w:u w:val="single"/>
    </w:rPr>
  </w:style>
  <w:style w:type="character" w:styleId="BookTitle">
    <w:name w:val="Book Title"/>
    <w:basedOn w:val="DefaultParagraphFont"/>
    <w:uiPriority w:val="33"/>
    <w:qFormat/>
    <w:rsid w:val="001F3F05"/>
    <w:rPr>
      <w:b/>
      <w:bCs/>
      <w:smallCaps/>
    </w:rPr>
  </w:style>
  <w:style w:type="paragraph" w:styleId="TOCHeading">
    <w:name w:val="TOC Heading"/>
    <w:basedOn w:val="Heading1"/>
    <w:next w:val="Normal"/>
    <w:uiPriority w:val="39"/>
    <w:unhideWhenUsed/>
    <w:qFormat/>
    <w:rsid w:val="001F3F05"/>
    <w:pPr>
      <w:outlineLvl w:val="9"/>
    </w:pPr>
  </w:style>
  <w:style w:type="paragraph" w:styleId="ListParagraph">
    <w:name w:val="List Paragraph"/>
    <w:aliases w:val="NFP GP Bulleted List,List Paragraph1,Recommendation,#List Paragraph,List Paragraph11,L,Table Dots,List Paragraph - bullets,Use Case List Paragraph,List Paragraph2,Bullet point,bullet point list,1 heading,AR bullet 1,Bullet Point,CV text,列"/>
    <w:basedOn w:val="Normal"/>
    <w:link w:val="ListParagraphChar"/>
    <w:uiPriority w:val="34"/>
    <w:qFormat/>
    <w:rsid w:val="00F82787"/>
    <w:pPr>
      <w:numPr>
        <w:numId w:val="1"/>
      </w:numPr>
      <w:spacing w:after="240" w:line="240" w:lineRule="auto"/>
    </w:pPr>
    <w:rPr>
      <w:rFonts w:ascii="Arial" w:eastAsiaTheme="minorHAnsi" w:hAnsi="Arial"/>
      <w:sz w:val="24"/>
      <w:szCs w:val="22"/>
    </w:rPr>
  </w:style>
  <w:style w:type="character" w:customStyle="1" w:styleId="ListParagraphChar">
    <w:name w:val="List Paragraph Char"/>
    <w:aliases w:val="NFP GP Bulleted List Char,List Paragraph1 Char,Recommendation Char,#List Paragraph Char,List Paragraph11 Char,L Char,Table Dots Char,List Paragraph - bullets Char,Use Case List Paragraph Char,List Paragraph2 Char,Bullet point Char"/>
    <w:basedOn w:val="DefaultParagraphFont"/>
    <w:link w:val="ListParagraph"/>
    <w:uiPriority w:val="34"/>
    <w:qFormat/>
    <w:locked/>
    <w:rsid w:val="00F82787"/>
    <w:rPr>
      <w:rFonts w:ascii="Arial" w:eastAsiaTheme="minorHAnsi" w:hAnsi="Arial"/>
      <w:sz w:val="24"/>
      <w:szCs w:val="22"/>
    </w:rPr>
  </w:style>
  <w:style w:type="paragraph" w:styleId="TOC2">
    <w:name w:val="toc 2"/>
    <w:basedOn w:val="Normal"/>
    <w:next w:val="Normal"/>
    <w:autoRedefine/>
    <w:uiPriority w:val="39"/>
    <w:unhideWhenUsed/>
    <w:rsid w:val="00016586"/>
    <w:pPr>
      <w:spacing w:after="100"/>
      <w:ind w:left="200"/>
    </w:pPr>
  </w:style>
  <w:style w:type="paragraph" w:styleId="TOC1">
    <w:name w:val="toc 1"/>
    <w:basedOn w:val="Normal"/>
    <w:next w:val="Normal"/>
    <w:autoRedefine/>
    <w:uiPriority w:val="39"/>
    <w:unhideWhenUsed/>
    <w:rsid w:val="00016586"/>
    <w:pPr>
      <w:spacing w:after="100"/>
    </w:pPr>
  </w:style>
  <w:style w:type="paragraph" w:styleId="Header">
    <w:name w:val="header"/>
    <w:basedOn w:val="Normal"/>
    <w:link w:val="HeaderChar"/>
    <w:uiPriority w:val="99"/>
    <w:unhideWhenUsed/>
    <w:rsid w:val="00F96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3D8"/>
  </w:style>
  <w:style w:type="paragraph" w:styleId="Footer">
    <w:name w:val="footer"/>
    <w:basedOn w:val="Normal"/>
    <w:link w:val="FooterChar"/>
    <w:uiPriority w:val="99"/>
    <w:unhideWhenUsed/>
    <w:rsid w:val="00F96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3D8"/>
  </w:style>
  <w:style w:type="character" w:styleId="CommentReference">
    <w:name w:val="annotation reference"/>
    <w:basedOn w:val="DefaultParagraphFont"/>
    <w:unhideWhenUsed/>
    <w:rsid w:val="0061095D"/>
    <w:rPr>
      <w:sz w:val="16"/>
      <w:szCs w:val="16"/>
    </w:rPr>
  </w:style>
  <w:style w:type="paragraph" w:styleId="CommentText">
    <w:name w:val="annotation text"/>
    <w:basedOn w:val="Normal"/>
    <w:link w:val="CommentTextChar"/>
    <w:unhideWhenUsed/>
    <w:rsid w:val="0061095D"/>
    <w:pPr>
      <w:spacing w:line="240" w:lineRule="auto"/>
    </w:pPr>
  </w:style>
  <w:style w:type="character" w:customStyle="1" w:styleId="CommentTextChar">
    <w:name w:val="Comment Text Char"/>
    <w:basedOn w:val="DefaultParagraphFont"/>
    <w:link w:val="CommentText"/>
    <w:rsid w:val="0061095D"/>
  </w:style>
  <w:style w:type="paragraph" w:styleId="CommentSubject">
    <w:name w:val="annotation subject"/>
    <w:basedOn w:val="CommentText"/>
    <w:next w:val="CommentText"/>
    <w:link w:val="CommentSubjectChar"/>
    <w:uiPriority w:val="99"/>
    <w:semiHidden/>
    <w:unhideWhenUsed/>
    <w:rsid w:val="0061095D"/>
    <w:rPr>
      <w:b/>
      <w:bCs/>
    </w:rPr>
  </w:style>
  <w:style w:type="character" w:customStyle="1" w:styleId="CommentSubjectChar">
    <w:name w:val="Comment Subject Char"/>
    <w:basedOn w:val="CommentTextChar"/>
    <w:link w:val="CommentSubject"/>
    <w:uiPriority w:val="99"/>
    <w:semiHidden/>
    <w:rsid w:val="0061095D"/>
    <w:rPr>
      <w:b/>
      <w:bCs/>
    </w:rPr>
  </w:style>
  <w:style w:type="paragraph" w:styleId="BalloonText">
    <w:name w:val="Balloon Text"/>
    <w:basedOn w:val="Normal"/>
    <w:link w:val="BalloonTextChar"/>
    <w:uiPriority w:val="99"/>
    <w:semiHidden/>
    <w:unhideWhenUsed/>
    <w:rsid w:val="00610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95D"/>
    <w:rPr>
      <w:rFonts w:ascii="Segoe UI" w:hAnsi="Segoe UI" w:cs="Segoe UI"/>
      <w:sz w:val="18"/>
      <w:szCs w:val="18"/>
    </w:rPr>
  </w:style>
  <w:style w:type="paragraph" w:customStyle="1" w:styleId="TableText">
    <w:name w:val="Table Text"/>
    <w:basedOn w:val="Normal"/>
    <w:uiPriority w:val="13"/>
    <w:qFormat/>
    <w:rsid w:val="009D7F79"/>
    <w:pPr>
      <w:spacing w:before="60" w:after="60" w:line="240" w:lineRule="auto"/>
    </w:pPr>
    <w:rPr>
      <w:rFonts w:ascii="Cambria" w:eastAsiaTheme="minorHAnsi" w:hAnsi="Cambria"/>
      <w:sz w:val="18"/>
      <w:szCs w:val="22"/>
    </w:rPr>
  </w:style>
  <w:style w:type="paragraph" w:customStyle="1" w:styleId="TableHeading">
    <w:name w:val="Table Heading"/>
    <w:basedOn w:val="TableText"/>
    <w:uiPriority w:val="14"/>
    <w:qFormat/>
    <w:rsid w:val="009D7F79"/>
    <w:pPr>
      <w:keepNext/>
    </w:pPr>
    <w:rPr>
      <w:b/>
    </w:rPr>
  </w:style>
  <w:style w:type="paragraph" w:customStyle="1" w:styleId="NormalIndented">
    <w:name w:val="Normal Indented"/>
    <w:basedOn w:val="Normal"/>
    <w:qFormat/>
    <w:rsid w:val="00001A6E"/>
    <w:pPr>
      <w:suppressAutoHyphens/>
      <w:spacing w:before="180" w:after="60" w:line="280" w:lineRule="atLeast"/>
      <w:ind w:left="284"/>
    </w:pPr>
    <w:rPr>
      <w:rFonts w:eastAsiaTheme="minorHAnsi"/>
      <w:sz w:val="22"/>
      <w:szCs w:val="22"/>
    </w:rPr>
  </w:style>
  <w:style w:type="table" w:styleId="TableGridLight">
    <w:name w:val="Grid Table Light"/>
    <w:basedOn w:val="TableNormal"/>
    <w:uiPriority w:val="40"/>
    <w:rsid w:val="00535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1E341C"/>
    <w:rPr>
      <w:rFonts w:ascii="Segoe UI" w:hAnsi="Segoe UI" w:cs="Segoe UI" w:hint="default"/>
      <w:sz w:val="18"/>
      <w:szCs w:val="18"/>
    </w:rPr>
  </w:style>
  <w:style w:type="paragraph" w:styleId="ListBullet">
    <w:name w:val="List Bullet"/>
    <w:basedOn w:val="Normal"/>
    <w:uiPriority w:val="2"/>
    <w:rsid w:val="007930D0"/>
    <w:pPr>
      <w:numPr>
        <w:numId w:val="7"/>
      </w:numPr>
      <w:spacing w:after="40" w:line="276" w:lineRule="auto"/>
    </w:pPr>
    <w:rPr>
      <w:rFonts w:eastAsiaTheme="minorHAnsi"/>
      <w:szCs w:val="22"/>
      <w:lang w:val="en-NZ"/>
    </w:rPr>
  </w:style>
  <w:style w:type="paragraph" w:customStyle="1" w:styleId="OutlineBoxBullets">
    <w:name w:val="Outline Box Bullets"/>
    <w:basedOn w:val="Normal"/>
    <w:uiPriority w:val="13"/>
    <w:qFormat/>
    <w:rsid w:val="007930D0"/>
    <w:pPr>
      <w:numPr>
        <w:ilvl w:val="2"/>
        <w:numId w:val="7"/>
      </w:numPr>
      <w:pBdr>
        <w:top w:val="single" w:sz="4" w:space="12" w:color="5B9BD5" w:themeColor="accent1"/>
        <w:left w:val="single" w:sz="4" w:space="10" w:color="5B9BD5" w:themeColor="accent1"/>
        <w:bottom w:val="single" w:sz="4" w:space="12" w:color="5B9BD5" w:themeColor="accent1"/>
        <w:right w:val="single" w:sz="4" w:space="4" w:color="5B9BD5" w:themeColor="accent1"/>
      </w:pBdr>
      <w:spacing w:after="0" w:line="240" w:lineRule="auto"/>
      <w:ind w:left="805" w:right="805"/>
    </w:pPr>
    <w:rPr>
      <w:rFonts w:eastAsiaTheme="minorHAnsi"/>
      <w:szCs w:val="22"/>
      <w:lang w:val="en-NZ"/>
    </w:rPr>
  </w:style>
  <w:style w:type="paragraph" w:styleId="ListBullet2">
    <w:name w:val="List Bullet 2"/>
    <w:basedOn w:val="Normal"/>
    <w:uiPriority w:val="2"/>
    <w:rsid w:val="007930D0"/>
    <w:pPr>
      <w:numPr>
        <w:ilvl w:val="1"/>
        <w:numId w:val="7"/>
      </w:numPr>
      <w:spacing w:after="40" w:line="276" w:lineRule="auto"/>
    </w:pPr>
    <w:rPr>
      <w:rFonts w:eastAsiaTheme="minorHAnsi"/>
      <w:szCs w:val="22"/>
      <w:lang w:val="en-NZ"/>
    </w:rPr>
  </w:style>
  <w:style w:type="table" w:styleId="ListTable3-Accent1">
    <w:name w:val="List Table 3 Accent 1"/>
    <w:basedOn w:val="TableNormal"/>
    <w:uiPriority w:val="48"/>
    <w:rsid w:val="007930D0"/>
    <w:pPr>
      <w:spacing w:after="0" w:line="240" w:lineRule="auto"/>
    </w:pPr>
    <w:rPr>
      <w:rFonts w:eastAsiaTheme="minorHAnsi"/>
      <w:sz w:val="22"/>
      <w:szCs w:val="22"/>
      <w:lang w:val="en-NZ"/>
      <w14:ligatures w14:val="standardContextu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UnresolvedMention">
    <w:name w:val="Unresolved Mention"/>
    <w:basedOn w:val="DefaultParagraphFont"/>
    <w:uiPriority w:val="99"/>
    <w:semiHidden/>
    <w:unhideWhenUsed/>
    <w:rsid w:val="008D7B56"/>
    <w:rPr>
      <w:color w:val="605E5C"/>
      <w:shd w:val="clear" w:color="auto" w:fill="E1DFDD"/>
    </w:rPr>
  </w:style>
  <w:style w:type="paragraph" w:styleId="Revision">
    <w:name w:val="Revision"/>
    <w:hidden/>
    <w:uiPriority w:val="99"/>
    <w:semiHidden/>
    <w:rsid w:val="00AB62D9"/>
    <w:pPr>
      <w:spacing w:after="0" w:line="240" w:lineRule="auto"/>
    </w:pPr>
  </w:style>
  <w:style w:type="paragraph" w:customStyle="1" w:styleId="pf0">
    <w:name w:val="pf0"/>
    <w:basedOn w:val="Normal"/>
    <w:rsid w:val="00C203E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f3">
    <w:name w:val="pf3"/>
    <w:basedOn w:val="Normal"/>
    <w:rsid w:val="006C7E7B"/>
    <w:pPr>
      <w:spacing w:before="100" w:beforeAutospacing="1" w:after="100" w:afterAutospacing="1" w:line="240" w:lineRule="auto"/>
    </w:pPr>
    <w:rPr>
      <w:rFonts w:ascii="Times New Roman" w:eastAsia="Times New Roman" w:hAnsi="Times New Roman" w:cs="Times New Roman"/>
      <w:sz w:val="24"/>
      <w:szCs w:val="24"/>
      <w:lang w:eastAsia="en-AU"/>
      <w14:ligatures w14:val="standardContextual"/>
    </w:rPr>
  </w:style>
  <w:style w:type="paragraph" w:customStyle="1" w:styleId="pf1">
    <w:name w:val="pf1"/>
    <w:basedOn w:val="Normal"/>
    <w:rsid w:val="006C7E7B"/>
    <w:pPr>
      <w:spacing w:before="100" w:beforeAutospacing="1" w:after="100" w:afterAutospacing="1" w:line="240" w:lineRule="auto"/>
    </w:pPr>
    <w:rPr>
      <w:rFonts w:ascii="Times New Roman" w:eastAsia="Times New Roman" w:hAnsi="Times New Roman" w:cs="Times New Roman"/>
      <w:sz w:val="24"/>
      <w:szCs w:val="24"/>
      <w:lang w:eastAsia="en-AU"/>
      <w14:ligatures w14:val="standardContextual"/>
    </w:rPr>
  </w:style>
  <w:style w:type="paragraph" w:customStyle="1" w:styleId="paragraph">
    <w:name w:val="paragraph"/>
    <w:basedOn w:val="Normal"/>
    <w:rsid w:val="006C7E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DB2EE2"/>
    <w:rPr>
      <w:color w:val="954F72" w:themeColor="followedHyperlink"/>
      <w:u w:val="single"/>
    </w:rPr>
  </w:style>
  <w:style w:type="paragraph" w:styleId="ListNumber">
    <w:name w:val="List Number"/>
    <w:basedOn w:val="Normal"/>
    <w:uiPriority w:val="99"/>
    <w:qFormat/>
    <w:rsid w:val="000D35F0"/>
    <w:pPr>
      <w:numPr>
        <w:numId w:val="22"/>
      </w:numPr>
      <w:spacing w:after="240" w:line="240" w:lineRule="auto"/>
      <w:ind w:hanging="360"/>
    </w:pPr>
    <w:rPr>
      <w:rFonts w:eastAsiaTheme="minorHAnsi"/>
      <w:szCs w:val="22"/>
      <w:lang w:val="en-NZ"/>
    </w:rPr>
  </w:style>
  <w:style w:type="paragraph" w:styleId="ListNumber2">
    <w:name w:val="List Number 2"/>
    <w:basedOn w:val="Normal"/>
    <w:uiPriority w:val="99"/>
    <w:rsid w:val="000D35F0"/>
    <w:pPr>
      <w:numPr>
        <w:ilvl w:val="1"/>
        <w:numId w:val="22"/>
      </w:numPr>
      <w:spacing w:after="60" w:line="276" w:lineRule="auto"/>
      <w:ind w:left="1440" w:hanging="360"/>
      <w:contextualSpacing/>
    </w:pPr>
    <w:rPr>
      <w:rFonts w:eastAsiaTheme="minorHAnsi"/>
      <w:szCs w:val="22"/>
      <w:lang w:val="en-NZ"/>
    </w:rPr>
  </w:style>
  <w:style w:type="paragraph" w:styleId="ListNumber3">
    <w:name w:val="List Number 3"/>
    <w:basedOn w:val="Normal"/>
    <w:uiPriority w:val="99"/>
    <w:rsid w:val="000D35F0"/>
    <w:pPr>
      <w:numPr>
        <w:ilvl w:val="2"/>
        <w:numId w:val="22"/>
      </w:numPr>
      <w:spacing w:after="60" w:line="276" w:lineRule="auto"/>
      <w:ind w:left="2160" w:hanging="360"/>
      <w:contextualSpacing/>
    </w:pPr>
    <w:rPr>
      <w:rFonts w:eastAsiaTheme="minorHAnsi"/>
      <w:szCs w:val="22"/>
      <w:lang w:val="en-NZ"/>
    </w:rPr>
  </w:style>
  <w:style w:type="paragraph" w:styleId="ListNumber4">
    <w:name w:val="List Number 4"/>
    <w:basedOn w:val="Normal"/>
    <w:uiPriority w:val="99"/>
    <w:rsid w:val="000D35F0"/>
    <w:pPr>
      <w:numPr>
        <w:ilvl w:val="3"/>
        <w:numId w:val="22"/>
      </w:numPr>
      <w:spacing w:after="60" w:line="276" w:lineRule="auto"/>
      <w:ind w:left="2880" w:hanging="360"/>
      <w:contextualSpacing/>
    </w:pPr>
    <w:rPr>
      <w:rFonts w:eastAsiaTheme="minorHAnsi"/>
      <w:szCs w:val="22"/>
      <w:lang w:val="en-NZ"/>
    </w:rPr>
  </w:style>
  <w:style w:type="paragraph" w:styleId="ListNumber5">
    <w:name w:val="List Number 5"/>
    <w:basedOn w:val="Normal"/>
    <w:uiPriority w:val="99"/>
    <w:rsid w:val="000D35F0"/>
    <w:pPr>
      <w:numPr>
        <w:ilvl w:val="4"/>
        <w:numId w:val="22"/>
      </w:numPr>
      <w:spacing w:after="60" w:line="276" w:lineRule="auto"/>
      <w:ind w:left="1798" w:hanging="335"/>
      <w:contextualSpacing/>
    </w:pPr>
    <w:rPr>
      <w:rFonts w:eastAsiaTheme="minorHAnsi"/>
      <w:szCs w:val="22"/>
      <w:lang w:val="en-NZ"/>
    </w:rPr>
  </w:style>
  <w:style w:type="table" w:styleId="ListTable3-Accent5">
    <w:name w:val="List Table 3 Accent 5"/>
    <w:basedOn w:val="TableNormal"/>
    <w:uiPriority w:val="48"/>
    <w:rsid w:val="00647176"/>
    <w:pPr>
      <w:spacing w:after="0" w:line="240" w:lineRule="auto"/>
    </w:pPr>
    <w:rPr>
      <w:rFonts w:eastAsiaTheme="minorHAnsi"/>
      <w:kern w:val="2"/>
      <w:sz w:val="22"/>
      <w:szCs w:val="22"/>
      <w14:ligatures w14:val="standardContextual"/>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SapereTable">
    <w:name w:val="Sapere Table"/>
    <w:basedOn w:val="TableNormal"/>
    <w:uiPriority w:val="99"/>
    <w:rsid w:val="00067503"/>
    <w:pPr>
      <w:spacing w:after="0" w:line="240" w:lineRule="auto"/>
    </w:pPr>
    <w:rPr>
      <w:rFonts w:eastAsiaTheme="minorHAnsi"/>
      <w:sz w:val="22"/>
      <w:szCs w:val="22"/>
      <w:lang w:val="en-NZ"/>
    </w:rPr>
    <w:tblPr>
      <w:tblBorders>
        <w:top w:val="single" w:sz="4" w:space="0" w:color="5B9BD5" w:themeColor="accent1"/>
        <w:bottom w:val="single" w:sz="4" w:space="0" w:color="5B9BD5" w:themeColor="accent1"/>
        <w:insideH w:val="single" w:sz="4" w:space="0" w:color="5B9BD5" w:themeColor="accent1"/>
        <w:insideV w:val="single" w:sz="4" w:space="0" w:color="5B9BD5" w:themeColor="accent1"/>
      </w:tblBorders>
      <w:tblCellMar>
        <w:top w:w="28" w:type="dxa"/>
        <w:bottom w:w="28" w:type="dxa"/>
      </w:tblCellMar>
    </w:tblPr>
    <w:tblStylePr w:type="firstRow">
      <w:rPr>
        <w:b/>
        <w:color w:val="5B9BD5" w:themeColor="accent1"/>
      </w:rPr>
    </w:tblStylePr>
    <w:tblStylePr w:type="lastRow">
      <w:rPr>
        <w:b/>
      </w:rPr>
      <w:tblPr/>
      <w:tcPr>
        <w:tcBorders>
          <w:top w:val="single" w:sz="18" w:space="0" w:color="5B9BD5" w:themeColor="accent1"/>
        </w:tcBorders>
      </w:tcPr>
    </w:tblStylePr>
    <w:tblStylePr w:type="firstCol">
      <w:rPr>
        <w:b/>
        <w:color w:val="5B9BD5" w:themeColor="accent1"/>
      </w:rPr>
    </w:tblStylePr>
  </w:style>
  <w:style w:type="paragraph" w:styleId="NormalWeb">
    <w:name w:val="Normal (Web)"/>
    <w:basedOn w:val="Normal"/>
    <w:uiPriority w:val="99"/>
    <w:unhideWhenUsed/>
    <w:rsid w:val="0013728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11">
    <w:name w:val="cf11"/>
    <w:basedOn w:val="DefaultParagraphFont"/>
    <w:rsid w:val="00017BF5"/>
    <w:rPr>
      <w:rFonts w:ascii="Segoe UI" w:hAnsi="Segoe UI" w:cs="Segoe UI" w:hint="default"/>
      <w:i/>
      <w:iCs/>
      <w:sz w:val="18"/>
      <w:szCs w:val="18"/>
    </w:rPr>
  </w:style>
  <w:style w:type="character" w:styleId="Mention">
    <w:name w:val="Mention"/>
    <w:basedOn w:val="DefaultParagraphFont"/>
    <w:uiPriority w:val="99"/>
    <w:unhideWhenUsed/>
    <w:rsid w:val="00D76CCF"/>
    <w:rPr>
      <w:color w:val="2B579A"/>
      <w:shd w:val="clear" w:color="auto" w:fill="E1DFDD"/>
    </w:rPr>
  </w:style>
  <w:style w:type="paragraph" w:customStyle="1" w:styleId="Default">
    <w:name w:val="Default"/>
    <w:rsid w:val="004A2BB8"/>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884">
      <w:bodyDiv w:val="1"/>
      <w:marLeft w:val="0"/>
      <w:marRight w:val="0"/>
      <w:marTop w:val="0"/>
      <w:marBottom w:val="0"/>
      <w:divBdr>
        <w:top w:val="none" w:sz="0" w:space="0" w:color="auto"/>
        <w:left w:val="none" w:sz="0" w:space="0" w:color="auto"/>
        <w:bottom w:val="none" w:sz="0" w:space="0" w:color="auto"/>
        <w:right w:val="none" w:sz="0" w:space="0" w:color="auto"/>
      </w:divBdr>
    </w:div>
    <w:div w:id="6947911">
      <w:bodyDiv w:val="1"/>
      <w:marLeft w:val="0"/>
      <w:marRight w:val="0"/>
      <w:marTop w:val="0"/>
      <w:marBottom w:val="0"/>
      <w:divBdr>
        <w:top w:val="none" w:sz="0" w:space="0" w:color="auto"/>
        <w:left w:val="none" w:sz="0" w:space="0" w:color="auto"/>
        <w:bottom w:val="none" w:sz="0" w:space="0" w:color="auto"/>
        <w:right w:val="none" w:sz="0" w:space="0" w:color="auto"/>
      </w:divBdr>
    </w:div>
    <w:div w:id="12727020">
      <w:bodyDiv w:val="1"/>
      <w:marLeft w:val="0"/>
      <w:marRight w:val="0"/>
      <w:marTop w:val="0"/>
      <w:marBottom w:val="0"/>
      <w:divBdr>
        <w:top w:val="none" w:sz="0" w:space="0" w:color="auto"/>
        <w:left w:val="none" w:sz="0" w:space="0" w:color="auto"/>
        <w:bottom w:val="none" w:sz="0" w:space="0" w:color="auto"/>
        <w:right w:val="none" w:sz="0" w:space="0" w:color="auto"/>
      </w:divBdr>
    </w:div>
    <w:div w:id="18242550">
      <w:bodyDiv w:val="1"/>
      <w:marLeft w:val="0"/>
      <w:marRight w:val="0"/>
      <w:marTop w:val="0"/>
      <w:marBottom w:val="0"/>
      <w:divBdr>
        <w:top w:val="none" w:sz="0" w:space="0" w:color="auto"/>
        <w:left w:val="none" w:sz="0" w:space="0" w:color="auto"/>
        <w:bottom w:val="none" w:sz="0" w:space="0" w:color="auto"/>
        <w:right w:val="none" w:sz="0" w:space="0" w:color="auto"/>
      </w:divBdr>
    </w:div>
    <w:div w:id="23287861">
      <w:bodyDiv w:val="1"/>
      <w:marLeft w:val="0"/>
      <w:marRight w:val="0"/>
      <w:marTop w:val="0"/>
      <w:marBottom w:val="0"/>
      <w:divBdr>
        <w:top w:val="none" w:sz="0" w:space="0" w:color="auto"/>
        <w:left w:val="none" w:sz="0" w:space="0" w:color="auto"/>
        <w:bottom w:val="none" w:sz="0" w:space="0" w:color="auto"/>
        <w:right w:val="none" w:sz="0" w:space="0" w:color="auto"/>
      </w:divBdr>
    </w:div>
    <w:div w:id="34159739">
      <w:bodyDiv w:val="1"/>
      <w:marLeft w:val="0"/>
      <w:marRight w:val="0"/>
      <w:marTop w:val="0"/>
      <w:marBottom w:val="0"/>
      <w:divBdr>
        <w:top w:val="none" w:sz="0" w:space="0" w:color="auto"/>
        <w:left w:val="none" w:sz="0" w:space="0" w:color="auto"/>
        <w:bottom w:val="none" w:sz="0" w:space="0" w:color="auto"/>
        <w:right w:val="none" w:sz="0" w:space="0" w:color="auto"/>
      </w:divBdr>
    </w:div>
    <w:div w:id="42602271">
      <w:bodyDiv w:val="1"/>
      <w:marLeft w:val="0"/>
      <w:marRight w:val="0"/>
      <w:marTop w:val="0"/>
      <w:marBottom w:val="0"/>
      <w:divBdr>
        <w:top w:val="none" w:sz="0" w:space="0" w:color="auto"/>
        <w:left w:val="none" w:sz="0" w:space="0" w:color="auto"/>
        <w:bottom w:val="none" w:sz="0" w:space="0" w:color="auto"/>
        <w:right w:val="none" w:sz="0" w:space="0" w:color="auto"/>
      </w:divBdr>
    </w:div>
    <w:div w:id="54665218">
      <w:bodyDiv w:val="1"/>
      <w:marLeft w:val="0"/>
      <w:marRight w:val="0"/>
      <w:marTop w:val="0"/>
      <w:marBottom w:val="0"/>
      <w:divBdr>
        <w:top w:val="none" w:sz="0" w:space="0" w:color="auto"/>
        <w:left w:val="none" w:sz="0" w:space="0" w:color="auto"/>
        <w:bottom w:val="none" w:sz="0" w:space="0" w:color="auto"/>
        <w:right w:val="none" w:sz="0" w:space="0" w:color="auto"/>
      </w:divBdr>
    </w:div>
    <w:div w:id="69427988">
      <w:bodyDiv w:val="1"/>
      <w:marLeft w:val="0"/>
      <w:marRight w:val="0"/>
      <w:marTop w:val="0"/>
      <w:marBottom w:val="0"/>
      <w:divBdr>
        <w:top w:val="none" w:sz="0" w:space="0" w:color="auto"/>
        <w:left w:val="none" w:sz="0" w:space="0" w:color="auto"/>
        <w:bottom w:val="none" w:sz="0" w:space="0" w:color="auto"/>
        <w:right w:val="none" w:sz="0" w:space="0" w:color="auto"/>
      </w:divBdr>
    </w:div>
    <w:div w:id="128598929">
      <w:bodyDiv w:val="1"/>
      <w:marLeft w:val="0"/>
      <w:marRight w:val="0"/>
      <w:marTop w:val="0"/>
      <w:marBottom w:val="0"/>
      <w:divBdr>
        <w:top w:val="none" w:sz="0" w:space="0" w:color="auto"/>
        <w:left w:val="none" w:sz="0" w:space="0" w:color="auto"/>
        <w:bottom w:val="none" w:sz="0" w:space="0" w:color="auto"/>
        <w:right w:val="none" w:sz="0" w:space="0" w:color="auto"/>
      </w:divBdr>
    </w:div>
    <w:div w:id="159195071">
      <w:bodyDiv w:val="1"/>
      <w:marLeft w:val="0"/>
      <w:marRight w:val="0"/>
      <w:marTop w:val="0"/>
      <w:marBottom w:val="0"/>
      <w:divBdr>
        <w:top w:val="none" w:sz="0" w:space="0" w:color="auto"/>
        <w:left w:val="none" w:sz="0" w:space="0" w:color="auto"/>
        <w:bottom w:val="none" w:sz="0" w:space="0" w:color="auto"/>
        <w:right w:val="none" w:sz="0" w:space="0" w:color="auto"/>
      </w:divBdr>
    </w:div>
    <w:div w:id="162209033">
      <w:bodyDiv w:val="1"/>
      <w:marLeft w:val="0"/>
      <w:marRight w:val="0"/>
      <w:marTop w:val="0"/>
      <w:marBottom w:val="0"/>
      <w:divBdr>
        <w:top w:val="none" w:sz="0" w:space="0" w:color="auto"/>
        <w:left w:val="none" w:sz="0" w:space="0" w:color="auto"/>
        <w:bottom w:val="none" w:sz="0" w:space="0" w:color="auto"/>
        <w:right w:val="none" w:sz="0" w:space="0" w:color="auto"/>
      </w:divBdr>
    </w:div>
    <w:div w:id="227040470">
      <w:bodyDiv w:val="1"/>
      <w:marLeft w:val="0"/>
      <w:marRight w:val="0"/>
      <w:marTop w:val="0"/>
      <w:marBottom w:val="0"/>
      <w:divBdr>
        <w:top w:val="none" w:sz="0" w:space="0" w:color="auto"/>
        <w:left w:val="none" w:sz="0" w:space="0" w:color="auto"/>
        <w:bottom w:val="none" w:sz="0" w:space="0" w:color="auto"/>
        <w:right w:val="none" w:sz="0" w:space="0" w:color="auto"/>
      </w:divBdr>
    </w:div>
    <w:div w:id="246963444">
      <w:bodyDiv w:val="1"/>
      <w:marLeft w:val="0"/>
      <w:marRight w:val="0"/>
      <w:marTop w:val="0"/>
      <w:marBottom w:val="0"/>
      <w:divBdr>
        <w:top w:val="none" w:sz="0" w:space="0" w:color="auto"/>
        <w:left w:val="none" w:sz="0" w:space="0" w:color="auto"/>
        <w:bottom w:val="none" w:sz="0" w:space="0" w:color="auto"/>
        <w:right w:val="none" w:sz="0" w:space="0" w:color="auto"/>
      </w:divBdr>
    </w:div>
    <w:div w:id="290408610">
      <w:bodyDiv w:val="1"/>
      <w:marLeft w:val="0"/>
      <w:marRight w:val="0"/>
      <w:marTop w:val="0"/>
      <w:marBottom w:val="0"/>
      <w:divBdr>
        <w:top w:val="none" w:sz="0" w:space="0" w:color="auto"/>
        <w:left w:val="none" w:sz="0" w:space="0" w:color="auto"/>
        <w:bottom w:val="none" w:sz="0" w:space="0" w:color="auto"/>
        <w:right w:val="none" w:sz="0" w:space="0" w:color="auto"/>
      </w:divBdr>
    </w:div>
    <w:div w:id="311370650">
      <w:bodyDiv w:val="1"/>
      <w:marLeft w:val="0"/>
      <w:marRight w:val="0"/>
      <w:marTop w:val="0"/>
      <w:marBottom w:val="0"/>
      <w:divBdr>
        <w:top w:val="none" w:sz="0" w:space="0" w:color="auto"/>
        <w:left w:val="none" w:sz="0" w:space="0" w:color="auto"/>
        <w:bottom w:val="none" w:sz="0" w:space="0" w:color="auto"/>
        <w:right w:val="none" w:sz="0" w:space="0" w:color="auto"/>
      </w:divBdr>
    </w:div>
    <w:div w:id="319310450">
      <w:bodyDiv w:val="1"/>
      <w:marLeft w:val="0"/>
      <w:marRight w:val="0"/>
      <w:marTop w:val="0"/>
      <w:marBottom w:val="0"/>
      <w:divBdr>
        <w:top w:val="none" w:sz="0" w:space="0" w:color="auto"/>
        <w:left w:val="none" w:sz="0" w:space="0" w:color="auto"/>
        <w:bottom w:val="none" w:sz="0" w:space="0" w:color="auto"/>
        <w:right w:val="none" w:sz="0" w:space="0" w:color="auto"/>
      </w:divBdr>
    </w:div>
    <w:div w:id="336230900">
      <w:bodyDiv w:val="1"/>
      <w:marLeft w:val="0"/>
      <w:marRight w:val="0"/>
      <w:marTop w:val="0"/>
      <w:marBottom w:val="0"/>
      <w:divBdr>
        <w:top w:val="none" w:sz="0" w:space="0" w:color="auto"/>
        <w:left w:val="none" w:sz="0" w:space="0" w:color="auto"/>
        <w:bottom w:val="none" w:sz="0" w:space="0" w:color="auto"/>
        <w:right w:val="none" w:sz="0" w:space="0" w:color="auto"/>
      </w:divBdr>
    </w:div>
    <w:div w:id="362823897">
      <w:bodyDiv w:val="1"/>
      <w:marLeft w:val="0"/>
      <w:marRight w:val="0"/>
      <w:marTop w:val="0"/>
      <w:marBottom w:val="0"/>
      <w:divBdr>
        <w:top w:val="none" w:sz="0" w:space="0" w:color="auto"/>
        <w:left w:val="none" w:sz="0" w:space="0" w:color="auto"/>
        <w:bottom w:val="none" w:sz="0" w:space="0" w:color="auto"/>
        <w:right w:val="none" w:sz="0" w:space="0" w:color="auto"/>
      </w:divBdr>
    </w:div>
    <w:div w:id="364183942">
      <w:bodyDiv w:val="1"/>
      <w:marLeft w:val="0"/>
      <w:marRight w:val="0"/>
      <w:marTop w:val="0"/>
      <w:marBottom w:val="0"/>
      <w:divBdr>
        <w:top w:val="none" w:sz="0" w:space="0" w:color="auto"/>
        <w:left w:val="none" w:sz="0" w:space="0" w:color="auto"/>
        <w:bottom w:val="none" w:sz="0" w:space="0" w:color="auto"/>
        <w:right w:val="none" w:sz="0" w:space="0" w:color="auto"/>
      </w:divBdr>
    </w:div>
    <w:div w:id="412511191">
      <w:bodyDiv w:val="1"/>
      <w:marLeft w:val="0"/>
      <w:marRight w:val="0"/>
      <w:marTop w:val="0"/>
      <w:marBottom w:val="0"/>
      <w:divBdr>
        <w:top w:val="none" w:sz="0" w:space="0" w:color="auto"/>
        <w:left w:val="none" w:sz="0" w:space="0" w:color="auto"/>
        <w:bottom w:val="none" w:sz="0" w:space="0" w:color="auto"/>
        <w:right w:val="none" w:sz="0" w:space="0" w:color="auto"/>
      </w:divBdr>
    </w:div>
    <w:div w:id="480511877">
      <w:bodyDiv w:val="1"/>
      <w:marLeft w:val="0"/>
      <w:marRight w:val="0"/>
      <w:marTop w:val="0"/>
      <w:marBottom w:val="0"/>
      <w:divBdr>
        <w:top w:val="none" w:sz="0" w:space="0" w:color="auto"/>
        <w:left w:val="none" w:sz="0" w:space="0" w:color="auto"/>
        <w:bottom w:val="none" w:sz="0" w:space="0" w:color="auto"/>
        <w:right w:val="none" w:sz="0" w:space="0" w:color="auto"/>
      </w:divBdr>
    </w:div>
    <w:div w:id="517236357">
      <w:bodyDiv w:val="1"/>
      <w:marLeft w:val="0"/>
      <w:marRight w:val="0"/>
      <w:marTop w:val="0"/>
      <w:marBottom w:val="0"/>
      <w:divBdr>
        <w:top w:val="none" w:sz="0" w:space="0" w:color="auto"/>
        <w:left w:val="none" w:sz="0" w:space="0" w:color="auto"/>
        <w:bottom w:val="none" w:sz="0" w:space="0" w:color="auto"/>
        <w:right w:val="none" w:sz="0" w:space="0" w:color="auto"/>
      </w:divBdr>
    </w:div>
    <w:div w:id="553810296">
      <w:bodyDiv w:val="1"/>
      <w:marLeft w:val="0"/>
      <w:marRight w:val="0"/>
      <w:marTop w:val="0"/>
      <w:marBottom w:val="0"/>
      <w:divBdr>
        <w:top w:val="none" w:sz="0" w:space="0" w:color="auto"/>
        <w:left w:val="none" w:sz="0" w:space="0" w:color="auto"/>
        <w:bottom w:val="none" w:sz="0" w:space="0" w:color="auto"/>
        <w:right w:val="none" w:sz="0" w:space="0" w:color="auto"/>
      </w:divBdr>
    </w:div>
    <w:div w:id="623855091">
      <w:bodyDiv w:val="1"/>
      <w:marLeft w:val="0"/>
      <w:marRight w:val="0"/>
      <w:marTop w:val="0"/>
      <w:marBottom w:val="0"/>
      <w:divBdr>
        <w:top w:val="none" w:sz="0" w:space="0" w:color="auto"/>
        <w:left w:val="none" w:sz="0" w:space="0" w:color="auto"/>
        <w:bottom w:val="none" w:sz="0" w:space="0" w:color="auto"/>
        <w:right w:val="none" w:sz="0" w:space="0" w:color="auto"/>
      </w:divBdr>
    </w:div>
    <w:div w:id="731543584">
      <w:bodyDiv w:val="1"/>
      <w:marLeft w:val="0"/>
      <w:marRight w:val="0"/>
      <w:marTop w:val="0"/>
      <w:marBottom w:val="0"/>
      <w:divBdr>
        <w:top w:val="none" w:sz="0" w:space="0" w:color="auto"/>
        <w:left w:val="none" w:sz="0" w:space="0" w:color="auto"/>
        <w:bottom w:val="none" w:sz="0" w:space="0" w:color="auto"/>
        <w:right w:val="none" w:sz="0" w:space="0" w:color="auto"/>
      </w:divBdr>
    </w:div>
    <w:div w:id="813840034">
      <w:bodyDiv w:val="1"/>
      <w:marLeft w:val="0"/>
      <w:marRight w:val="0"/>
      <w:marTop w:val="0"/>
      <w:marBottom w:val="0"/>
      <w:divBdr>
        <w:top w:val="none" w:sz="0" w:space="0" w:color="auto"/>
        <w:left w:val="none" w:sz="0" w:space="0" w:color="auto"/>
        <w:bottom w:val="none" w:sz="0" w:space="0" w:color="auto"/>
        <w:right w:val="none" w:sz="0" w:space="0" w:color="auto"/>
      </w:divBdr>
    </w:div>
    <w:div w:id="860512854">
      <w:bodyDiv w:val="1"/>
      <w:marLeft w:val="0"/>
      <w:marRight w:val="0"/>
      <w:marTop w:val="0"/>
      <w:marBottom w:val="0"/>
      <w:divBdr>
        <w:top w:val="none" w:sz="0" w:space="0" w:color="auto"/>
        <w:left w:val="none" w:sz="0" w:space="0" w:color="auto"/>
        <w:bottom w:val="none" w:sz="0" w:space="0" w:color="auto"/>
        <w:right w:val="none" w:sz="0" w:space="0" w:color="auto"/>
      </w:divBdr>
    </w:div>
    <w:div w:id="893856581">
      <w:bodyDiv w:val="1"/>
      <w:marLeft w:val="0"/>
      <w:marRight w:val="0"/>
      <w:marTop w:val="0"/>
      <w:marBottom w:val="0"/>
      <w:divBdr>
        <w:top w:val="none" w:sz="0" w:space="0" w:color="auto"/>
        <w:left w:val="none" w:sz="0" w:space="0" w:color="auto"/>
        <w:bottom w:val="none" w:sz="0" w:space="0" w:color="auto"/>
        <w:right w:val="none" w:sz="0" w:space="0" w:color="auto"/>
      </w:divBdr>
    </w:div>
    <w:div w:id="896087372">
      <w:bodyDiv w:val="1"/>
      <w:marLeft w:val="0"/>
      <w:marRight w:val="0"/>
      <w:marTop w:val="0"/>
      <w:marBottom w:val="0"/>
      <w:divBdr>
        <w:top w:val="none" w:sz="0" w:space="0" w:color="auto"/>
        <w:left w:val="none" w:sz="0" w:space="0" w:color="auto"/>
        <w:bottom w:val="none" w:sz="0" w:space="0" w:color="auto"/>
        <w:right w:val="none" w:sz="0" w:space="0" w:color="auto"/>
      </w:divBdr>
    </w:div>
    <w:div w:id="903838408">
      <w:bodyDiv w:val="1"/>
      <w:marLeft w:val="0"/>
      <w:marRight w:val="0"/>
      <w:marTop w:val="0"/>
      <w:marBottom w:val="0"/>
      <w:divBdr>
        <w:top w:val="none" w:sz="0" w:space="0" w:color="auto"/>
        <w:left w:val="none" w:sz="0" w:space="0" w:color="auto"/>
        <w:bottom w:val="none" w:sz="0" w:space="0" w:color="auto"/>
        <w:right w:val="none" w:sz="0" w:space="0" w:color="auto"/>
      </w:divBdr>
    </w:div>
    <w:div w:id="951280344">
      <w:bodyDiv w:val="1"/>
      <w:marLeft w:val="0"/>
      <w:marRight w:val="0"/>
      <w:marTop w:val="0"/>
      <w:marBottom w:val="0"/>
      <w:divBdr>
        <w:top w:val="none" w:sz="0" w:space="0" w:color="auto"/>
        <w:left w:val="none" w:sz="0" w:space="0" w:color="auto"/>
        <w:bottom w:val="none" w:sz="0" w:space="0" w:color="auto"/>
        <w:right w:val="none" w:sz="0" w:space="0" w:color="auto"/>
      </w:divBdr>
    </w:div>
    <w:div w:id="981039523">
      <w:bodyDiv w:val="1"/>
      <w:marLeft w:val="0"/>
      <w:marRight w:val="0"/>
      <w:marTop w:val="0"/>
      <w:marBottom w:val="0"/>
      <w:divBdr>
        <w:top w:val="none" w:sz="0" w:space="0" w:color="auto"/>
        <w:left w:val="none" w:sz="0" w:space="0" w:color="auto"/>
        <w:bottom w:val="none" w:sz="0" w:space="0" w:color="auto"/>
        <w:right w:val="none" w:sz="0" w:space="0" w:color="auto"/>
      </w:divBdr>
    </w:div>
    <w:div w:id="1024477822">
      <w:bodyDiv w:val="1"/>
      <w:marLeft w:val="0"/>
      <w:marRight w:val="0"/>
      <w:marTop w:val="0"/>
      <w:marBottom w:val="0"/>
      <w:divBdr>
        <w:top w:val="none" w:sz="0" w:space="0" w:color="auto"/>
        <w:left w:val="none" w:sz="0" w:space="0" w:color="auto"/>
        <w:bottom w:val="none" w:sz="0" w:space="0" w:color="auto"/>
        <w:right w:val="none" w:sz="0" w:space="0" w:color="auto"/>
      </w:divBdr>
    </w:div>
    <w:div w:id="1027605646">
      <w:bodyDiv w:val="1"/>
      <w:marLeft w:val="0"/>
      <w:marRight w:val="0"/>
      <w:marTop w:val="0"/>
      <w:marBottom w:val="0"/>
      <w:divBdr>
        <w:top w:val="none" w:sz="0" w:space="0" w:color="auto"/>
        <w:left w:val="none" w:sz="0" w:space="0" w:color="auto"/>
        <w:bottom w:val="none" w:sz="0" w:space="0" w:color="auto"/>
        <w:right w:val="none" w:sz="0" w:space="0" w:color="auto"/>
      </w:divBdr>
    </w:div>
    <w:div w:id="1044524702">
      <w:bodyDiv w:val="1"/>
      <w:marLeft w:val="0"/>
      <w:marRight w:val="0"/>
      <w:marTop w:val="0"/>
      <w:marBottom w:val="0"/>
      <w:divBdr>
        <w:top w:val="none" w:sz="0" w:space="0" w:color="auto"/>
        <w:left w:val="none" w:sz="0" w:space="0" w:color="auto"/>
        <w:bottom w:val="none" w:sz="0" w:space="0" w:color="auto"/>
        <w:right w:val="none" w:sz="0" w:space="0" w:color="auto"/>
      </w:divBdr>
    </w:div>
    <w:div w:id="1046099075">
      <w:bodyDiv w:val="1"/>
      <w:marLeft w:val="0"/>
      <w:marRight w:val="0"/>
      <w:marTop w:val="0"/>
      <w:marBottom w:val="0"/>
      <w:divBdr>
        <w:top w:val="none" w:sz="0" w:space="0" w:color="auto"/>
        <w:left w:val="none" w:sz="0" w:space="0" w:color="auto"/>
        <w:bottom w:val="none" w:sz="0" w:space="0" w:color="auto"/>
        <w:right w:val="none" w:sz="0" w:space="0" w:color="auto"/>
      </w:divBdr>
    </w:div>
    <w:div w:id="1076783624">
      <w:bodyDiv w:val="1"/>
      <w:marLeft w:val="0"/>
      <w:marRight w:val="0"/>
      <w:marTop w:val="0"/>
      <w:marBottom w:val="0"/>
      <w:divBdr>
        <w:top w:val="none" w:sz="0" w:space="0" w:color="auto"/>
        <w:left w:val="none" w:sz="0" w:space="0" w:color="auto"/>
        <w:bottom w:val="none" w:sz="0" w:space="0" w:color="auto"/>
        <w:right w:val="none" w:sz="0" w:space="0" w:color="auto"/>
      </w:divBdr>
    </w:div>
    <w:div w:id="1155025514">
      <w:bodyDiv w:val="1"/>
      <w:marLeft w:val="0"/>
      <w:marRight w:val="0"/>
      <w:marTop w:val="0"/>
      <w:marBottom w:val="0"/>
      <w:divBdr>
        <w:top w:val="none" w:sz="0" w:space="0" w:color="auto"/>
        <w:left w:val="none" w:sz="0" w:space="0" w:color="auto"/>
        <w:bottom w:val="none" w:sz="0" w:space="0" w:color="auto"/>
        <w:right w:val="none" w:sz="0" w:space="0" w:color="auto"/>
      </w:divBdr>
    </w:div>
    <w:div w:id="1208299235">
      <w:bodyDiv w:val="1"/>
      <w:marLeft w:val="0"/>
      <w:marRight w:val="0"/>
      <w:marTop w:val="0"/>
      <w:marBottom w:val="0"/>
      <w:divBdr>
        <w:top w:val="none" w:sz="0" w:space="0" w:color="auto"/>
        <w:left w:val="none" w:sz="0" w:space="0" w:color="auto"/>
        <w:bottom w:val="none" w:sz="0" w:space="0" w:color="auto"/>
        <w:right w:val="none" w:sz="0" w:space="0" w:color="auto"/>
      </w:divBdr>
    </w:div>
    <w:div w:id="1215659313">
      <w:bodyDiv w:val="1"/>
      <w:marLeft w:val="0"/>
      <w:marRight w:val="0"/>
      <w:marTop w:val="0"/>
      <w:marBottom w:val="0"/>
      <w:divBdr>
        <w:top w:val="none" w:sz="0" w:space="0" w:color="auto"/>
        <w:left w:val="none" w:sz="0" w:space="0" w:color="auto"/>
        <w:bottom w:val="none" w:sz="0" w:space="0" w:color="auto"/>
        <w:right w:val="none" w:sz="0" w:space="0" w:color="auto"/>
      </w:divBdr>
    </w:div>
    <w:div w:id="1225141841">
      <w:bodyDiv w:val="1"/>
      <w:marLeft w:val="0"/>
      <w:marRight w:val="0"/>
      <w:marTop w:val="0"/>
      <w:marBottom w:val="0"/>
      <w:divBdr>
        <w:top w:val="none" w:sz="0" w:space="0" w:color="auto"/>
        <w:left w:val="none" w:sz="0" w:space="0" w:color="auto"/>
        <w:bottom w:val="none" w:sz="0" w:space="0" w:color="auto"/>
        <w:right w:val="none" w:sz="0" w:space="0" w:color="auto"/>
      </w:divBdr>
    </w:div>
    <w:div w:id="1236890410">
      <w:bodyDiv w:val="1"/>
      <w:marLeft w:val="0"/>
      <w:marRight w:val="0"/>
      <w:marTop w:val="0"/>
      <w:marBottom w:val="0"/>
      <w:divBdr>
        <w:top w:val="none" w:sz="0" w:space="0" w:color="auto"/>
        <w:left w:val="none" w:sz="0" w:space="0" w:color="auto"/>
        <w:bottom w:val="none" w:sz="0" w:space="0" w:color="auto"/>
        <w:right w:val="none" w:sz="0" w:space="0" w:color="auto"/>
      </w:divBdr>
    </w:div>
    <w:div w:id="1260868301">
      <w:bodyDiv w:val="1"/>
      <w:marLeft w:val="0"/>
      <w:marRight w:val="0"/>
      <w:marTop w:val="0"/>
      <w:marBottom w:val="0"/>
      <w:divBdr>
        <w:top w:val="none" w:sz="0" w:space="0" w:color="auto"/>
        <w:left w:val="none" w:sz="0" w:space="0" w:color="auto"/>
        <w:bottom w:val="none" w:sz="0" w:space="0" w:color="auto"/>
        <w:right w:val="none" w:sz="0" w:space="0" w:color="auto"/>
      </w:divBdr>
    </w:div>
    <w:div w:id="1303315509">
      <w:bodyDiv w:val="1"/>
      <w:marLeft w:val="0"/>
      <w:marRight w:val="0"/>
      <w:marTop w:val="0"/>
      <w:marBottom w:val="0"/>
      <w:divBdr>
        <w:top w:val="none" w:sz="0" w:space="0" w:color="auto"/>
        <w:left w:val="none" w:sz="0" w:space="0" w:color="auto"/>
        <w:bottom w:val="none" w:sz="0" w:space="0" w:color="auto"/>
        <w:right w:val="none" w:sz="0" w:space="0" w:color="auto"/>
      </w:divBdr>
    </w:div>
    <w:div w:id="1368603603">
      <w:bodyDiv w:val="1"/>
      <w:marLeft w:val="0"/>
      <w:marRight w:val="0"/>
      <w:marTop w:val="0"/>
      <w:marBottom w:val="0"/>
      <w:divBdr>
        <w:top w:val="none" w:sz="0" w:space="0" w:color="auto"/>
        <w:left w:val="none" w:sz="0" w:space="0" w:color="auto"/>
        <w:bottom w:val="none" w:sz="0" w:space="0" w:color="auto"/>
        <w:right w:val="none" w:sz="0" w:space="0" w:color="auto"/>
      </w:divBdr>
    </w:div>
    <w:div w:id="1384865466">
      <w:bodyDiv w:val="1"/>
      <w:marLeft w:val="0"/>
      <w:marRight w:val="0"/>
      <w:marTop w:val="0"/>
      <w:marBottom w:val="0"/>
      <w:divBdr>
        <w:top w:val="none" w:sz="0" w:space="0" w:color="auto"/>
        <w:left w:val="none" w:sz="0" w:space="0" w:color="auto"/>
        <w:bottom w:val="none" w:sz="0" w:space="0" w:color="auto"/>
        <w:right w:val="none" w:sz="0" w:space="0" w:color="auto"/>
      </w:divBdr>
    </w:div>
    <w:div w:id="1385064666">
      <w:bodyDiv w:val="1"/>
      <w:marLeft w:val="0"/>
      <w:marRight w:val="0"/>
      <w:marTop w:val="0"/>
      <w:marBottom w:val="0"/>
      <w:divBdr>
        <w:top w:val="none" w:sz="0" w:space="0" w:color="auto"/>
        <w:left w:val="none" w:sz="0" w:space="0" w:color="auto"/>
        <w:bottom w:val="none" w:sz="0" w:space="0" w:color="auto"/>
        <w:right w:val="none" w:sz="0" w:space="0" w:color="auto"/>
      </w:divBdr>
    </w:div>
    <w:div w:id="1392776400">
      <w:bodyDiv w:val="1"/>
      <w:marLeft w:val="0"/>
      <w:marRight w:val="0"/>
      <w:marTop w:val="0"/>
      <w:marBottom w:val="0"/>
      <w:divBdr>
        <w:top w:val="none" w:sz="0" w:space="0" w:color="auto"/>
        <w:left w:val="none" w:sz="0" w:space="0" w:color="auto"/>
        <w:bottom w:val="none" w:sz="0" w:space="0" w:color="auto"/>
        <w:right w:val="none" w:sz="0" w:space="0" w:color="auto"/>
      </w:divBdr>
    </w:div>
    <w:div w:id="1394040074">
      <w:bodyDiv w:val="1"/>
      <w:marLeft w:val="0"/>
      <w:marRight w:val="0"/>
      <w:marTop w:val="0"/>
      <w:marBottom w:val="0"/>
      <w:divBdr>
        <w:top w:val="none" w:sz="0" w:space="0" w:color="auto"/>
        <w:left w:val="none" w:sz="0" w:space="0" w:color="auto"/>
        <w:bottom w:val="none" w:sz="0" w:space="0" w:color="auto"/>
        <w:right w:val="none" w:sz="0" w:space="0" w:color="auto"/>
      </w:divBdr>
    </w:div>
    <w:div w:id="1403334644">
      <w:bodyDiv w:val="1"/>
      <w:marLeft w:val="0"/>
      <w:marRight w:val="0"/>
      <w:marTop w:val="0"/>
      <w:marBottom w:val="0"/>
      <w:divBdr>
        <w:top w:val="none" w:sz="0" w:space="0" w:color="auto"/>
        <w:left w:val="none" w:sz="0" w:space="0" w:color="auto"/>
        <w:bottom w:val="none" w:sz="0" w:space="0" w:color="auto"/>
        <w:right w:val="none" w:sz="0" w:space="0" w:color="auto"/>
      </w:divBdr>
    </w:div>
    <w:div w:id="1407336552">
      <w:bodyDiv w:val="1"/>
      <w:marLeft w:val="0"/>
      <w:marRight w:val="0"/>
      <w:marTop w:val="0"/>
      <w:marBottom w:val="0"/>
      <w:divBdr>
        <w:top w:val="none" w:sz="0" w:space="0" w:color="auto"/>
        <w:left w:val="none" w:sz="0" w:space="0" w:color="auto"/>
        <w:bottom w:val="none" w:sz="0" w:space="0" w:color="auto"/>
        <w:right w:val="none" w:sz="0" w:space="0" w:color="auto"/>
      </w:divBdr>
    </w:div>
    <w:div w:id="1432164773">
      <w:bodyDiv w:val="1"/>
      <w:marLeft w:val="0"/>
      <w:marRight w:val="0"/>
      <w:marTop w:val="0"/>
      <w:marBottom w:val="0"/>
      <w:divBdr>
        <w:top w:val="none" w:sz="0" w:space="0" w:color="auto"/>
        <w:left w:val="none" w:sz="0" w:space="0" w:color="auto"/>
        <w:bottom w:val="none" w:sz="0" w:space="0" w:color="auto"/>
        <w:right w:val="none" w:sz="0" w:space="0" w:color="auto"/>
      </w:divBdr>
    </w:div>
    <w:div w:id="1477646407">
      <w:bodyDiv w:val="1"/>
      <w:marLeft w:val="0"/>
      <w:marRight w:val="0"/>
      <w:marTop w:val="0"/>
      <w:marBottom w:val="0"/>
      <w:divBdr>
        <w:top w:val="none" w:sz="0" w:space="0" w:color="auto"/>
        <w:left w:val="none" w:sz="0" w:space="0" w:color="auto"/>
        <w:bottom w:val="none" w:sz="0" w:space="0" w:color="auto"/>
        <w:right w:val="none" w:sz="0" w:space="0" w:color="auto"/>
      </w:divBdr>
    </w:div>
    <w:div w:id="1527719778">
      <w:bodyDiv w:val="1"/>
      <w:marLeft w:val="0"/>
      <w:marRight w:val="0"/>
      <w:marTop w:val="0"/>
      <w:marBottom w:val="0"/>
      <w:divBdr>
        <w:top w:val="none" w:sz="0" w:space="0" w:color="auto"/>
        <w:left w:val="none" w:sz="0" w:space="0" w:color="auto"/>
        <w:bottom w:val="none" w:sz="0" w:space="0" w:color="auto"/>
        <w:right w:val="none" w:sz="0" w:space="0" w:color="auto"/>
      </w:divBdr>
    </w:div>
    <w:div w:id="1561819234">
      <w:bodyDiv w:val="1"/>
      <w:marLeft w:val="0"/>
      <w:marRight w:val="0"/>
      <w:marTop w:val="0"/>
      <w:marBottom w:val="0"/>
      <w:divBdr>
        <w:top w:val="none" w:sz="0" w:space="0" w:color="auto"/>
        <w:left w:val="none" w:sz="0" w:space="0" w:color="auto"/>
        <w:bottom w:val="none" w:sz="0" w:space="0" w:color="auto"/>
        <w:right w:val="none" w:sz="0" w:space="0" w:color="auto"/>
      </w:divBdr>
    </w:div>
    <w:div w:id="1575504085">
      <w:bodyDiv w:val="1"/>
      <w:marLeft w:val="0"/>
      <w:marRight w:val="0"/>
      <w:marTop w:val="0"/>
      <w:marBottom w:val="0"/>
      <w:divBdr>
        <w:top w:val="none" w:sz="0" w:space="0" w:color="auto"/>
        <w:left w:val="none" w:sz="0" w:space="0" w:color="auto"/>
        <w:bottom w:val="none" w:sz="0" w:space="0" w:color="auto"/>
        <w:right w:val="none" w:sz="0" w:space="0" w:color="auto"/>
      </w:divBdr>
    </w:div>
    <w:div w:id="1592810472">
      <w:bodyDiv w:val="1"/>
      <w:marLeft w:val="0"/>
      <w:marRight w:val="0"/>
      <w:marTop w:val="0"/>
      <w:marBottom w:val="0"/>
      <w:divBdr>
        <w:top w:val="none" w:sz="0" w:space="0" w:color="auto"/>
        <w:left w:val="none" w:sz="0" w:space="0" w:color="auto"/>
        <w:bottom w:val="none" w:sz="0" w:space="0" w:color="auto"/>
        <w:right w:val="none" w:sz="0" w:space="0" w:color="auto"/>
      </w:divBdr>
    </w:div>
    <w:div w:id="1604610760">
      <w:bodyDiv w:val="1"/>
      <w:marLeft w:val="0"/>
      <w:marRight w:val="0"/>
      <w:marTop w:val="0"/>
      <w:marBottom w:val="0"/>
      <w:divBdr>
        <w:top w:val="none" w:sz="0" w:space="0" w:color="auto"/>
        <w:left w:val="none" w:sz="0" w:space="0" w:color="auto"/>
        <w:bottom w:val="none" w:sz="0" w:space="0" w:color="auto"/>
        <w:right w:val="none" w:sz="0" w:space="0" w:color="auto"/>
      </w:divBdr>
    </w:div>
    <w:div w:id="1633289287">
      <w:bodyDiv w:val="1"/>
      <w:marLeft w:val="0"/>
      <w:marRight w:val="0"/>
      <w:marTop w:val="0"/>
      <w:marBottom w:val="0"/>
      <w:divBdr>
        <w:top w:val="none" w:sz="0" w:space="0" w:color="auto"/>
        <w:left w:val="none" w:sz="0" w:space="0" w:color="auto"/>
        <w:bottom w:val="none" w:sz="0" w:space="0" w:color="auto"/>
        <w:right w:val="none" w:sz="0" w:space="0" w:color="auto"/>
      </w:divBdr>
    </w:div>
    <w:div w:id="1713263424">
      <w:bodyDiv w:val="1"/>
      <w:marLeft w:val="0"/>
      <w:marRight w:val="0"/>
      <w:marTop w:val="0"/>
      <w:marBottom w:val="0"/>
      <w:divBdr>
        <w:top w:val="none" w:sz="0" w:space="0" w:color="auto"/>
        <w:left w:val="none" w:sz="0" w:space="0" w:color="auto"/>
        <w:bottom w:val="none" w:sz="0" w:space="0" w:color="auto"/>
        <w:right w:val="none" w:sz="0" w:space="0" w:color="auto"/>
      </w:divBdr>
    </w:div>
    <w:div w:id="1740590263">
      <w:bodyDiv w:val="1"/>
      <w:marLeft w:val="0"/>
      <w:marRight w:val="0"/>
      <w:marTop w:val="0"/>
      <w:marBottom w:val="0"/>
      <w:divBdr>
        <w:top w:val="none" w:sz="0" w:space="0" w:color="auto"/>
        <w:left w:val="none" w:sz="0" w:space="0" w:color="auto"/>
        <w:bottom w:val="none" w:sz="0" w:space="0" w:color="auto"/>
        <w:right w:val="none" w:sz="0" w:space="0" w:color="auto"/>
      </w:divBdr>
    </w:div>
    <w:div w:id="1756438750">
      <w:bodyDiv w:val="1"/>
      <w:marLeft w:val="0"/>
      <w:marRight w:val="0"/>
      <w:marTop w:val="0"/>
      <w:marBottom w:val="0"/>
      <w:divBdr>
        <w:top w:val="none" w:sz="0" w:space="0" w:color="auto"/>
        <w:left w:val="none" w:sz="0" w:space="0" w:color="auto"/>
        <w:bottom w:val="none" w:sz="0" w:space="0" w:color="auto"/>
        <w:right w:val="none" w:sz="0" w:space="0" w:color="auto"/>
      </w:divBdr>
    </w:div>
    <w:div w:id="1765422770">
      <w:bodyDiv w:val="1"/>
      <w:marLeft w:val="0"/>
      <w:marRight w:val="0"/>
      <w:marTop w:val="0"/>
      <w:marBottom w:val="0"/>
      <w:divBdr>
        <w:top w:val="none" w:sz="0" w:space="0" w:color="auto"/>
        <w:left w:val="none" w:sz="0" w:space="0" w:color="auto"/>
        <w:bottom w:val="none" w:sz="0" w:space="0" w:color="auto"/>
        <w:right w:val="none" w:sz="0" w:space="0" w:color="auto"/>
      </w:divBdr>
    </w:div>
    <w:div w:id="1789396734">
      <w:bodyDiv w:val="1"/>
      <w:marLeft w:val="0"/>
      <w:marRight w:val="0"/>
      <w:marTop w:val="0"/>
      <w:marBottom w:val="0"/>
      <w:divBdr>
        <w:top w:val="none" w:sz="0" w:space="0" w:color="auto"/>
        <w:left w:val="none" w:sz="0" w:space="0" w:color="auto"/>
        <w:bottom w:val="none" w:sz="0" w:space="0" w:color="auto"/>
        <w:right w:val="none" w:sz="0" w:space="0" w:color="auto"/>
      </w:divBdr>
    </w:div>
    <w:div w:id="1847666192">
      <w:bodyDiv w:val="1"/>
      <w:marLeft w:val="0"/>
      <w:marRight w:val="0"/>
      <w:marTop w:val="0"/>
      <w:marBottom w:val="0"/>
      <w:divBdr>
        <w:top w:val="none" w:sz="0" w:space="0" w:color="auto"/>
        <w:left w:val="none" w:sz="0" w:space="0" w:color="auto"/>
        <w:bottom w:val="none" w:sz="0" w:space="0" w:color="auto"/>
        <w:right w:val="none" w:sz="0" w:space="0" w:color="auto"/>
      </w:divBdr>
    </w:div>
    <w:div w:id="1874925423">
      <w:bodyDiv w:val="1"/>
      <w:marLeft w:val="0"/>
      <w:marRight w:val="0"/>
      <w:marTop w:val="0"/>
      <w:marBottom w:val="0"/>
      <w:divBdr>
        <w:top w:val="none" w:sz="0" w:space="0" w:color="auto"/>
        <w:left w:val="none" w:sz="0" w:space="0" w:color="auto"/>
        <w:bottom w:val="none" w:sz="0" w:space="0" w:color="auto"/>
        <w:right w:val="none" w:sz="0" w:space="0" w:color="auto"/>
      </w:divBdr>
    </w:div>
    <w:div w:id="1924877299">
      <w:bodyDiv w:val="1"/>
      <w:marLeft w:val="0"/>
      <w:marRight w:val="0"/>
      <w:marTop w:val="0"/>
      <w:marBottom w:val="0"/>
      <w:divBdr>
        <w:top w:val="none" w:sz="0" w:space="0" w:color="auto"/>
        <w:left w:val="none" w:sz="0" w:space="0" w:color="auto"/>
        <w:bottom w:val="none" w:sz="0" w:space="0" w:color="auto"/>
        <w:right w:val="none" w:sz="0" w:space="0" w:color="auto"/>
      </w:divBdr>
    </w:div>
    <w:div w:id="1960793849">
      <w:bodyDiv w:val="1"/>
      <w:marLeft w:val="0"/>
      <w:marRight w:val="0"/>
      <w:marTop w:val="0"/>
      <w:marBottom w:val="0"/>
      <w:divBdr>
        <w:top w:val="none" w:sz="0" w:space="0" w:color="auto"/>
        <w:left w:val="none" w:sz="0" w:space="0" w:color="auto"/>
        <w:bottom w:val="none" w:sz="0" w:space="0" w:color="auto"/>
        <w:right w:val="none" w:sz="0" w:space="0" w:color="auto"/>
      </w:divBdr>
    </w:div>
    <w:div w:id="1993290908">
      <w:bodyDiv w:val="1"/>
      <w:marLeft w:val="0"/>
      <w:marRight w:val="0"/>
      <w:marTop w:val="0"/>
      <w:marBottom w:val="0"/>
      <w:divBdr>
        <w:top w:val="none" w:sz="0" w:space="0" w:color="auto"/>
        <w:left w:val="none" w:sz="0" w:space="0" w:color="auto"/>
        <w:bottom w:val="none" w:sz="0" w:space="0" w:color="auto"/>
        <w:right w:val="none" w:sz="0" w:space="0" w:color="auto"/>
      </w:divBdr>
    </w:div>
    <w:div w:id="2020153209">
      <w:bodyDiv w:val="1"/>
      <w:marLeft w:val="0"/>
      <w:marRight w:val="0"/>
      <w:marTop w:val="0"/>
      <w:marBottom w:val="0"/>
      <w:divBdr>
        <w:top w:val="none" w:sz="0" w:space="0" w:color="auto"/>
        <w:left w:val="none" w:sz="0" w:space="0" w:color="auto"/>
        <w:bottom w:val="none" w:sz="0" w:space="0" w:color="auto"/>
        <w:right w:val="none" w:sz="0" w:space="0" w:color="auto"/>
      </w:divBdr>
    </w:div>
    <w:div w:id="2026713317">
      <w:bodyDiv w:val="1"/>
      <w:marLeft w:val="0"/>
      <w:marRight w:val="0"/>
      <w:marTop w:val="0"/>
      <w:marBottom w:val="0"/>
      <w:divBdr>
        <w:top w:val="none" w:sz="0" w:space="0" w:color="auto"/>
        <w:left w:val="none" w:sz="0" w:space="0" w:color="auto"/>
        <w:bottom w:val="none" w:sz="0" w:space="0" w:color="auto"/>
        <w:right w:val="none" w:sz="0" w:space="0" w:color="auto"/>
      </w:divBdr>
    </w:div>
    <w:div w:id="2027293055">
      <w:bodyDiv w:val="1"/>
      <w:marLeft w:val="0"/>
      <w:marRight w:val="0"/>
      <w:marTop w:val="0"/>
      <w:marBottom w:val="0"/>
      <w:divBdr>
        <w:top w:val="none" w:sz="0" w:space="0" w:color="auto"/>
        <w:left w:val="none" w:sz="0" w:space="0" w:color="auto"/>
        <w:bottom w:val="none" w:sz="0" w:space="0" w:color="auto"/>
        <w:right w:val="none" w:sz="0" w:space="0" w:color="auto"/>
      </w:divBdr>
    </w:div>
    <w:div w:id="2028364805">
      <w:bodyDiv w:val="1"/>
      <w:marLeft w:val="0"/>
      <w:marRight w:val="0"/>
      <w:marTop w:val="0"/>
      <w:marBottom w:val="0"/>
      <w:divBdr>
        <w:top w:val="none" w:sz="0" w:space="0" w:color="auto"/>
        <w:left w:val="none" w:sz="0" w:space="0" w:color="auto"/>
        <w:bottom w:val="none" w:sz="0" w:space="0" w:color="auto"/>
        <w:right w:val="none" w:sz="0" w:space="0" w:color="auto"/>
      </w:divBdr>
    </w:div>
    <w:div w:id="2042627556">
      <w:bodyDiv w:val="1"/>
      <w:marLeft w:val="0"/>
      <w:marRight w:val="0"/>
      <w:marTop w:val="0"/>
      <w:marBottom w:val="0"/>
      <w:divBdr>
        <w:top w:val="none" w:sz="0" w:space="0" w:color="auto"/>
        <w:left w:val="none" w:sz="0" w:space="0" w:color="auto"/>
        <w:bottom w:val="none" w:sz="0" w:space="0" w:color="auto"/>
        <w:right w:val="none" w:sz="0" w:space="0" w:color="auto"/>
      </w:divBdr>
    </w:div>
    <w:div w:id="2064791729">
      <w:bodyDiv w:val="1"/>
      <w:marLeft w:val="0"/>
      <w:marRight w:val="0"/>
      <w:marTop w:val="0"/>
      <w:marBottom w:val="0"/>
      <w:divBdr>
        <w:top w:val="none" w:sz="0" w:space="0" w:color="auto"/>
        <w:left w:val="none" w:sz="0" w:space="0" w:color="auto"/>
        <w:bottom w:val="none" w:sz="0" w:space="0" w:color="auto"/>
        <w:right w:val="none" w:sz="0" w:space="0" w:color="auto"/>
      </w:divBdr>
    </w:div>
    <w:div w:id="2075808101">
      <w:bodyDiv w:val="1"/>
      <w:marLeft w:val="0"/>
      <w:marRight w:val="0"/>
      <w:marTop w:val="0"/>
      <w:marBottom w:val="0"/>
      <w:divBdr>
        <w:top w:val="none" w:sz="0" w:space="0" w:color="auto"/>
        <w:left w:val="none" w:sz="0" w:space="0" w:color="auto"/>
        <w:bottom w:val="none" w:sz="0" w:space="0" w:color="auto"/>
        <w:right w:val="none" w:sz="0" w:space="0" w:color="auto"/>
      </w:divBdr>
    </w:div>
    <w:div w:id="2089812963">
      <w:bodyDiv w:val="1"/>
      <w:marLeft w:val="0"/>
      <w:marRight w:val="0"/>
      <w:marTop w:val="0"/>
      <w:marBottom w:val="0"/>
      <w:divBdr>
        <w:top w:val="none" w:sz="0" w:space="0" w:color="auto"/>
        <w:left w:val="none" w:sz="0" w:space="0" w:color="auto"/>
        <w:bottom w:val="none" w:sz="0" w:space="0" w:color="auto"/>
        <w:right w:val="none" w:sz="0" w:space="0" w:color="auto"/>
      </w:divBdr>
    </w:div>
    <w:div w:id="2101635624">
      <w:bodyDiv w:val="1"/>
      <w:marLeft w:val="0"/>
      <w:marRight w:val="0"/>
      <w:marTop w:val="0"/>
      <w:marBottom w:val="0"/>
      <w:divBdr>
        <w:top w:val="none" w:sz="0" w:space="0" w:color="auto"/>
        <w:left w:val="none" w:sz="0" w:space="0" w:color="auto"/>
        <w:bottom w:val="none" w:sz="0" w:space="0" w:color="auto"/>
        <w:right w:val="none" w:sz="0" w:space="0" w:color="auto"/>
      </w:divBdr>
    </w:div>
    <w:div w:id="211231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au/Details/F2023C00260" TargetMode="External"/><Relationship Id="rId13" Type="http://schemas.openxmlformats.org/officeDocument/2006/relationships/hyperlink" Target="https://nopta.gov.au/" TargetMode="External"/><Relationship Id="rId3" Type="http://schemas.openxmlformats.org/officeDocument/2006/relationships/hyperlink" Target="https://www.legislation.gov.au/Details/C2022C00346" TargetMode="External"/><Relationship Id="rId7" Type="http://schemas.openxmlformats.org/officeDocument/2006/relationships/hyperlink" Target="https://www.legislation.gov.au/Details/F2022L01663" TargetMode="External"/><Relationship Id="rId12" Type="http://schemas.openxmlformats.org/officeDocument/2006/relationships/hyperlink" Target="https://www.industry.gov.au/sites/default/files/2021-07/nopta-review-2020.pdf" TargetMode="External"/><Relationship Id="rId2" Type="http://schemas.openxmlformats.org/officeDocument/2006/relationships/hyperlink" Target="https://www.legislation.gov.au/Details/C2022C00108" TargetMode="External"/><Relationship Id="rId1" Type="http://schemas.openxmlformats.org/officeDocument/2006/relationships/hyperlink" Target="https://www.legislation.gov.au/Details/C2023C00337/Html/Volume_1" TargetMode="External"/><Relationship Id="rId6" Type="http://schemas.openxmlformats.org/officeDocument/2006/relationships/hyperlink" Target="https://archive.budget.gov.au/2011-12/bp2/bp2.pdf" TargetMode="External"/><Relationship Id="rId11" Type="http://schemas.openxmlformats.org/officeDocument/2006/relationships/hyperlink" Target="https://nopta.gov.au/_documents/Annual-Report-of-Activities-2023-24.pdf" TargetMode="External"/><Relationship Id="rId5" Type="http://schemas.openxmlformats.org/officeDocument/2006/relationships/hyperlink" Target="https://www.pc.gov.au/inquiries/completed/upstream-petroleum/report/upstream-petroleum.pdf" TargetMode="External"/><Relationship Id="rId10" Type="http://schemas.openxmlformats.org/officeDocument/2006/relationships/hyperlink" Target="https://www.legislation.gov.au/Details/C2017C00269" TargetMode="External"/><Relationship Id="rId4" Type="http://schemas.openxmlformats.org/officeDocument/2006/relationships/hyperlink" Target="https://www.dcceew.gov.au/sites/default/files/documents/oei-cris.pdf" TargetMode="External"/><Relationship Id="rId9" Type="http://schemas.openxmlformats.org/officeDocument/2006/relationships/hyperlink" Target="https://nopta.gov.au/_documents/Schedule-of-fees-and-levies-Effective-1-January-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FEA35-04BC-4F40-8BFA-8C0B90CA3251}">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8132</Words>
  <Characters>46356</Characters>
  <Application>Microsoft Office Word</Application>
  <DocSecurity>4</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2026-04-30T05:24:00Z</dcterms:created>
  <dcterms:modified xsi:type="dcterms:W3CDTF">2026-04-30T05:24:00Z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2026-04-30T05:24:44Z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ab258688-835f-436f-a596-341f91632a83</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ies>
</file>