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84DC" w14:textId="77777777" w:rsidR="0066416C" w:rsidRDefault="0066416C" w:rsidP="0066416C">
      <w:pPr>
        <w:spacing w:after="600"/>
      </w:pPr>
      <w:bookmarkStart w:id="0" w:name="_Toc19289801"/>
      <w:r w:rsidRPr="00180BF8">
        <w:rPr>
          <w:noProof/>
          <w:lang w:eastAsia="en-AU"/>
        </w:rPr>
        <w:drawing>
          <wp:inline distT="0" distB="0" distL="0" distR="0" wp14:anchorId="2778961A" wp14:editId="582325E8">
            <wp:extent cx="2235270" cy="645395"/>
            <wp:effectExtent l="0" t="0" r="0" b="254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35270" cy="64539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2F60C0">
        <w:t xml:space="preserve"> </w:t>
      </w:r>
    </w:p>
    <w:p w14:paraId="7914AC85" w14:textId="77777777" w:rsidR="00E71FB1" w:rsidRDefault="00E71FB1" w:rsidP="0066416C">
      <w:pPr>
        <w:spacing w:after="600"/>
      </w:pPr>
    </w:p>
    <w:p w14:paraId="07FF5DEC" w14:textId="77777777" w:rsidR="00E71FB1" w:rsidRDefault="00E71FB1" w:rsidP="0066416C">
      <w:pPr>
        <w:spacing w:after="600"/>
      </w:pPr>
    </w:p>
    <w:p w14:paraId="0B27ACFE" w14:textId="5F09170A" w:rsidR="0066416C" w:rsidRDefault="00903913" w:rsidP="0066416C">
      <w:pPr>
        <w:pStyle w:val="Title"/>
      </w:pPr>
      <w:bookmarkStart w:id="1" w:name="_Toc144911604"/>
      <w:bookmarkStart w:id="2" w:name="_Toc155191311"/>
      <w:bookmarkStart w:id="3" w:name="_Toc166146680"/>
      <w:bookmarkStart w:id="4" w:name="_Toc178233121"/>
      <w:bookmarkStart w:id="5" w:name="_Toc178248079"/>
      <w:bookmarkStart w:id="6" w:name="_Toc178861660"/>
      <w:bookmarkStart w:id="7" w:name="_Toc178861693"/>
      <w:bookmarkStart w:id="8" w:name="_Toc181285504"/>
      <w:bookmarkStart w:id="9" w:name="_Toc183091626"/>
      <w:bookmarkStart w:id="10" w:name="_Toc183680307"/>
      <w:bookmarkStart w:id="11" w:name="_Toc188447930"/>
      <w:bookmarkStart w:id="12" w:name="_Toc189229591"/>
      <w:bookmarkStart w:id="13" w:name="_Toc189750614"/>
      <w:bookmarkStart w:id="14" w:name="_Toc215169673"/>
      <w:bookmarkStart w:id="15" w:name="_Toc215524943"/>
      <w:bookmarkEnd w:id="0"/>
      <w:bookmarkEnd w:id="1"/>
      <w:bookmarkEnd w:id="2"/>
      <w:bookmarkEnd w:id="3"/>
      <w:r>
        <w:t xml:space="preserve">Offshore petroleum </w:t>
      </w:r>
      <w:r w:rsidR="00F32608">
        <w:t>retention lease</w:t>
      </w:r>
      <w:bookmarkEnd w:id="4"/>
      <w:bookmarkEnd w:id="5"/>
      <w:bookmarkEnd w:id="6"/>
      <w:bookmarkEnd w:id="7"/>
      <w:bookmarkEnd w:id="8"/>
      <w:bookmarkEnd w:id="9"/>
      <w:bookmarkEnd w:id="10"/>
      <w:bookmarkEnd w:id="11"/>
      <w:bookmarkEnd w:id="12"/>
      <w:bookmarkEnd w:id="13"/>
      <w:bookmarkEnd w:id="14"/>
      <w:bookmarkEnd w:id="15"/>
    </w:p>
    <w:p w14:paraId="0C2432DD" w14:textId="099D154D" w:rsidR="0066416C" w:rsidRDefault="00903913" w:rsidP="1315E805">
      <w:pPr>
        <w:pStyle w:val="Subtitle"/>
        <w:spacing w:after="480"/>
        <w:rPr>
          <w:color w:val="001B35" w:themeColor="accent1"/>
          <w:sz w:val="26"/>
          <w:szCs w:val="26"/>
        </w:rPr>
      </w:pPr>
      <w:r>
        <w:t>Guideline</w:t>
      </w:r>
    </w:p>
    <w:p w14:paraId="63C010AA" w14:textId="7253B1EC" w:rsidR="0066416C" w:rsidRDefault="00866F61" w:rsidP="0066416C">
      <w:pPr>
        <w:pStyle w:val="Authoranddate"/>
        <w:spacing w:after="600"/>
        <w:rPr>
          <w:sz w:val="32"/>
          <w:szCs w:val="32"/>
        </w:rPr>
      </w:pPr>
      <w:r>
        <w:rPr>
          <w:sz w:val="32"/>
          <w:szCs w:val="32"/>
        </w:rPr>
        <w:t>9</w:t>
      </w:r>
      <w:r w:rsidR="00DB5285">
        <w:rPr>
          <w:sz w:val="32"/>
          <w:szCs w:val="32"/>
        </w:rPr>
        <w:t xml:space="preserve"> </w:t>
      </w:r>
      <w:r w:rsidR="007B0ECA">
        <w:rPr>
          <w:sz w:val="32"/>
          <w:szCs w:val="32"/>
        </w:rPr>
        <w:t>December 2025</w:t>
      </w:r>
    </w:p>
    <w:p w14:paraId="5A4C356E" w14:textId="77777777" w:rsidR="0066416C" w:rsidRPr="002F60C0" w:rsidRDefault="0066416C" w:rsidP="1315E805">
      <w:pPr>
        <w:pStyle w:val="Footer"/>
        <w:spacing w:after="120"/>
        <w:rPr>
          <w:color w:val="001B35" w:themeColor="accent1"/>
        </w:rPr>
      </w:pPr>
      <w:r w:rsidRPr="1315E805">
        <w:rPr>
          <w:color w:val="001B35" w:themeColor="accent1"/>
        </w:rPr>
        <w:t>Our purpose is to help the government build a better future for all Australians through enabling a productive, resilient and sustainable economy, enriched by science and technology.</w:t>
      </w:r>
    </w:p>
    <w:p w14:paraId="38AA977A" w14:textId="28684208" w:rsidR="0066416C" w:rsidRPr="00423B2E" w:rsidRDefault="0066416C" w:rsidP="1315E805">
      <w:pPr>
        <w:pStyle w:val="Footer"/>
        <w:rPr>
          <w:color w:val="001B35" w:themeColor="accent1"/>
          <w:sz w:val="22"/>
        </w:rPr>
      </w:pPr>
      <w:r w:rsidRPr="1315E805">
        <w:rPr>
          <w:color w:val="15659B" w:themeColor="accent4"/>
          <w:sz w:val="22"/>
        </w:rPr>
        <w:t>|</w:t>
      </w:r>
      <w:r w:rsidRPr="1315E805">
        <w:rPr>
          <w:b/>
          <w:bCs/>
          <w:color w:val="001B35" w:themeColor="accent1"/>
          <w:sz w:val="22"/>
        </w:rPr>
        <w:t xml:space="preserve"> </w:t>
      </w:r>
      <w:r w:rsidR="007B0ECA">
        <w:rPr>
          <w:b/>
          <w:bCs/>
          <w:color w:val="001B35" w:themeColor="accent1"/>
          <w:sz w:val="22"/>
        </w:rPr>
        <w:t>w</w:t>
      </w:r>
      <w:r w:rsidR="008F5D5A">
        <w:rPr>
          <w:b/>
          <w:bCs/>
          <w:color w:val="001B35" w:themeColor="accent1"/>
          <w:sz w:val="22"/>
        </w:rPr>
        <w:t>ww.nopta.gov.au</w:t>
      </w:r>
      <w:r w:rsidRPr="1315E805">
        <w:rPr>
          <w:sz w:val="24"/>
          <w:szCs w:val="24"/>
        </w:rPr>
        <w:br w:type="page"/>
      </w:r>
    </w:p>
    <w:p w14:paraId="1C19A788" w14:textId="77777777" w:rsidR="0066416C" w:rsidRDefault="0066416C" w:rsidP="0066416C">
      <w:pPr>
        <w:pStyle w:val="Heading2"/>
      </w:pPr>
      <w:bookmarkStart w:id="16" w:name="_Toc19023739"/>
      <w:bookmarkStart w:id="17" w:name="_Toc19289802"/>
      <w:bookmarkStart w:id="18" w:name="_Toc144911605"/>
      <w:bookmarkStart w:id="19" w:name="_Toc155191312"/>
      <w:bookmarkStart w:id="20" w:name="_Toc178233122"/>
      <w:bookmarkStart w:id="21" w:name="_Toc178248080"/>
      <w:bookmarkStart w:id="22" w:name="_Toc178861661"/>
      <w:bookmarkStart w:id="23" w:name="_Toc178861694"/>
      <w:bookmarkStart w:id="24" w:name="_Toc181285505"/>
      <w:bookmarkStart w:id="25" w:name="_Toc183091627"/>
      <w:bookmarkStart w:id="26" w:name="_Toc183680308"/>
      <w:bookmarkStart w:id="27" w:name="_Toc188447931"/>
      <w:bookmarkStart w:id="28" w:name="_Toc189229592"/>
      <w:bookmarkStart w:id="29" w:name="_Toc189750615"/>
      <w:bookmarkStart w:id="30" w:name="_Toc215169674"/>
      <w:bookmarkStart w:id="31" w:name="_Toc215524944"/>
      <w:bookmarkStart w:id="32" w:name="_Hlk158040788"/>
      <w:r>
        <w:lastRenderedPageBreak/>
        <w:t>Copyright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F3CDF0E" w14:textId="26A18850" w:rsidR="0066416C" w:rsidRPr="0068286F" w:rsidRDefault="0066416C" w:rsidP="0066416C">
      <w:pPr>
        <w:rPr>
          <w:rStyle w:val="Strong"/>
        </w:rPr>
      </w:pPr>
      <w:r w:rsidRPr="1315E805">
        <w:rPr>
          <w:rStyle w:val="Strong"/>
        </w:rPr>
        <w:t>© Commonwealth of Australia</w:t>
      </w:r>
      <w:r w:rsidR="00903913" w:rsidRPr="1315E805">
        <w:rPr>
          <w:rStyle w:val="Strong"/>
        </w:rPr>
        <w:t xml:space="preserve"> 202</w:t>
      </w:r>
      <w:r w:rsidR="00E24F47">
        <w:rPr>
          <w:rStyle w:val="Strong"/>
        </w:rPr>
        <w:t>5</w:t>
      </w:r>
    </w:p>
    <w:p w14:paraId="7D45DCF8" w14:textId="77777777" w:rsidR="0066416C" w:rsidRPr="0068286F" w:rsidRDefault="0066416C" w:rsidP="0066416C">
      <w:pPr>
        <w:rPr>
          <w:rStyle w:val="Strong"/>
        </w:rPr>
      </w:pPr>
      <w:r w:rsidRPr="1315E805">
        <w:rPr>
          <w:rStyle w:val="Strong"/>
        </w:rPr>
        <w:t>Ownership of intellectual property rights</w:t>
      </w:r>
    </w:p>
    <w:p w14:paraId="7C3B21D5" w14:textId="77777777" w:rsidR="0066416C" w:rsidRDefault="0066416C" w:rsidP="0066416C">
      <w:r>
        <w:t>Unless otherwise noted, copyright (and any other intellectual property rights, if any) in this publication is owned by the Commonwealth of Australia.</w:t>
      </w:r>
    </w:p>
    <w:p w14:paraId="038DDF72" w14:textId="77777777" w:rsidR="0066416C" w:rsidRPr="001D216A" w:rsidRDefault="0066416C" w:rsidP="0066416C">
      <w:pPr>
        <w:rPr>
          <w:rStyle w:val="Strong"/>
        </w:rPr>
      </w:pPr>
      <w:r>
        <w:rPr>
          <w:b/>
          <w:noProof/>
          <w:lang w:eastAsia="en-AU"/>
        </w:rPr>
        <w:drawing>
          <wp:inline distT="0" distB="0" distL="0" distR="0" wp14:anchorId="00E7B6C4" wp14:editId="545B3B2B">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74C1BDA7" w14:textId="6289F27F" w:rsidR="0066416C" w:rsidRPr="001D216A" w:rsidRDefault="009B4687" w:rsidP="0066416C">
      <w:pPr>
        <w:rPr>
          <w:rStyle w:val="Strong"/>
        </w:rPr>
      </w:pPr>
      <w:hyperlink r:id="rId10">
        <w:r w:rsidRPr="1315E805">
          <w:rPr>
            <w:rStyle w:val="Hyperlink"/>
            <w:b/>
            <w:bCs/>
          </w:rPr>
          <w:t>Creative Commons Attribution 4.0 International Licence CC BY 4.0</w:t>
        </w:r>
      </w:hyperlink>
    </w:p>
    <w:p w14:paraId="47959412" w14:textId="77777777" w:rsidR="0066416C" w:rsidRPr="0066416C" w:rsidRDefault="0066416C" w:rsidP="0066416C">
      <w:r>
        <w:t xml:space="preserve">All material in this publication is licensed under a Creative Commons Attribution 4.0 International Licence, </w:t>
      </w:r>
      <w:proofErr w:type="gramStart"/>
      <w:r>
        <w:t>with the exception of</w:t>
      </w:r>
      <w:proofErr w:type="gramEnd"/>
      <w:r>
        <w:t>:</w:t>
      </w:r>
    </w:p>
    <w:p w14:paraId="7E281368" w14:textId="77777777" w:rsidR="000A5616" w:rsidRPr="00C66984" w:rsidRDefault="000A5616" w:rsidP="00A352DC">
      <w:pPr>
        <w:pStyle w:val="ListParagraph"/>
        <w:numPr>
          <w:ilvl w:val="0"/>
          <w:numId w:val="51"/>
        </w:numPr>
      </w:pPr>
      <w:r>
        <w:t>the Commonwealth Coat of Arms</w:t>
      </w:r>
    </w:p>
    <w:p w14:paraId="627D6B73" w14:textId="77777777" w:rsidR="000A5616" w:rsidRPr="00C66984" w:rsidRDefault="000A5616" w:rsidP="00A352DC">
      <w:pPr>
        <w:pStyle w:val="ListParagraph"/>
        <w:numPr>
          <w:ilvl w:val="0"/>
          <w:numId w:val="51"/>
        </w:numPr>
      </w:pPr>
      <w:r>
        <w:t>content supplied by third parties</w:t>
      </w:r>
    </w:p>
    <w:p w14:paraId="008FFF8F" w14:textId="77777777" w:rsidR="000A5616" w:rsidRPr="00C66984" w:rsidRDefault="000A5616" w:rsidP="00A352DC">
      <w:pPr>
        <w:pStyle w:val="ListParagraph"/>
        <w:numPr>
          <w:ilvl w:val="0"/>
          <w:numId w:val="51"/>
        </w:numPr>
      </w:pPr>
      <w:r>
        <w:t>logos</w:t>
      </w:r>
    </w:p>
    <w:p w14:paraId="2F4BD031" w14:textId="77777777" w:rsidR="000A5616" w:rsidRPr="0066416C" w:rsidRDefault="000A5616" w:rsidP="00A352DC">
      <w:pPr>
        <w:pStyle w:val="ListParagraph"/>
        <w:numPr>
          <w:ilvl w:val="0"/>
          <w:numId w:val="51"/>
        </w:numPr>
      </w:pPr>
      <w:r>
        <w:t>any material protected by trademark or otherwise noted in this publication.</w:t>
      </w:r>
    </w:p>
    <w:p w14:paraId="4C76942A" w14:textId="7ADBCF9C" w:rsidR="0066416C" w:rsidRPr="0066416C" w:rsidRDefault="0066416C" w:rsidP="0066416C">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1">
        <w:r w:rsidRPr="1315E805">
          <w:rPr>
            <w:rStyle w:val="Hyperlink"/>
          </w:rPr>
          <w:t>https://creativecommons.org/licenses/by/4.0/</w:t>
        </w:r>
      </w:hyperlink>
      <w:r>
        <w:t xml:space="preserve">. The full licence terms are available from </w:t>
      </w:r>
      <w:hyperlink r:id="rId12">
        <w:r w:rsidRPr="1315E805">
          <w:rPr>
            <w:rStyle w:val="Hyperlink"/>
          </w:rPr>
          <w:t>https://creativecommons.org/licenses/by/4.0/legalcode</w:t>
        </w:r>
      </w:hyperlink>
      <w:r>
        <w:t>.</w:t>
      </w:r>
    </w:p>
    <w:p w14:paraId="7C1EEBB7" w14:textId="7FFDCC53" w:rsidR="000F50CE" w:rsidRDefault="000F50CE" w:rsidP="000F50CE">
      <w:r>
        <w:t xml:space="preserve">Content contained herein should be </w:t>
      </w:r>
      <w:r w:rsidRPr="000C3142">
        <w:t xml:space="preserve">attributed as </w:t>
      </w:r>
      <w:r w:rsidR="00CA287C" w:rsidRPr="000C3142">
        <w:rPr>
          <w:i/>
        </w:rPr>
        <w:t xml:space="preserve">Offshore petroleum </w:t>
      </w:r>
      <w:r w:rsidR="00F32608" w:rsidRPr="000C3142">
        <w:rPr>
          <w:i/>
        </w:rPr>
        <w:t>retention lease</w:t>
      </w:r>
      <w:r w:rsidR="00CA287C" w:rsidRPr="000C3142">
        <w:rPr>
          <w:i/>
        </w:rPr>
        <w:t xml:space="preserve"> guideline</w:t>
      </w:r>
      <w:r w:rsidR="00CA287C" w:rsidRPr="000C3142">
        <w:t>.</w:t>
      </w:r>
    </w:p>
    <w:p w14:paraId="4945D13A" w14:textId="77777777" w:rsidR="00B81C11" w:rsidRDefault="0066416C" w:rsidP="009B4687">
      <w: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1D6E7EE9" w14:textId="77777777" w:rsidR="00B81C11" w:rsidRPr="001D216A" w:rsidRDefault="00B81C11" w:rsidP="00B81C11">
      <w:pPr>
        <w:pStyle w:val="Heading2"/>
      </w:pPr>
      <w:bookmarkStart w:id="33" w:name="_Toc19023740"/>
      <w:bookmarkStart w:id="34" w:name="_Toc19289803"/>
      <w:bookmarkStart w:id="35" w:name="_Toc144911606"/>
      <w:bookmarkStart w:id="36" w:name="_Toc155191314"/>
      <w:bookmarkStart w:id="37" w:name="_Toc178233123"/>
      <w:bookmarkStart w:id="38" w:name="_Toc178248081"/>
      <w:bookmarkStart w:id="39" w:name="_Toc178861662"/>
      <w:bookmarkStart w:id="40" w:name="_Toc178861695"/>
      <w:bookmarkStart w:id="41" w:name="_Toc181285506"/>
      <w:bookmarkStart w:id="42" w:name="_Toc183091628"/>
      <w:bookmarkStart w:id="43" w:name="_Toc183680309"/>
      <w:bookmarkStart w:id="44" w:name="_Toc188447932"/>
      <w:bookmarkStart w:id="45" w:name="_Toc189229593"/>
      <w:bookmarkStart w:id="46" w:name="_Toc189750616"/>
      <w:bookmarkStart w:id="47" w:name="_Toc215169675"/>
      <w:bookmarkStart w:id="48" w:name="_Toc215524945"/>
      <w:r>
        <w:lastRenderedPageBreak/>
        <w:t>Disclaimer</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71D985B" w14:textId="5EF8063E" w:rsidR="00CA287C" w:rsidRDefault="00B81C11" w:rsidP="00CA287C">
      <w:r>
        <w:t xml:space="preserve">The purpose of this publication is to </w:t>
      </w:r>
      <w:r w:rsidR="00903913">
        <w:t xml:space="preserve">provide information on </w:t>
      </w:r>
      <w:r w:rsidR="00F32608">
        <w:t>petroleum retention leases</w:t>
      </w:r>
      <w:r w:rsidR="00CA287C">
        <w:t xml:space="preserve"> under the </w:t>
      </w:r>
      <w:hyperlink r:id="rId13" w:tooltip="https://www.legislation.gov.au/Details/C2018C00151" w:history="1">
        <w:r w:rsidR="00CA287C" w:rsidRPr="00903913">
          <w:rPr>
            <w:i/>
          </w:rPr>
          <w:t>Offshore Petroleum and Greenhouse Gas Storage Act 2006</w:t>
        </w:r>
      </w:hyperlink>
      <w:r w:rsidR="00CA287C" w:rsidRPr="00921A45">
        <w:t xml:space="preserve"> (</w:t>
      </w:r>
      <w:r w:rsidR="00CA287C" w:rsidRPr="00903913">
        <w:rPr>
          <w:bCs/>
        </w:rPr>
        <w:t>OPGGS Act</w:t>
      </w:r>
      <w:r w:rsidR="00CA287C">
        <w:t xml:space="preserve">). This guideline assists applicants and titleholders to </w:t>
      </w:r>
      <w:r w:rsidR="00CA287C" w:rsidRPr="000B22A9">
        <w:t xml:space="preserve">understand the expectations of </w:t>
      </w:r>
      <w:r w:rsidR="00CA287C">
        <w:t>the Joint Authority when making decisions on applications.</w:t>
      </w:r>
    </w:p>
    <w:p w14:paraId="419AFCC4" w14:textId="31118B5C" w:rsidR="00B81C11" w:rsidRDefault="00B81C11" w:rsidP="00B81C11">
      <w:r>
        <w:t>The Commonwealth as represented by the Department of Industry, Science</w:t>
      </w:r>
      <w:r w:rsidR="005C111D">
        <w:t xml:space="preserve"> </w:t>
      </w:r>
      <w:r>
        <w:t>and Resources has exercised due care and skill in the preparation and compilation of the information in this publication.</w:t>
      </w:r>
    </w:p>
    <w:p w14:paraId="71DFB72D" w14:textId="77777777" w:rsidR="00B81C11" w:rsidRDefault="00B81C11" w:rsidP="00B81C11">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015F61FF" w14:textId="052DAEB4" w:rsidR="00E14F58" w:rsidRPr="00BA0B22" w:rsidRDefault="00B81C11" w:rsidP="00E14F58">
      <w:r>
        <w:t xml:space="preserve">The Commonwealth accepts no responsibility or liability for any damage, loss or expense incurred </w:t>
      </w:r>
      <w:proofErr w:type="gramStart"/>
      <w:r>
        <w:t>as a result of</w:t>
      </w:r>
      <w:proofErr w:type="gramEnd"/>
      <w:r>
        <w:t xml:space="preserve"> the reliance on information contained in this publication. This publication does not indicate commitment by the Commonwealth to a particular course of action.</w:t>
      </w:r>
    </w:p>
    <w:p w14:paraId="433F23AA" w14:textId="77777777" w:rsidR="00DD41C7" w:rsidRDefault="0066416C" w:rsidP="0066416C">
      <w:pPr>
        <w:sectPr w:rsidR="00DD41C7" w:rsidSect="00DD41C7">
          <w:footerReference w:type="default" r:id="rId14"/>
          <w:headerReference w:type="first" r:id="rId15"/>
          <w:pgSz w:w="11906" w:h="16838"/>
          <w:pgMar w:top="1276" w:right="1440" w:bottom="1440" w:left="1440" w:header="851" w:footer="708" w:gutter="0"/>
          <w:pgNumType w:fmt="lowerRoman" w:start="1"/>
          <w:cols w:space="708"/>
          <w:titlePg/>
          <w:docGrid w:linePitch="360"/>
        </w:sectPr>
      </w:pPr>
      <w:r>
        <w:br w:type="page"/>
      </w:r>
    </w:p>
    <w:bookmarkStart w:id="49" w:name="_Toc144911607" w:displacedByCustomXml="next"/>
    <w:bookmarkStart w:id="50" w:name="_Toc19289804" w:displacedByCustomXml="next"/>
    <w:sdt>
      <w:sdtPr>
        <w:rPr>
          <w:rFonts w:eastAsiaTheme="minorEastAsia"/>
          <w:szCs w:val="20"/>
        </w:rPr>
        <w:id w:val="1578165311"/>
        <w:docPartObj>
          <w:docPartGallery w:val="Table of Contents"/>
          <w:docPartUnique/>
        </w:docPartObj>
      </w:sdtPr>
      <w:sdtEndPr>
        <w:rPr>
          <w:b/>
          <w:bCs/>
          <w:noProof/>
        </w:rPr>
      </w:sdtEndPr>
      <w:sdtContent>
        <w:p w14:paraId="57B2BC87" w14:textId="7BE15BAC" w:rsidR="00FC5442" w:rsidRPr="00DC44D9" w:rsidRDefault="00612AD0">
          <w:pPr>
            <w:pStyle w:val="TOC1"/>
            <w:rPr>
              <w:rFonts w:asciiTheme="majorHAnsi" w:eastAsiaTheme="majorEastAsia" w:hAnsiTheme="majorHAnsi" w:cstheme="majorBidi"/>
              <w:color w:val="15659B" w:themeColor="accent4"/>
              <w:sz w:val="48"/>
              <w:szCs w:val="48"/>
              <w:lang w:val="en-US"/>
            </w:rPr>
          </w:pPr>
          <w:r w:rsidRPr="00DC44D9">
            <w:rPr>
              <w:rFonts w:asciiTheme="majorHAnsi" w:eastAsiaTheme="majorEastAsia" w:hAnsiTheme="majorHAnsi" w:cstheme="majorBidi"/>
              <w:color w:val="15659B" w:themeColor="accent4"/>
              <w:sz w:val="48"/>
              <w:szCs w:val="48"/>
              <w:lang w:val="en-US"/>
            </w:rPr>
            <w:t>Contents</w:t>
          </w:r>
        </w:p>
        <w:p w14:paraId="1AD8ED2E" w14:textId="04A9C72A" w:rsidR="00D360BD" w:rsidRDefault="00B54621">
          <w:pPr>
            <w:pStyle w:val="TOC1"/>
            <w:rPr>
              <w:rFonts w:eastAsiaTheme="minorEastAsia"/>
              <w:noProof/>
              <w:kern w:val="2"/>
              <w:sz w:val="24"/>
              <w:szCs w:val="24"/>
              <w:lang w:eastAsia="en-AU"/>
              <w14:ligatures w14:val="standardContextual"/>
            </w:rPr>
          </w:pPr>
          <w:r>
            <w:rPr>
              <w:rFonts w:asciiTheme="majorHAnsi" w:eastAsiaTheme="majorEastAsia" w:hAnsiTheme="majorHAnsi" w:cstheme="majorBidi"/>
              <w:color w:val="15659B" w:themeColor="accent4"/>
              <w:sz w:val="48"/>
              <w:szCs w:val="48"/>
              <w:lang w:val="en-US"/>
            </w:rPr>
            <w:fldChar w:fldCharType="begin"/>
          </w:r>
          <w:r w:rsidR="00612AD0">
            <w:instrText>TOC \o "1-3" \h \z \u</w:instrText>
          </w:r>
          <w:r>
            <w:rPr>
              <w:rFonts w:asciiTheme="majorHAnsi" w:eastAsiaTheme="majorEastAsia" w:hAnsiTheme="majorHAnsi" w:cstheme="majorBidi"/>
              <w:color w:val="15659B" w:themeColor="accent4"/>
              <w:sz w:val="48"/>
              <w:szCs w:val="48"/>
              <w:lang w:val="en-US"/>
            </w:rPr>
            <w:fldChar w:fldCharType="separate"/>
          </w:r>
          <w:hyperlink w:anchor="_Toc215524943" w:history="1"/>
        </w:p>
        <w:p w14:paraId="5B95FAF1" w14:textId="6630EE92"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46" w:history="1">
            <w:r w:rsidRPr="00A75AD4">
              <w:rPr>
                <w:rStyle w:val="Hyperlink"/>
                <w:noProof/>
              </w:rPr>
              <w:t>1.</w:t>
            </w:r>
            <w:r>
              <w:rPr>
                <w:rFonts w:eastAsiaTheme="minorEastAsia"/>
                <w:noProof/>
                <w:kern w:val="2"/>
                <w:sz w:val="24"/>
                <w:szCs w:val="24"/>
                <w:lang w:eastAsia="en-AU"/>
                <w14:ligatures w14:val="standardContextual"/>
              </w:rPr>
              <w:tab/>
            </w:r>
            <w:r w:rsidRPr="00A75AD4">
              <w:rPr>
                <w:rStyle w:val="Hyperlink"/>
                <w:noProof/>
              </w:rPr>
              <w:t>Overview</w:t>
            </w:r>
            <w:r>
              <w:rPr>
                <w:noProof/>
                <w:webHidden/>
              </w:rPr>
              <w:tab/>
            </w:r>
            <w:r>
              <w:rPr>
                <w:noProof/>
                <w:webHidden/>
              </w:rPr>
              <w:fldChar w:fldCharType="begin"/>
            </w:r>
            <w:r>
              <w:rPr>
                <w:noProof/>
                <w:webHidden/>
              </w:rPr>
              <w:instrText xml:space="preserve"> PAGEREF _Toc215524946 \h </w:instrText>
            </w:r>
            <w:r>
              <w:rPr>
                <w:noProof/>
                <w:webHidden/>
              </w:rPr>
            </w:r>
            <w:r>
              <w:rPr>
                <w:noProof/>
                <w:webHidden/>
              </w:rPr>
              <w:fldChar w:fldCharType="separate"/>
            </w:r>
            <w:r w:rsidR="009A338D">
              <w:rPr>
                <w:noProof/>
                <w:webHidden/>
              </w:rPr>
              <w:t>5</w:t>
            </w:r>
            <w:r>
              <w:rPr>
                <w:noProof/>
                <w:webHidden/>
              </w:rPr>
              <w:fldChar w:fldCharType="end"/>
            </w:r>
          </w:hyperlink>
        </w:p>
        <w:p w14:paraId="23C8D05C" w14:textId="4AEF1898" w:rsidR="00D360BD" w:rsidRDefault="00D360BD" w:rsidP="002F6239">
          <w:pPr>
            <w:pStyle w:val="TOC3"/>
            <w:rPr>
              <w:rFonts w:eastAsiaTheme="minorEastAsia"/>
              <w:kern w:val="2"/>
              <w:sz w:val="24"/>
              <w:szCs w:val="24"/>
              <w:lang w:eastAsia="en-AU"/>
              <w14:ligatures w14:val="standardContextual"/>
            </w:rPr>
          </w:pPr>
          <w:hyperlink w:anchor="_Toc215524947" w:history="1">
            <w:r w:rsidRPr="00A75AD4">
              <w:rPr>
                <w:rStyle w:val="Hyperlink"/>
              </w:rPr>
              <w:t>Decision-maker</w:t>
            </w:r>
            <w:r>
              <w:rPr>
                <w:webHidden/>
              </w:rPr>
              <w:tab/>
            </w:r>
            <w:r>
              <w:rPr>
                <w:webHidden/>
              </w:rPr>
              <w:fldChar w:fldCharType="begin"/>
            </w:r>
            <w:r>
              <w:rPr>
                <w:webHidden/>
              </w:rPr>
              <w:instrText xml:space="preserve"> PAGEREF _Toc215524947 \h </w:instrText>
            </w:r>
            <w:r>
              <w:rPr>
                <w:webHidden/>
              </w:rPr>
            </w:r>
            <w:r>
              <w:rPr>
                <w:webHidden/>
              </w:rPr>
              <w:fldChar w:fldCharType="separate"/>
            </w:r>
            <w:r w:rsidR="009A338D">
              <w:rPr>
                <w:webHidden/>
              </w:rPr>
              <w:t>5</w:t>
            </w:r>
            <w:r>
              <w:rPr>
                <w:webHidden/>
              </w:rPr>
              <w:fldChar w:fldCharType="end"/>
            </w:r>
          </w:hyperlink>
        </w:p>
        <w:p w14:paraId="69EE26F8" w14:textId="05D0C9AC" w:rsidR="00D360BD" w:rsidRDefault="00D360BD" w:rsidP="002F6239">
          <w:pPr>
            <w:pStyle w:val="TOC3"/>
            <w:rPr>
              <w:rFonts w:eastAsiaTheme="minorEastAsia"/>
              <w:kern w:val="2"/>
              <w:sz w:val="24"/>
              <w:szCs w:val="24"/>
              <w:lang w:eastAsia="en-AU"/>
              <w14:ligatures w14:val="standardContextual"/>
            </w:rPr>
          </w:pPr>
          <w:hyperlink w:anchor="_Toc215524948" w:history="1">
            <w:r w:rsidRPr="00A75AD4">
              <w:rPr>
                <w:rStyle w:val="Hyperlink"/>
              </w:rPr>
              <w:t>Decision-making</w:t>
            </w:r>
            <w:r>
              <w:rPr>
                <w:webHidden/>
              </w:rPr>
              <w:tab/>
            </w:r>
            <w:r>
              <w:rPr>
                <w:webHidden/>
              </w:rPr>
              <w:fldChar w:fldCharType="begin"/>
            </w:r>
            <w:r>
              <w:rPr>
                <w:webHidden/>
              </w:rPr>
              <w:instrText xml:space="preserve"> PAGEREF _Toc215524948 \h </w:instrText>
            </w:r>
            <w:r>
              <w:rPr>
                <w:webHidden/>
              </w:rPr>
            </w:r>
            <w:r>
              <w:rPr>
                <w:webHidden/>
              </w:rPr>
              <w:fldChar w:fldCharType="separate"/>
            </w:r>
            <w:r w:rsidR="009A338D">
              <w:rPr>
                <w:webHidden/>
              </w:rPr>
              <w:t>6</w:t>
            </w:r>
            <w:r>
              <w:rPr>
                <w:webHidden/>
              </w:rPr>
              <w:fldChar w:fldCharType="end"/>
            </w:r>
          </w:hyperlink>
        </w:p>
        <w:p w14:paraId="7059F838" w14:textId="5C7F9D80" w:rsidR="00D360BD" w:rsidRDefault="00D360BD" w:rsidP="002F6239">
          <w:pPr>
            <w:pStyle w:val="TOC3"/>
            <w:rPr>
              <w:rFonts w:eastAsiaTheme="minorEastAsia"/>
              <w:kern w:val="2"/>
              <w:sz w:val="24"/>
              <w:szCs w:val="24"/>
              <w:lang w:eastAsia="en-AU"/>
              <w14:ligatures w14:val="standardContextual"/>
            </w:rPr>
          </w:pPr>
          <w:hyperlink w:anchor="_Toc215524949" w:history="1">
            <w:r w:rsidRPr="00A75AD4">
              <w:rPr>
                <w:rStyle w:val="Hyperlink"/>
              </w:rPr>
              <w:t>Information gathering powers</w:t>
            </w:r>
            <w:r>
              <w:rPr>
                <w:webHidden/>
              </w:rPr>
              <w:tab/>
            </w:r>
            <w:r>
              <w:rPr>
                <w:webHidden/>
              </w:rPr>
              <w:fldChar w:fldCharType="begin"/>
            </w:r>
            <w:r>
              <w:rPr>
                <w:webHidden/>
              </w:rPr>
              <w:instrText xml:space="preserve"> PAGEREF _Toc215524949 \h </w:instrText>
            </w:r>
            <w:r>
              <w:rPr>
                <w:webHidden/>
              </w:rPr>
            </w:r>
            <w:r>
              <w:rPr>
                <w:webHidden/>
              </w:rPr>
              <w:fldChar w:fldCharType="separate"/>
            </w:r>
            <w:r w:rsidR="009A338D">
              <w:rPr>
                <w:webHidden/>
              </w:rPr>
              <w:t>6</w:t>
            </w:r>
            <w:r>
              <w:rPr>
                <w:webHidden/>
              </w:rPr>
              <w:fldChar w:fldCharType="end"/>
            </w:r>
          </w:hyperlink>
        </w:p>
        <w:p w14:paraId="46946D69" w14:textId="338BEB4F" w:rsidR="00D360BD" w:rsidRDefault="00D360BD" w:rsidP="002F6239">
          <w:pPr>
            <w:pStyle w:val="TOC3"/>
            <w:rPr>
              <w:rFonts w:eastAsiaTheme="minorEastAsia"/>
              <w:kern w:val="2"/>
              <w:sz w:val="24"/>
              <w:szCs w:val="24"/>
              <w:lang w:eastAsia="en-AU"/>
              <w14:ligatures w14:val="standardContextual"/>
            </w:rPr>
          </w:pPr>
          <w:hyperlink w:anchor="_Toc215524950" w:history="1">
            <w:r w:rsidRPr="00A75AD4">
              <w:rPr>
                <w:rStyle w:val="Hyperlink"/>
              </w:rPr>
              <w:t>Application requirements</w:t>
            </w:r>
            <w:r>
              <w:rPr>
                <w:webHidden/>
              </w:rPr>
              <w:tab/>
            </w:r>
            <w:r>
              <w:rPr>
                <w:webHidden/>
              </w:rPr>
              <w:fldChar w:fldCharType="begin"/>
            </w:r>
            <w:r>
              <w:rPr>
                <w:webHidden/>
              </w:rPr>
              <w:instrText xml:space="preserve"> PAGEREF _Toc215524950 \h </w:instrText>
            </w:r>
            <w:r>
              <w:rPr>
                <w:webHidden/>
              </w:rPr>
            </w:r>
            <w:r>
              <w:rPr>
                <w:webHidden/>
              </w:rPr>
              <w:fldChar w:fldCharType="separate"/>
            </w:r>
            <w:r w:rsidR="009A338D">
              <w:rPr>
                <w:webHidden/>
              </w:rPr>
              <w:t>6</w:t>
            </w:r>
            <w:r>
              <w:rPr>
                <w:webHidden/>
              </w:rPr>
              <w:fldChar w:fldCharType="end"/>
            </w:r>
          </w:hyperlink>
        </w:p>
        <w:p w14:paraId="473632BB" w14:textId="3726B7B8" w:rsidR="00D360BD" w:rsidRDefault="00D360BD" w:rsidP="002F6239">
          <w:pPr>
            <w:pStyle w:val="TOC3"/>
            <w:rPr>
              <w:rFonts w:eastAsiaTheme="minorEastAsia"/>
              <w:kern w:val="2"/>
              <w:sz w:val="24"/>
              <w:szCs w:val="24"/>
              <w:lang w:eastAsia="en-AU"/>
              <w14:ligatures w14:val="standardContextual"/>
            </w:rPr>
          </w:pPr>
          <w:hyperlink w:anchor="_Toc215524951" w:history="1">
            <w:r w:rsidRPr="00A75AD4">
              <w:rPr>
                <w:rStyle w:val="Hyperlink"/>
              </w:rPr>
              <w:t>Submission requirements</w:t>
            </w:r>
            <w:r>
              <w:rPr>
                <w:webHidden/>
              </w:rPr>
              <w:tab/>
            </w:r>
            <w:r>
              <w:rPr>
                <w:webHidden/>
              </w:rPr>
              <w:fldChar w:fldCharType="begin"/>
            </w:r>
            <w:r>
              <w:rPr>
                <w:webHidden/>
              </w:rPr>
              <w:instrText xml:space="preserve"> PAGEREF _Toc215524951 \h </w:instrText>
            </w:r>
            <w:r>
              <w:rPr>
                <w:webHidden/>
              </w:rPr>
            </w:r>
            <w:r>
              <w:rPr>
                <w:webHidden/>
              </w:rPr>
              <w:fldChar w:fldCharType="separate"/>
            </w:r>
            <w:r w:rsidR="009A338D">
              <w:rPr>
                <w:webHidden/>
              </w:rPr>
              <w:t>7</w:t>
            </w:r>
            <w:r>
              <w:rPr>
                <w:webHidden/>
              </w:rPr>
              <w:fldChar w:fldCharType="end"/>
            </w:r>
          </w:hyperlink>
        </w:p>
        <w:p w14:paraId="054504C2" w14:textId="64C67197"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52" w:history="1">
            <w:r w:rsidRPr="00A75AD4">
              <w:rPr>
                <w:rStyle w:val="Hyperlink"/>
                <w:noProof/>
              </w:rPr>
              <w:t>2.</w:t>
            </w:r>
            <w:r>
              <w:rPr>
                <w:rFonts w:eastAsiaTheme="minorEastAsia"/>
                <w:noProof/>
                <w:kern w:val="2"/>
                <w:sz w:val="24"/>
                <w:szCs w:val="24"/>
                <w:lang w:eastAsia="en-AU"/>
                <w14:ligatures w14:val="standardContextual"/>
              </w:rPr>
              <w:tab/>
            </w:r>
            <w:r w:rsidRPr="00A75AD4">
              <w:rPr>
                <w:rStyle w:val="Hyperlink"/>
                <w:noProof/>
              </w:rPr>
              <w:t>Third party submissions and advice</w:t>
            </w:r>
            <w:r>
              <w:rPr>
                <w:noProof/>
                <w:webHidden/>
              </w:rPr>
              <w:tab/>
            </w:r>
            <w:r>
              <w:rPr>
                <w:noProof/>
                <w:webHidden/>
              </w:rPr>
              <w:fldChar w:fldCharType="begin"/>
            </w:r>
            <w:r>
              <w:rPr>
                <w:noProof/>
                <w:webHidden/>
              </w:rPr>
              <w:instrText xml:space="preserve"> PAGEREF _Toc215524952 \h </w:instrText>
            </w:r>
            <w:r>
              <w:rPr>
                <w:noProof/>
                <w:webHidden/>
              </w:rPr>
            </w:r>
            <w:r>
              <w:rPr>
                <w:noProof/>
                <w:webHidden/>
              </w:rPr>
              <w:fldChar w:fldCharType="separate"/>
            </w:r>
            <w:r w:rsidR="009A338D">
              <w:rPr>
                <w:noProof/>
                <w:webHidden/>
              </w:rPr>
              <w:t>8</w:t>
            </w:r>
            <w:r>
              <w:rPr>
                <w:noProof/>
                <w:webHidden/>
              </w:rPr>
              <w:fldChar w:fldCharType="end"/>
            </w:r>
          </w:hyperlink>
        </w:p>
        <w:p w14:paraId="43D42B44" w14:textId="2C14C152"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53" w:history="1">
            <w:r w:rsidRPr="00A75AD4">
              <w:rPr>
                <w:rStyle w:val="Hyperlink"/>
                <w:noProof/>
              </w:rPr>
              <w:t>3.</w:t>
            </w:r>
            <w:r>
              <w:rPr>
                <w:rFonts w:eastAsiaTheme="minorEastAsia"/>
                <w:noProof/>
                <w:kern w:val="2"/>
                <w:sz w:val="24"/>
                <w:szCs w:val="24"/>
                <w:lang w:eastAsia="en-AU"/>
                <w14:ligatures w14:val="standardContextual"/>
              </w:rPr>
              <w:tab/>
            </w:r>
            <w:r w:rsidRPr="00A75AD4">
              <w:rPr>
                <w:rStyle w:val="Hyperlink"/>
                <w:noProof/>
              </w:rPr>
              <w:t>Commerciality</w:t>
            </w:r>
            <w:r>
              <w:rPr>
                <w:noProof/>
                <w:webHidden/>
              </w:rPr>
              <w:tab/>
            </w:r>
            <w:r>
              <w:rPr>
                <w:noProof/>
                <w:webHidden/>
              </w:rPr>
              <w:fldChar w:fldCharType="begin"/>
            </w:r>
            <w:r>
              <w:rPr>
                <w:noProof/>
                <w:webHidden/>
              </w:rPr>
              <w:instrText xml:space="preserve"> PAGEREF _Toc215524953 \h </w:instrText>
            </w:r>
            <w:r>
              <w:rPr>
                <w:noProof/>
                <w:webHidden/>
              </w:rPr>
            </w:r>
            <w:r>
              <w:rPr>
                <w:noProof/>
                <w:webHidden/>
              </w:rPr>
              <w:fldChar w:fldCharType="separate"/>
            </w:r>
            <w:r w:rsidR="009A338D">
              <w:rPr>
                <w:noProof/>
                <w:webHidden/>
              </w:rPr>
              <w:t>9</w:t>
            </w:r>
            <w:r>
              <w:rPr>
                <w:noProof/>
                <w:webHidden/>
              </w:rPr>
              <w:fldChar w:fldCharType="end"/>
            </w:r>
          </w:hyperlink>
        </w:p>
        <w:p w14:paraId="3D8CB0A9" w14:textId="18645EA7" w:rsidR="00D360BD" w:rsidRDefault="00D360BD" w:rsidP="002F6239">
          <w:pPr>
            <w:pStyle w:val="TOC3"/>
            <w:rPr>
              <w:rFonts w:eastAsiaTheme="minorEastAsia"/>
              <w:kern w:val="2"/>
              <w:sz w:val="24"/>
              <w:szCs w:val="24"/>
              <w:lang w:eastAsia="en-AU"/>
              <w14:ligatures w14:val="standardContextual"/>
            </w:rPr>
          </w:pPr>
          <w:hyperlink w:anchor="_Toc215524954" w:history="1">
            <w:r w:rsidRPr="00A75AD4">
              <w:rPr>
                <w:rStyle w:val="Hyperlink"/>
              </w:rPr>
              <w:t>Commerciality test</w:t>
            </w:r>
            <w:r>
              <w:rPr>
                <w:webHidden/>
              </w:rPr>
              <w:tab/>
            </w:r>
            <w:r>
              <w:rPr>
                <w:webHidden/>
              </w:rPr>
              <w:fldChar w:fldCharType="begin"/>
            </w:r>
            <w:r>
              <w:rPr>
                <w:webHidden/>
              </w:rPr>
              <w:instrText xml:space="preserve"> PAGEREF _Toc215524954 \h </w:instrText>
            </w:r>
            <w:r>
              <w:rPr>
                <w:webHidden/>
              </w:rPr>
            </w:r>
            <w:r>
              <w:rPr>
                <w:webHidden/>
              </w:rPr>
              <w:fldChar w:fldCharType="separate"/>
            </w:r>
            <w:r w:rsidR="009A338D">
              <w:rPr>
                <w:webHidden/>
              </w:rPr>
              <w:t>9</w:t>
            </w:r>
            <w:r>
              <w:rPr>
                <w:webHidden/>
              </w:rPr>
              <w:fldChar w:fldCharType="end"/>
            </w:r>
          </w:hyperlink>
        </w:p>
        <w:p w14:paraId="59621EE1" w14:textId="734080FD"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55" w:history="1">
            <w:r w:rsidRPr="00A75AD4">
              <w:rPr>
                <w:rStyle w:val="Hyperlink"/>
                <w:noProof/>
              </w:rPr>
              <w:t>4.</w:t>
            </w:r>
            <w:r>
              <w:rPr>
                <w:rFonts w:eastAsiaTheme="minorEastAsia"/>
                <w:noProof/>
                <w:kern w:val="2"/>
                <w:sz w:val="24"/>
                <w:szCs w:val="24"/>
                <w:lang w:eastAsia="en-AU"/>
                <w14:ligatures w14:val="standardContextual"/>
              </w:rPr>
              <w:tab/>
            </w:r>
            <w:r w:rsidRPr="00A75AD4">
              <w:rPr>
                <w:rStyle w:val="Hyperlink"/>
                <w:noProof/>
              </w:rPr>
              <w:t>Applying for or renewing a retention lease</w:t>
            </w:r>
            <w:r>
              <w:rPr>
                <w:noProof/>
                <w:webHidden/>
              </w:rPr>
              <w:tab/>
            </w:r>
            <w:r>
              <w:rPr>
                <w:noProof/>
                <w:webHidden/>
              </w:rPr>
              <w:fldChar w:fldCharType="begin"/>
            </w:r>
            <w:r>
              <w:rPr>
                <w:noProof/>
                <w:webHidden/>
              </w:rPr>
              <w:instrText xml:space="preserve"> PAGEREF _Toc215524955 \h </w:instrText>
            </w:r>
            <w:r>
              <w:rPr>
                <w:noProof/>
                <w:webHidden/>
              </w:rPr>
            </w:r>
            <w:r>
              <w:rPr>
                <w:noProof/>
                <w:webHidden/>
              </w:rPr>
              <w:fldChar w:fldCharType="separate"/>
            </w:r>
            <w:r w:rsidR="009A338D">
              <w:rPr>
                <w:noProof/>
                <w:webHidden/>
              </w:rPr>
              <w:t>12</w:t>
            </w:r>
            <w:r>
              <w:rPr>
                <w:noProof/>
                <w:webHidden/>
              </w:rPr>
              <w:fldChar w:fldCharType="end"/>
            </w:r>
          </w:hyperlink>
        </w:p>
        <w:p w14:paraId="244795A0" w14:textId="28A71E51" w:rsidR="00D360BD" w:rsidRPr="00BA7C12" w:rsidRDefault="00D360BD" w:rsidP="002F6239">
          <w:pPr>
            <w:pStyle w:val="TOC3"/>
            <w:rPr>
              <w:rFonts w:eastAsiaTheme="minorEastAsia"/>
              <w:kern w:val="2"/>
              <w:sz w:val="24"/>
              <w:szCs w:val="24"/>
              <w:lang w:eastAsia="en-AU"/>
              <w14:ligatures w14:val="standardContextual"/>
            </w:rPr>
          </w:pPr>
          <w:hyperlink w:anchor="_Toc215524956" w:history="1">
            <w:r w:rsidRPr="00BA7C12">
              <w:rPr>
                <w:rStyle w:val="Hyperlink"/>
                <w:shd w:val="clear" w:color="auto" w:fill="FFFFFF"/>
              </w:rPr>
              <w:t>Technical and financial capacity and other suitability matters</w:t>
            </w:r>
            <w:r w:rsidRPr="00BA7C12">
              <w:rPr>
                <w:webHidden/>
              </w:rPr>
              <w:tab/>
            </w:r>
            <w:r w:rsidRPr="00BA7C12">
              <w:rPr>
                <w:webHidden/>
              </w:rPr>
              <w:fldChar w:fldCharType="begin"/>
            </w:r>
            <w:r w:rsidRPr="00BA7C12">
              <w:rPr>
                <w:webHidden/>
              </w:rPr>
              <w:instrText xml:space="preserve"> PAGEREF _Toc215524956 \h </w:instrText>
            </w:r>
            <w:r w:rsidRPr="00BA7C12">
              <w:rPr>
                <w:webHidden/>
              </w:rPr>
            </w:r>
            <w:r w:rsidRPr="00BA7C12">
              <w:rPr>
                <w:webHidden/>
              </w:rPr>
              <w:fldChar w:fldCharType="separate"/>
            </w:r>
            <w:r w:rsidR="009A338D">
              <w:rPr>
                <w:webHidden/>
              </w:rPr>
              <w:t>12</w:t>
            </w:r>
            <w:r w:rsidRPr="00BA7C12">
              <w:rPr>
                <w:webHidden/>
              </w:rPr>
              <w:fldChar w:fldCharType="end"/>
            </w:r>
          </w:hyperlink>
        </w:p>
        <w:p w14:paraId="6943E693" w14:textId="549A35F4" w:rsidR="00D360BD" w:rsidRPr="00BA7C12" w:rsidRDefault="00D360BD" w:rsidP="002F6239">
          <w:pPr>
            <w:pStyle w:val="TOC3"/>
            <w:rPr>
              <w:rFonts w:eastAsiaTheme="minorEastAsia"/>
              <w:kern w:val="2"/>
              <w:sz w:val="24"/>
              <w:szCs w:val="24"/>
              <w:lang w:eastAsia="en-AU"/>
              <w14:ligatures w14:val="standardContextual"/>
            </w:rPr>
          </w:pPr>
          <w:hyperlink w:anchor="_Toc215524957" w:history="1">
            <w:r w:rsidRPr="00BA7C12">
              <w:rPr>
                <w:rStyle w:val="Hyperlink"/>
                <w:shd w:val="clear" w:color="auto" w:fill="FFFFFF"/>
              </w:rPr>
              <w:t>Detailed application requirements</w:t>
            </w:r>
            <w:r w:rsidRPr="00BA7C12">
              <w:rPr>
                <w:webHidden/>
              </w:rPr>
              <w:tab/>
            </w:r>
            <w:r w:rsidRPr="00BA7C12">
              <w:rPr>
                <w:webHidden/>
              </w:rPr>
              <w:fldChar w:fldCharType="begin"/>
            </w:r>
            <w:r w:rsidRPr="00BA7C12">
              <w:rPr>
                <w:webHidden/>
              </w:rPr>
              <w:instrText xml:space="preserve"> PAGEREF _Toc215524957 \h </w:instrText>
            </w:r>
            <w:r w:rsidRPr="00BA7C12">
              <w:rPr>
                <w:webHidden/>
              </w:rPr>
            </w:r>
            <w:r w:rsidRPr="00BA7C12">
              <w:rPr>
                <w:webHidden/>
              </w:rPr>
              <w:fldChar w:fldCharType="separate"/>
            </w:r>
            <w:r w:rsidR="009A338D">
              <w:rPr>
                <w:webHidden/>
              </w:rPr>
              <w:t>12</w:t>
            </w:r>
            <w:r w:rsidRPr="00BA7C12">
              <w:rPr>
                <w:webHidden/>
              </w:rPr>
              <w:fldChar w:fldCharType="end"/>
            </w:r>
          </w:hyperlink>
        </w:p>
        <w:p w14:paraId="6CF1923B" w14:textId="27338F1E" w:rsidR="00D360BD" w:rsidRDefault="00D360BD" w:rsidP="002F6239">
          <w:pPr>
            <w:pStyle w:val="TOC3"/>
            <w:rPr>
              <w:rFonts w:eastAsiaTheme="minorEastAsia"/>
              <w:kern w:val="2"/>
              <w:sz w:val="24"/>
              <w:szCs w:val="24"/>
              <w:lang w:eastAsia="en-AU"/>
              <w14:ligatures w14:val="standardContextual"/>
            </w:rPr>
          </w:pPr>
          <w:hyperlink w:anchor="_Toc215524958" w:history="1">
            <w:r w:rsidRPr="00A75AD4">
              <w:rPr>
                <w:rStyle w:val="Hyperlink"/>
              </w:rPr>
              <w:t>Application submission timeframes</w:t>
            </w:r>
            <w:r>
              <w:rPr>
                <w:webHidden/>
              </w:rPr>
              <w:tab/>
            </w:r>
            <w:r>
              <w:rPr>
                <w:webHidden/>
              </w:rPr>
              <w:fldChar w:fldCharType="begin"/>
            </w:r>
            <w:r>
              <w:rPr>
                <w:webHidden/>
              </w:rPr>
              <w:instrText xml:space="preserve"> PAGEREF _Toc215524958 \h </w:instrText>
            </w:r>
            <w:r>
              <w:rPr>
                <w:webHidden/>
              </w:rPr>
            </w:r>
            <w:r>
              <w:rPr>
                <w:webHidden/>
              </w:rPr>
              <w:fldChar w:fldCharType="separate"/>
            </w:r>
            <w:r w:rsidR="009A338D">
              <w:rPr>
                <w:webHidden/>
              </w:rPr>
              <w:t>17</w:t>
            </w:r>
            <w:r>
              <w:rPr>
                <w:webHidden/>
              </w:rPr>
              <w:fldChar w:fldCharType="end"/>
            </w:r>
          </w:hyperlink>
        </w:p>
        <w:p w14:paraId="0A83D2CE" w14:textId="0C1E88A3" w:rsidR="00D360BD" w:rsidRDefault="00D360BD" w:rsidP="002F6239">
          <w:pPr>
            <w:pStyle w:val="TOC3"/>
            <w:rPr>
              <w:rFonts w:eastAsiaTheme="minorEastAsia"/>
              <w:kern w:val="2"/>
              <w:sz w:val="24"/>
              <w:szCs w:val="24"/>
              <w:lang w:eastAsia="en-AU"/>
              <w14:ligatures w14:val="standardContextual"/>
            </w:rPr>
          </w:pPr>
          <w:hyperlink w:anchor="_Toc215524959" w:history="1">
            <w:r w:rsidRPr="00A75AD4">
              <w:rPr>
                <w:rStyle w:val="Hyperlink"/>
              </w:rPr>
              <w:t>Application assessment</w:t>
            </w:r>
            <w:r>
              <w:rPr>
                <w:webHidden/>
              </w:rPr>
              <w:tab/>
            </w:r>
            <w:r>
              <w:rPr>
                <w:webHidden/>
              </w:rPr>
              <w:fldChar w:fldCharType="begin"/>
            </w:r>
            <w:r>
              <w:rPr>
                <w:webHidden/>
              </w:rPr>
              <w:instrText xml:space="preserve"> PAGEREF _Toc215524959 \h </w:instrText>
            </w:r>
            <w:r>
              <w:rPr>
                <w:webHidden/>
              </w:rPr>
            </w:r>
            <w:r>
              <w:rPr>
                <w:webHidden/>
              </w:rPr>
              <w:fldChar w:fldCharType="separate"/>
            </w:r>
            <w:r w:rsidR="009A338D">
              <w:rPr>
                <w:webHidden/>
              </w:rPr>
              <w:t>18</w:t>
            </w:r>
            <w:r>
              <w:rPr>
                <w:webHidden/>
              </w:rPr>
              <w:fldChar w:fldCharType="end"/>
            </w:r>
          </w:hyperlink>
        </w:p>
        <w:p w14:paraId="7E3AD591" w14:textId="030693A3" w:rsidR="00D360BD" w:rsidRDefault="00D360BD" w:rsidP="002F6239">
          <w:pPr>
            <w:pStyle w:val="TOC3"/>
            <w:rPr>
              <w:rFonts w:eastAsiaTheme="minorEastAsia"/>
              <w:kern w:val="2"/>
              <w:sz w:val="24"/>
              <w:szCs w:val="24"/>
              <w:lang w:eastAsia="en-AU"/>
              <w14:ligatures w14:val="standardContextual"/>
            </w:rPr>
          </w:pPr>
          <w:hyperlink w:anchor="_Toc215524960" w:history="1">
            <w:r w:rsidRPr="00A75AD4">
              <w:rPr>
                <w:rStyle w:val="Hyperlink"/>
              </w:rPr>
              <w:t>Offer to grant or renew</w:t>
            </w:r>
            <w:r>
              <w:rPr>
                <w:webHidden/>
              </w:rPr>
              <w:tab/>
            </w:r>
            <w:r>
              <w:rPr>
                <w:webHidden/>
              </w:rPr>
              <w:fldChar w:fldCharType="begin"/>
            </w:r>
            <w:r>
              <w:rPr>
                <w:webHidden/>
              </w:rPr>
              <w:instrText xml:space="preserve"> PAGEREF _Toc215524960 \h </w:instrText>
            </w:r>
            <w:r>
              <w:rPr>
                <w:webHidden/>
              </w:rPr>
            </w:r>
            <w:r>
              <w:rPr>
                <w:webHidden/>
              </w:rPr>
              <w:fldChar w:fldCharType="separate"/>
            </w:r>
            <w:r w:rsidR="009A338D">
              <w:rPr>
                <w:webHidden/>
              </w:rPr>
              <w:t>19</w:t>
            </w:r>
            <w:r>
              <w:rPr>
                <w:webHidden/>
              </w:rPr>
              <w:fldChar w:fldCharType="end"/>
            </w:r>
          </w:hyperlink>
        </w:p>
        <w:p w14:paraId="32200660" w14:textId="63850A63" w:rsidR="00D360BD" w:rsidRDefault="00D360BD" w:rsidP="002F6239">
          <w:pPr>
            <w:pStyle w:val="TOC3"/>
            <w:rPr>
              <w:rFonts w:eastAsiaTheme="minorEastAsia"/>
              <w:kern w:val="2"/>
              <w:sz w:val="24"/>
              <w:szCs w:val="24"/>
              <w:lang w:eastAsia="en-AU"/>
              <w14:ligatures w14:val="standardContextual"/>
            </w:rPr>
          </w:pPr>
          <w:hyperlink w:anchor="_Toc215524961" w:history="1">
            <w:r w:rsidRPr="00A75AD4">
              <w:rPr>
                <w:rStyle w:val="Hyperlink"/>
              </w:rPr>
              <w:t>Refusal to grant or renew</w:t>
            </w:r>
            <w:r>
              <w:rPr>
                <w:webHidden/>
              </w:rPr>
              <w:tab/>
            </w:r>
            <w:r>
              <w:rPr>
                <w:webHidden/>
              </w:rPr>
              <w:fldChar w:fldCharType="begin"/>
            </w:r>
            <w:r>
              <w:rPr>
                <w:webHidden/>
              </w:rPr>
              <w:instrText xml:space="preserve"> PAGEREF _Toc215524961 \h </w:instrText>
            </w:r>
            <w:r>
              <w:rPr>
                <w:webHidden/>
              </w:rPr>
            </w:r>
            <w:r>
              <w:rPr>
                <w:webHidden/>
              </w:rPr>
              <w:fldChar w:fldCharType="separate"/>
            </w:r>
            <w:r w:rsidR="009A338D">
              <w:rPr>
                <w:webHidden/>
              </w:rPr>
              <w:t>20</w:t>
            </w:r>
            <w:r>
              <w:rPr>
                <w:webHidden/>
              </w:rPr>
              <w:fldChar w:fldCharType="end"/>
            </w:r>
          </w:hyperlink>
        </w:p>
        <w:p w14:paraId="11A15D88" w14:textId="65441864"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62" w:history="1">
            <w:r w:rsidRPr="00A75AD4">
              <w:rPr>
                <w:rStyle w:val="Hyperlink"/>
                <w:noProof/>
              </w:rPr>
              <w:t>5.</w:t>
            </w:r>
            <w:r>
              <w:rPr>
                <w:rFonts w:eastAsiaTheme="minorEastAsia"/>
                <w:noProof/>
                <w:kern w:val="2"/>
                <w:sz w:val="24"/>
                <w:szCs w:val="24"/>
                <w:lang w:eastAsia="en-AU"/>
                <w14:ligatures w14:val="standardContextual"/>
              </w:rPr>
              <w:tab/>
            </w:r>
            <w:r w:rsidRPr="00A75AD4">
              <w:rPr>
                <w:rStyle w:val="Hyperlink"/>
                <w:noProof/>
              </w:rPr>
              <w:t>Retention lease conditions and administration</w:t>
            </w:r>
            <w:r>
              <w:rPr>
                <w:noProof/>
                <w:webHidden/>
              </w:rPr>
              <w:tab/>
            </w:r>
            <w:r>
              <w:rPr>
                <w:noProof/>
                <w:webHidden/>
              </w:rPr>
              <w:fldChar w:fldCharType="begin"/>
            </w:r>
            <w:r>
              <w:rPr>
                <w:noProof/>
                <w:webHidden/>
              </w:rPr>
              <w:instrText xml:space="preserve"> PAGEREF _Toc215524962 \h </w:instrText>
            </w:r>
            <w:r>
              <w:rPr>
                <w:noProof/>
                <w:webHidden/>
              </w:rPr>
            </w:r>
            <w:r>
              <w:rPr>
                <w:noProof/>
                <w:webHidden/>
              </w:rPr>
              <w:fldChar w:fldCharType="separate"/>
            </w:r>
            <w:r w:rsidR="009A338D">
              <w:rPr>
                <w:noProof/>
                <w:webHidden/>
              </w:rPr>
              <w:t>22</w:t>
            </w:r>
            <w:r>
              <w:rPr>
                <w:noProof/>
                <w:webHidden/>
              </w:rPr>
              <w:fldChar w:fldCharType="end"/>
            </w:r>
          </w:hyperlink>
        </w:p>
        <w:p w14:paraId="768DD6E9" w14:textId="470BC5D2" w:rsidR="00D360BD" w:rsidRDefault="00D360BD" w:rsidP="002F6239">
          <w:pPr>
            <w:pStyle w:val="TOC3"/>
            <w:rPr>
              <w:rFonts w:eastAsiaTheme="minorEastAsia"/>
              <w:kern w:val="2"/>
              <w:sz w:val="24"/>
              <w:szCs w:val="24"/>
              <w:lang w:eastAsia="en-AU"/>
              <w14:ligatures w14:val="standardContextual"/>
            </w:rPr>
          </w:pPr>
          <w:hyperlink w:anchor="_Toc215524963" w:history="1">
            <w:r w:rsidRPr="00A75AD4">
              <w:rPr>
                <w:rStyle w:val="Hyperlink"/>
              </w:rPr>
              <w:t>Annual reporting</w:t>
            </w:r>
            <w:r>
              <w:rPr>
                <w:webHidden/>
              </w:rPr>
              <w:tab/>
            </w:r>
            <w:r>
              <w:rPr>
                <w:webHidden/>
              </w:rPr>
              <w:fldChar w:fldCharType="begin"/>
            </w:r>
            <w:r>
              <w:rPr>
                <w:webHidden/>
              </w:rPr>
              <w:instrText xml:space="preserve"> PAGEREF _Toc215524963 \h </w:instrText>
            </w:r>
            <w:r>
              <w:rPr>
                <w:webHidden/>
              </w:rPr>
            </w:r>
            <w:r>
              <w:rPr>
                <w:webHidden/>
              </w:rPr>
              <w:fldChar w:fldCharType="separate"/>
            </w:r>
            <w:r w:rsidR="009A338D">
              <w:rPr>
                <w:webHidden/>
              </w:rPr>
              <w:t>22</w:t>
            </w:r>
            <w:r>
              <w:rPr>
                <w:webHidden/>
              </w:rPr>
              <w:fldChar w:fldCharType="end"/>
            </w:r>
          </w:hyperlink>
        </w:p>
        <w:p w14:paraId="3A7AA4CD" w14:textId="025105B0" w:rsidR="00D360BD" w:rsidRDefault="00D360BD" w:rsidP="002F6239">
          <w:pPr>
            <w:pStyle w:val="TOC3"/>
            <w:rPr>
              <w:rFonts w:eastAsiaTheme="minorEastAsia"/>
              <w:kern w:val="2"/>
              <w:sz w:val="24"/>
              <w:szCs w:val="24"/>
              <w:lang w:eastAsia="en-AU"/>
              <w14:ligatures w14:val="standardContextual"/>
            </w:rPr>
          </w:pPr>
          <w:hyperlink w:anchor="_Toc215524964" w:history="1">
            <w:r w:rsidRPr="00A75AD4">
              <w:rPr>
                <w:rStyle w:val="Hyperlink"/>
              </w:rPr>
              <w:t>Re-evaluation of commercial viability</w:t>
            </w:r>
            <w:r>
              <w:rPr>
                <w:webHidden/>
              </w:rPr>
              <w:tab/>
            </w:r>
            <w:r>
              <w:rPr>
                <w:webHidden/>
              </w:rPr>
              <w:fldChar w:fldCharType="begin"/>
            </w:r>
            <w:r>
              <w:rPr>
                <w:webHidden/>
              </w:rPr>
              <w:instrText xml:space="preserve"> PAGEREF _Toc215524964 \h </w:instrText>
            </w:r>
            <w:r>
              <w:rPr>
                <w:webHidden/>
              </w:rPr>
            </w:r>
            <w:r>
              <w:rPr>
                <w:webHidden/>
              </w:rPr>
              <w:fldChar w:fldCharType="separate"/>
            </w:r>
            <w:r w:rsidR="009A338D">
              <w:rPr>
                <w:webHidden/>
              </w:rPr>
              <w:t>22</w:t>
            </w:r>
            <w:r>
              <w:rPr>
                <w:webHidden/>
              </w:rPr>
              <w:fldChar w:fldCharType="end"/>
            </w:r>
          </w:hyperlink>
        </w:p>
        <w:p w14:paraId="0E112591" w14:textId="22D60387" w:rsidR="00D360BD" w:rsidRDefault="00D360BD" w:rsidP="002F6239">
          <w:pPr>
            <w:pStyle w:val="TOC3"/>
            <w:rPr>
              <w:rFonts w:eastAsiaTheme="minorEastAsia"/>
              <w:kern w:val="2"/>
              <w:sz w:val="24"/>
              <w:szCs w:val="24"/>
              <w:lang w:eastAsia="en-AU"/>
              <w14:ligatures w14:val="standardContextual"/>
            </w:rPr>
          </w:pPr>
          <w:hyperlink w:anchor="_Toc215524965" w:history="1">
            <w:r w:rsidRPr="00A75AD4">
              <w:rPr>
                <w:rStyle w:val="Hyperlink"/>
              </w:rPr>
              <w:t>Revocation</w:t>
            </w:r>
            <w:r>
              <w:rPr>
                <w:webHidden/>
              </w:rPr>
              <w:tab/>
            </w:r>
            <w:r>
              <w:rPr>
                <w:webHidden/>
              </w:rPr>
              <w:fldChar w:fldCharType="begin"/>
            </w:r>
            <w:r>
              <w:rPr>
                <w:webHidden/>
              </w:rPr>
              <w:instrText xml:space="preserve"> PAGEREF _Toc215524965 \h </w:instrText>
            </w:r>
            <w:r>
              <w:rPr>
                <w:webHidden/>
              </w:rPr>
            </w:r>
            <w:r>
              <w:rPr>
                <w:webHidden/>
              </w:rPr>
              <w:fldChar w:fldCharType="separate"/>
            </w:r>
            <w:r w:rsidR="009A338D">
              <w:rPr>
                <w:webHidden/>
              </w:rPr>
              <w:t>23</w:t>
            </w:r>
            <w:r>
              <w:rPr>
                <w:webHidden/>
              </w:rPr>
              <w:fldChar w:fldCharType="end"/>
            </w:r>
          </w:hyperlink>
        </w:p>
        <w:p w14:paraId="42DADE07" w14:textId="74D22123" w:rsidR="00D360BD" w:rsidRDefault="00D360BD" w:rsidP="002F6239">
          <w:pPr>
            <w:pStyle w:val="TOC3"/>
            <w:rPr>
              <w:rFonts w:eastAsiaTheme="minorEastAsia"/>
              <w:kern w:val="2"/>
              <w:sz w:val="24"/>
              <w:szCs w:val="24"/>
              <w:lang w:eastAsia="en-AU"/>
              <w14:ligatures w14:val="standardContextual"/>
            </w:rPr>
          </w:pPr>
          <w:hyperlink w:anchor="_Toc215524966" w:history="1">
            <w:r w:rsidRPr="00A75AD4">
              <w:rPr>
                <w:rStyle w:val="Hyperlink"/>
              </w:rPr>
              <w:t>Conditions</w:t>
            </w:r>
            <w:r>
              <w:rPr>
                <w:webHidden/>
              </w:rPr>
              <w:tab/>
            </w:r>
            <w:r>
              <w:rPr>
                <w:webHidden/>
              </w:rPr>
              <w:fldChar w:fldCharType="begin"/>
            </w:r>
            <w:r>
              <w:rPr>
                <w:webHidden/>
              </w:rPr>
              <w:instrText xml:space="preserve"> PAGEREF _Toc215524966 \h </w:instrText>
            </w:r>
            <w:r>
              <w:rPr>
                <w:webHidden/>
              </w:rPr>
            </w:r>
            <w:r>
              <w:rPr>
                <w:webHidden/>
              </w:rPr>
              <w:fldChar w:fldCharType="separate"/>
            </w:r>
            <w:r w:rsidR="009A338D">
              <w:rPr>
                <w:webHidden/>
              </w:rPr>
              <w:t>23</w:t>
            </w:r>
            <w:r>
              <w:rPr>
                <w:webHidden/>
              </w:rPr>
              <w:fldChar w:fldCharType="end"/>
            </w:r>
          </w:hyperlink>
        </w:p>
        <w:p w14:paraId="61848EC7" w14:textId="1C022A4C" w:rsidR="00D360BD" w:rsidRDefault="00D360BD" w:rsidP="002F6239">
          <w:pPr>
            <w:pStyle w:val="TOC3"/>
            <w:rPr>
              <w:rFonts w:eastAsiaTheme="minorEastAsia"/>
              <w:kern w:val="2"/>
              <w:sz w:val="24"/>
              <w:szCs w:val="24"/>
              <w:lang w:eastAsia="en-AU"/>
              <w14:ligatures w14:val="standardContextual"/>
            </w:rPr>
          </w:pPr>
          <w:hyperlink w:anchor="_Toc215524967" w:history="1">
            <w:r w:rsidRPr="00A75AD4">
              <w:rPr>
                <w:rStyle w:val="Hyperlink"/>
              </w:rPr>
              <w:t>Technical advice and financial resources available</w:t>
            </w:r>
            <w:r>
              <w:rPr>
                <w:webHidden/>
              </w:rPr>
              <w:tab/>
            </w:r>
            <w:r>
              <w:rPr>
                <w:webHidden/>
              </w:rPr>
              <w:fldChar w:fldCharType="begin"/>
            </w:r>
            <w:r>
              <w:rPr>
                <w:webHidden/>
              </w:rPr>
              <w:instrText xml:space="preserve"> PAGEREF _Toc215524967 \h </w:instrText>
            </w:r>
            <w:r>
              <w:rPr>
                <w:webHidden/>
              </w:rPr>
            </w:r>
            <w:r>
              <w:rPr>
                <w:webHidden/>
              </w:rPr>
              <w:fldChar w:fldCharType="separate"/>
            </w:r>
            <w:r w:rsidR="009A338D">
              <w:rPr>
                <w:webHidden/>
              </w:rPr>
              <w:t>24</w:t>
            </w:r>
            <w:r>
              <w:rPr>
                <w:webHidden/>
              </w:rPr>
              <w:fldChar w:fldCharType="end"/>
            </w:r>
          </w:hyperlink>
        </w:p>
        <w:p w14:paraId="35665923" w14:textId="77D1DA67" w:rsidR="00D360BD" w:rsidRDefault="00D360BD" w:rsidP="002F6239">
          <w:pPr>
            <w:pStyle w:val="TOC3"/>
            <w:rPr>
              <w:rFonts w:eastAsiaTheme="minorEastAsia"/>
              <w:kern w:val="2"/>
              <w:sz w:val="24"/>
              <w:szCs w:val="24"/>
              <w:lang w:eastAsia="en-AU"/>
              <w14:ligatures w14:val="standardContextual"/>
            </w:rPr>
          </w:pPr>
          <w:hyperlink w:anchor="_Toc215524968" w:history="1">
            <w:r w:rsidRPr="00A75AD4">
              <w:rPr>
                <w:rStyle w:val="Hyperlink"/>
              </w:rPr>
              <w:t>Exemptions</w:t>
            </w:r>
            <w:r>
              <w:rPr>
                <w:webHidden/>
              </w:rPr>
              <w:tab/>
            </w:r>
            <w:r>
              <w:rPr>
                <w:webHidden/>
              </w:rPr>
              <w:fldChar w:fldCharType="begin"/>
            </w:r>
            <w:r>
              <w:rPr>
                <w:webHidden/>
              </w:rPr>
              <w:instrText xml:space="preserve"> PAGEREF _Toc215524968 \h </w:instrText>
            </w:r>
            <w:r>
              <w:rPr>
                <w:webHidden/>
              </w:rPr>
            </w:r>
            <w:r>
              <w:rPr>
                <w:webHidden/>
              </w:rPr>
              <w:fldChar w:fldCharType="separate"/>
            </w:r>
            <w:r w:rsidR="009A338D">
              <w:rPr>
                <w:webHidden/>
              </w:rPr>
              <w:t>24</w:t>
            </w:r>
            <w:r>
              <w:rPr>
                <w:webHidden/>
              </w:rPr>
              <w:fldChar w:fldCharType="end"/>
            </w:r>
          </w:hyperlink>
        </w:p>
        <w:p w14:paraId="32765C52" w14:textId="5627713B" w:rsidR="00D360BD" w:rsidRPr="002F6239" w:rsidRDefault="00D360BD" w:rsidP="002F6239">
          <w:pPr>
            <w:pStyle w:val="TOC3"/>
            <w:rPr>
              <w:rFonts w:eastAsiaTheme="minorEastAsia"/>
              <w:kern w:val="2"/>
              <w:sz w:val="24"/>
              <w:szCs w:val="24"/>
              <w:lang w:eastAsia="en-AU"/>
              <w14:ligatures w14:val="standardContextual"/>
            </w:rPr>
          </w:pPr>
          <w:hyperlink w:anchor="_Toc215524969" w:history="1">
            <w:r w:rsidRPr="002F6239">
              <w:rPr>
                <w:rStyle w:val="Hyperlink"/>
              </w:rPr>
              <w:t>Surrenders</w:t>
            </w:r>
            <w:r w:rsidRPr="002F6239">
              <w:rPr>
                <w:webHidden/>
              </w:rPr>
              <w:tab/>
            </w:r>
            <w:r w:rsidRPr="002F6239">
              <w:rPr>
                <w:webHidden/>
              </w:rPr>
              <w:fldChar w:fldCharType="begin"/>
            </w:r>
            <w:r w:rsidRPr="002F6239">
              <w:rPr>
                <w:webHidden/>
              </w:rPr>
              <w:instrText xml:space="preserve"> PAGEREF _Toc215524969 \h </w:instrText>
            </w:r>
            <w:r w:rsidRPr="002F6239">
              <w:rPr>
                <w:webHidden/>
              </w:rPr>
            </w:r>
            <w:r w:rsidRPr="002F6239">
              <w:rPr>
                <w:webHidden/>
              </w:rPr>
              <w:fldChar w:fldCharType="separate"/>
            </w:r>
            <w:r w:rsidR="009A338D">
              <w:rPr>
                <w:webHidden/>
              </w:rPr>
              <w:t>25</w:t>
            </w:r>
            <w:r w:rsidRPr="002F6239">
              <w:rPr>
                <w:webHidden/>
              </w:rPr>
              <w:fldChar w:fldCharType="end"/>
            </w:r>
          </w:hyperlink>
        </w:p>
        <w:p w14:paraId="01C09002" w14:textId="40AB46AC" w:rsidR="00D360BD" w:rsidRDefault="00D360BD" w:rsidP="002F6239">
          <w:pPr>
            <w:pStyle w:val="TOC3"/>
            <w:rPr>
              <w:rFonts w:eastAsiaTheme="minorEastAsia"/>
              <w:kern w:val="2"/>
              <w:sz w:val="24"/>
              <w:szCs w:val="24"/>
              <w:lang w:eastAsia="en-AU"/>
              <w14:ligatures w14:val="standardContextual"/>
            </w:rPr>
          </w:pPr>
          <w:hyperlink w:anchor="_Toc215524970" w:history="1">
            <w:r w:rsidRPr="00A75AD4">
              <w:rPr>
                <w:rStyle w:val="Hyperlink"/>
              </w:rPr>
              <w:t>Cancellation</w:t>
            </w:r>
            <w:r>
              <w:rPr>
                <w:webHidden/>
              </w:rPr>
              <w:tab/>
            </w:r>
            <w:r>
              <w:rPr>
                <w:webHidden/>
              </w:rPr>
              <w:fldChar w:fldCharType="begin"/>
            </w:r>
            <w:r>
              <w:rPr>
                <w:webHidden/>
              </w:rPr>
              <w:instrText xml:space="preserve"> PAGEREF _Toc215524970 \h </w:instrText>
            </w:r>
            <w:r>
              <w:rPr>
                <w:webHidden/>
              </w:rPr>
            </w:r>
            <w:r>
              <w:rPr>
                <w:webHidden/>
              </w:rPr>
              <w:fldChar w:fldCharType="separate"/>
            </w:r>
            <w:r w:rsidR="009A338D">
              <w:rPr>
                <w:webHidden/>
              </w:rPr>
              <w:t>25</w:t>
            </w:r>
            <w:r>
              <w:rPr>
                <w:webHidden/>
              </w:rPr>
              <w:fldChar w:fldCharType="end"/>
            </w:r>
          </w:hyperlink>
        </w:p>
        <w:p w14:paraId="53614483" w14:textId="29791BC3" w:rsidR="00D360BD" w:rsidRDefault="00D360BD" w:rsidP="002F6239">
          <w:pPr>
            <w:pStyle w:val="TOC3"/>
            <w:rPr>
              <w:rFonts w:eastAsiaTheme="minorEastAsia"/>
              <w:kern w:val="2"/>
              <w:sz w:val="24"/>
              <w:szCs w:val="24"/>
              <w:lang w:eastAsia="en-AU"/>
              <w14:ligatures w14:val="standardContextual"/>
            </w:rPr>
          </w:pPr>
          <w:hyperlink w:anchor="_Toc215524971" w:history="1">
            <w:r w:rsidRPr="00A75AD4">
              <w:rPr>
                <w:rStyle w:val="Hyperlink"/>
              </w:rPr>
              <w:t>Expiry</w:t>
            </w:r>
            <w:r>
              <w:rPr>
                <w:webHidden/>
              </w:rPr>
              <w:tab/>
            </w:r>
            <w:r>
              <w:rPr>
                <w:webHidden/>
              </w:rPr>
              <w:fldChar w:fldCharType="begin"/>
            </w:r>
            <w:r>
              <w:rPr>
                <w:webHidden/>
              </w:rPr>
              <w:instrText xml:space="preserve"> PAGEREF _Toc215524971 \h </w:instrText>
            </w:r>
            <w:r>
              <w:rPr>
                <w:webHidden/>
              </w:rPr>
            </w:r>
            <w:r>
              <w:rPr>
                <w:webHidden/>
              </w:rPr>
              <w:fldChar w:fldCharType="separate"/>
            </w:r>
            <w:r w:rsidR="009A338D">
              <w:rPr>
                <w:webHidden/>
              </w:rPr>
              <w:t>26</w:t>
            </w:r>
            <w:r>
              <w:rPr>
                <w:webHidden/>
              </w:rPr>
              <w:fldChar w:fldCharType="end"/>
            </w:r>
          </w:hyperlink>
        </w:p>
        <w:p w14:paraId="558E40BD" w14:textId="54465738"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72" w:history="1">
            <w:r w:rsidRPr="00A75AD4">
              <w:rPr>
                <w:rStyle w:val="Hyperlink"/>
                <w:noProof/>
              </w:rPr>
              <w:t>6.</w:t>
            </w:r>
            <w:r>
              <w:rPr>
                <w:rFonts w:eastAsiaTheme="minorEastAsia"/>
                <w:noProof/>
                <w:kern w:val="2"/>
                <w:sz w:val="24"/>
                <w:szCs w:val="24"/>
                <w:lang w:eastAsia="en-AU"/>
                <w14:ligatures w14:val="standardContextual"/>
              </w:rPr>
              <w:tab/>
            </w:r>
            <w:r w:rsidRPr="00A75AD4">
              <w:rPr>
                <w:rStyle w:val="Hyperlink"/>
                <w:noProof/>
              </w:rPr>
              <w:t>Table of revisions</w:t>
            </w:r>
            <w:r>
              <w:rPr>
                <w:noProof/>
                <w:webHidden/>
              </w:rPr>
              <w:tab/>
            </w:r>
            <w:r>
              <w:rPr>
                <w:noProof/>
                <w:webHidden/>
              </w:rPr>
              <w:fldChar w:fldCharType="begin"/>
            </w:r>
            <w:r>
              <w:rPr>
                <w:noProof/>
                <w:webHidden/>
              </w:rPr>
              <w:instrText xml:space="preserve"> PAGEREF _Toc215524972 \h </w:instrText>
            </w:r>
            <w:r>
              <w:rPr>
                <w:noProof/>
                <w:webHidden/>
              </w:rPr>
            </w:r>
            <w:r>
              <w:rPr>
                <w:noProof/>
                <w:webHidden/>
              </w:rPr>
              <w:fldChar w:fldCharType="separate"/>
            </w:r>
            <w:r w:rsidR="009A338D">
              <w:rPr>
                <w:noProof/>
                <w:webHidden/>
              </w:rPr>
              <w:t>27</w:t>
            </w:r>
            <w:r>
              <w:rPr>
                <w:noProof/>
                <w:webHidden/>
              </w:rPr>
              <w:fldChar w:fldCharType="end"/>
            </w:r>
          </w:hyperlink>
        </w:p>
        <w:p w14:paraId="4D5679C3" w14:textId="1F8DE28B" w:rsidR="00D360BD" w:rsidRDefault="00D360BD">
          <w:pPr>
            <w:pStyle w:val="TOC2"/>
            <w:tabs>
              <w:tab w:val="left" w:pos="442"/>
              <w:tab w:val="right" w:leader="dot" w:pos="9016"/>
            </w:tabs>
            <w:rPr>
              <w:rFonts w:eastAsiaTheme="minorEastAsia"/>
              <w:noProof/>
              <w:kern w:val="2"/>
              <w:sz w:val="24"/>
              <w:szCs w:val="24"/>
              <w:lang w:eastAsia="en-AU"/>
              <w14:ligatures w14:val="standardContextual"/>
            </w:rPr>
          </w:pPr>
          <w:hyperlink w:anchor="_Toc215524973" w:history="1">
            <w:r w:rsidRPr="00A75AD4">
              <w:rPr>
                <w:rStyle w:val="Hyperlink"/>
                <w:noProof/>
              </w:rPr>
              <w:t>7.</w:t>
            </w:r>
            <w:r>
              <w:rPr>
                <w:rFonts w:eastAsiaTheme="minorEastAsia"/>
                <w:noProof/>
                <w:kern w:val="2"/>
                <w:sz w:val="24"/>
                <w:szCs w:val="24"/>
                <w:lang w:eastAsia="en-AU"/>
                <w14:ligatures w14:val="standardContextual"/>
              </w:rPr>
              <w:tab/>
            </w:r>
            <w:r w:rsidRPr="00A75AD4">
              <w:rPr>
                <w:rStyle w:val="Hyperlink"/>
                <w:noProof/>
              </w:rPr>
              <w:t>Attachments</w:t>
            </w:r>
            <w:r>
              <w:rPr>
                <w:noProof/>
                <w:webHidden/>
              </w:rPr>
              <w:tab/>
            </w:r>
            <w:r>
              <w:rPr>
                <w:noProof/>
                <w:webHidden/>
              </w:rPr>
              <w:fldChar w:fldCharType="begin"/>
            </w:r>
            <w:r>
              <w:rPr>
                <w:noProof/>
                <w:webHidden/>
              </w:rPr>
              <w:instrText xml:space="preserve"> PAGEREF _Toc215524973 \h </w:instrText>
            </w:r>
            <w:r>
              <w:rPr>
                <w:noProof/>
                <w:webHidden/>
              </w:rPr>
            </w:r>
            <w:r>
              <w:rPr>
                <w:noProof/>
                <w:webHidden/>
              </w:rPr>
              <w:fldChar w:fldCharType="separate"/>
            </w:r>
            <w:r w:rsidR="009A338D">
              <w:rPr>
                <w:noProof/>
                <w:webHidden/>
              </w:rPr>
              <w:t>28</w:t>
            </w:r>
            <w:r>
              <w:rPr>
                <w:noProof/>
                <w:webHidden/>
              </w:rPr>
              <w:fldChar w:fldCharType="end"/>
            </w:r>
          </w:hyperlink>
        </w:p>
        <w:p w14:paraId="098A0549" w14:textId="19258B88" w:rsidR="00D360BD" w:rsidRDefault="00D360BD" w:rsidP="002F6239">
          <w:pPr>
            <w:pStyle w:val="TOC3"/>
            <w:rPr>
              <w:rFonts w:eastAsiaTheme="minorEastAsia"/>
              <w:kern w:val="2"/>
              <w:sz w:val="24"/>
              <w:szCs w:val="24"/>
              <w:lang w:eastAsia="en-AU"/>
              <w14:ligatures w14:val="standardContextual"/>
            </w:rPr>
          </w:pPr>
          <w:hyperlink w:anchor="_Toc215524974" w:history="1">
            <w:r w:rsidRPr="00A75AD4">
              <w:rPr>
                <w:rStyle w:val="Hyperlink"/>
              </w:rPr>
              <w:t>Attachment 1: application and assessment process</w:t>
            </w:r>
            <w:r>
              <w:rPr>
                <w:webHidden/>
              </w:rPr>
              <w:tab/>
            </w:r>
            <w:r>
              <w:rPr>
                <w:webHidden/>
              </w:rPr>
              <w:fldChar w:fldCharType="begin"/>
            </w:r>
            <w:r>
              <w:rPr>
                <w:webHidden/>
              </w:rPr>
              <w:instrText xml:space="preserve"> PAGEREF _Toc215524974 \h </w:instrText>
            </w:r>
            <w:r>
              <w:rPr>
                <w:webHidden/>
              </w:rPr>
            </w:r>
            <w:r>
              <w:rPr>
                <w:webHidden/>
              </w:rPr>
              <w:fldChar w:fldCharType="separate"/>
            </w:r>
            <w:r w:rsidR="009A338D">
              <w:rPr>
                <w:webHidden/>
              </w:rPr>
              <w:t>28</w:t>
            </w:r>
            <w:r>
              <w:rPr>
                <w:webHidden/>
              </w:rPr>
              <w:fldChar w:fldCharType="end"/>
            </w:r>
          </w:hyperlink>
        </w:p>
        <w:p w14:paraId="53EA56AD" w14:textId="19C04E2E" w:rsidR="00612AD0" w:rsidRPr="00130507" w:rsidRDefault="00B54621" w:rsidP="00130507">
          <w:pPr>
            <w:pStyle w:val="TOC2"/>
            <w:tabs>
              <w:tab w:val="left" w:pos="600"/>
              <w:tab w:val="right" w:leader="dot" w:pos="9015"/>
            </w:tabs>
            <w:rPr>
              <w:rFonts w:eastAsiaTheme="minorEastAsia"/>
              <w:noProof/>
              <w:kern w:val="2"/>
              <w:sz w:val="22"/>
              <w:lang w:eastAsia="en-AU"/>
              <w14:ligatures w14:val="standardContextual"/>
            </w:rPr>
          </w:pPr>
          <w:r>
            <w:fldChar w:fldCharType="end"/>
          </w:r>
        </w:p>
      </w:sdtContent>
    </w:sdt>
    <w:bookmarkEnd w:id="50"/>
    <w:bookmarkEnd w:id="49"/>
    <w:p w14:paraId="47536EA9" w14:textId="1DF731B7" w:rsidR="00903913" w:rsidRDefault="0066416C">
      <w:pPr>
        <w:spacing w:before="0" w:after="160" w:line="259" w:lineRule="auto"/>
      </w:pPr>
      <w:r>
        <w:br w:type="page"/>
      </w:r>
    </w:p>
    <w:p w14:paraId="26314780" w14:textId="4494B499" w:rsidR="00903913" w:rsidRDefault="00903913" w:rsidP="00D71C47">
      <w:pPr>
        <w:pStyle w:val="Heading2"/>
        <w:numPr>
          <w:ilvl w:val="0"/>
          <w:numId w:val="10"/>
        </w:numPr>
      </w:pPr>
      <w:bookmarkStart w:id="51" w:name="_Toc82718890"/>
      <w:bookmarkStart w:id="52" w:name="_Toc82718891"/>
      <w:bookmarkStart w:id="53" w:name="_Toc82718892"/>
      <w:bookmarkStart w:id="54" w:name="_Toc82718893"/>
      <w:bookmarkStart w:id="55" w:name="_Toc82718894"/>
      <w:bookmarkStart w:id="56" w:name="_Toc82718895"/>
      <w:bookmarkStart w:id="57" w:name="_Toc82718896"/>
      <w:bookmarkStart w:id="58" w:name="_Toc83042898"/>
      <w:bookmarkStart w:id="59" w:name="_Overview_of_an"/>
      <w:bookmarkStart w:id="60" w:name="_Toc83042899"/>
      <w:bookmarkStart w:id="61" w:name="_Toc83395015"/>
      <w:bookmarkStart w:id="62" w:name="_Toc90044299"/>
      <w:bookmarkStart w:id="63" w:name="_Ref170990413"/>
      <w:bookmarkStart w:id="64" w:name="_Ref170990468"/>
      <w:bookmarkStart w:id="65" w:name="_Ref183680020"/>
      <w:bookmarkStart w:id="66" w:name="_Toc215524946"/>
      <w:bookmarkEnd w:id="51"/>
      <w:bookmarkEnd w:id="52"/>
      <w:bookmarkEnd w:id="53"/>
      <w:bookmarkEnd w:id="54"/>
      <w:bookmarkEnd w:id="55"/>
      <w:bookmarkEnd w:id="56"/>
      <w:bookmarkEnd w:id="57"/>
      <w:bookmarkEnd w:id="58"/>
      <w:bookmarkEnd w:id="59"/>
      <w:r>
        <w:lastRenderedPageBreak/>
        <w:t>Overview</w:t>
      </w:r>
      <w:bookmarkEnd w:id="60"/>
      <w:bookmarkEnd w:id="61"/>
      <w:bookmarkEnd w:id="62"/>
      <w:bookmarkEnd w:id="63"/>
      <w:bookmarkEnd w:id="64"/>
      <w:bookmarkEnd w:id="65"/>
      <w:bookmarkEnd w:id="66"/>
    </w:p>
    <w:p w14:paraId="004EB3B6" w14:textId="1A67DEC9" w:rsidR="0007550B" w:rsidRPr="004C7669" w:rsidRDefault="00D52D56" w:rsidP="00D71C47">
      <w:pPr>
        <w:pStyle w:val="ListParagraph"/>
        <w:numPr>
          <w:ilvl w:val="1"/>
          <w:numId w:val="10"/>
        </w:numPr>
        <w:ind w:left="851" w:hanging="716"/>
      </w:pPr>
      <w:r>
        <w:t>A r</w:t>
      </w:r>
      <w:r w:rsidR="00F32608" w:rsidRPr="00F32608">
        <w:t>etention lease provide</w:t>
      </w:r>
      <w:r w:rsidR="00753EFE">
        <w:t>s</w:t>
      </w:r>
      <w:r w:rsidR="00F32608" w:rsidRPr="00F32608">
        <w:t xml:space="preserve"> security of title over</w:t>
      </w:r>
      <w:r w:rsidR="003B30CD">
        <w:t xml:space="preserve"> resources in</w:t>
      </w:r>
      <w:r w:rsidR="00F32608" w:rsidRPr="00F32608">
        <w:t xml:space="preserve"> the block(s) specified for a term of </w:t>
      </w:r>
      <w:r w:rsidR="00F32608">
        <w:t xml:space="preserve">five </w:t>
      </w:r>
      <w:r w:rsidR="00F32608" w:rsidRPr="00F32608">
        <w:t>years</w:t>
      </w:r>
      <w:r w:rsidR="009A14D5">
        <w:t>,</w:t>
      </w:r>
      <w:r w:rsidR="007E6479">
        <w:t xml:space="preserve"> that are not currently commercially viable but are likely to become so within 15 years</w:t>
      </w:r>
      <w:r w:rsidR="00F32608" w:rsidRPr="00F32608">
        <w:t xml:space="preserve">. </w:t>
      </w:r>
      <w:r w:rsidR="00F32608" w:rsidRPr="004C7669">
        <w:t>The objective of a retention lease is to</w:t>
      </w:r>
      <w:r w:rsidR="00753EFE" w:rsidRPr="004C7669">
        <w:t xml:space="preserve"> ensure that a lessee actively addresses barriers to the immediate commercial development of the petroleum resource</w:t>
      </w:r>
      <w:r w:rsidR="0007550B" w:rsidRPr="004C7669">
        <w:t xml:space="preserve">, determine a development strategy for the field that is </w:t>
      </w:r>
      <w:r w:rsidR="0007550B" w:rsidRPr="004C7669" w:rsidDel="00663789">
        <w:t xml:space="preserve">compatible with </w:t>
      </w:r>
      <w:r w:rsidR="00753EFE" w:rsidRPr="004C7669">
        <w:t>optimum long-term recovery of the petroleum, and bring the resource into production at the earliest opportunity.</w:t>
      </w:r>
    </w:p>
    <w:p w14:paraId="24CD5334" w14:textId="1AD5BB90" w:rsidR="00F32608" w:rsidRPr="00F32608" w:rsidRDefault="00F32608" w:rsidP="00D71C47">
      <w:pPr>
        <w:pStyle w:val="ListParagraph"/>
        <w:numPr>
          <w:ilvl w:val="1"/>
          <w:numId w:val="10"/>
        </w:numPr>
        <w:ind w:left="851" w:hanging="716"/>
      </w:pPr>
      <w:r w:rsidRPr="00F32608">
        <w:t>A retention lease may only be offered if the Joint Authority is satisfied th</w:t>
      </w:r>
      <w:r w:rsidR="00D52D56">
        <w:t>e</w:t>
      </w:r>
      <w:r w:rsidRPr="00F32608">
        <w:t xml:space="preserve">: </w:t>
      </w:r>
    </w:p>
    <w:p w14:paraId="43A41F17" w14:textId="0E1B3D50" w:rsidR="00F32608" w:rsidRDefault="00F32608" w:rsidP="00D71C47">
      <w:pPr>
        <w:pStyle w:val="ListParagraph"/>
        <w:numPr>
          <w:ilvl w:val="2"/>
          <w:numId w:val="14"/>
        </w:numPr>
        <w:ind w:hanging="373"/>
      </w:pPr>
      <w:r w:rsidRPr="00F32608">
        <w:t>block or blocks specified in the application contain petroleum and constitute or at some point constituted a location.</w:t>
      </w:r>
    </w:p>
    <w:p w14:paraId="73FDB639" w14:textId="79F6C3F7" w:rsidR="00F32608" w:rsidRPr="00F32608" w:rsidRDefault="00D52D56" w:rsidP="00F32608">
      <w:pPr>
        <w:pStyle w:val="Calloutbox"/>
      </w:pPr>
      <w:r w:rsidRPr="000D429A">
        <w:t>Refer to</w:t>
      </w:r>
      <w:r w:rsidR="00F32608" w:rsidRPr="000D429A">
        <w:t xml:space="preserve"> Offshore </w:t>
      </w:r>
      <w:r w:rsidR="00AB267E" w:rsidRPr="000D429A">
        <w:t>P</w:t>
      </w:r>
      <w:r w:rsidR="00F32608" w:rsidRPr="000D429A">
        <w:t>etroleum</w:t>
      </w:r>
      <w:r w:rsidRPr="000D429A">
        <w:t xml:space="preserve"> </w:t>
      </w:r>
      <w:r w:rsidR="00F32608" w:rsidRPr="000D429A">
        <w:t xml:space="preserve">Declaration of </w:t>
      </w:r>
      <w:r w:rsidR="00AB267E" w:rsidRPr="000D429A">
        <w:t>L</w:t>
      </w:r>
      <w:r w:rsidR="00F32608" w:rsidRPr="000D429A">
        <w:t>ocation</w:t>
      </w:r>
      <w:r w:rsidRPr="000D429A">
        <w:t xml:space="preserve"> </w:t>
      </w:r>
      <w:r w:rsidR="00AB267E" w:rsidRPr="000D429A">
        <w:t>G</w:t>
      </w:r>
      <w:r w:rsidRPr="000D429A">
        <w:t>uideline</w:t>
      </w:r>
      <w:r w:rsidRPr="000C3142">
        <w:t>.</w:t>
      </w:r>
    </w:p>
    <w:p w14:paraId="67449BB8" w14:textId="3F7091D4" w:rsidR="00F32608" w:rsidRPr="00F32608" w:rsidRDefault="00F32608" w:rsidP="00B23BB2">
      <w:pPr>
        <w:pStyle w:val="ListParagraph"/>
        <w:numPr>
          <w:ilvl w:val="2"/>
          <w:numId w:val="14"/>
        </w:numPr>
        <w:ind w:hanging="373"/>
      </w:pPr>
      <w:r w:rsidRPr="00F32608">
        <w:t>recovery of petroleum from the lease area is not currently commercially viable but is likely to become commercially viable within 15</w:t>
      </w:r>
      <w:r w:rsidR="000556B6">
        <w:t xml:space="preserve"> </w:t>
      </w:r>
      <w:r w:rsidRPr="00F32608">
        <w:t>years.</w:t>
      </w:r>
    </w:p>
    <w:p w14:paraId="418D7223" w14:textId="4112B3CB" w:rsidR="00F32608" w:rsidRDefault="00F32608" w:rsidP="008F5D5A">
      <w:pPr>
        <w:pStyle w:val="ListParagraph"/>
        <w:numPr>
          <w:ilvl w:val="2"/>
          <w:numId w:val="14"/>
        </w:numPr>
        <w:ind w:hanging="373"/>
      </w:pPr>
      <w:r w:rsidRPr="00F32608">
        <w:t>persons are suitable to participate in Australia’s offshore petroleum and greenhouse gas storage regime</w:t>
      </w:r>
      <w:r w:rsidR="00D52D56">
        <w:t>.</w:t>
      </w:r>
    </w:p>
    <w:p w14:paraId="4E16DB27" w14:textId="56F10722" w:rsidR="00F32608" w:rsidRPr="00F32608" w:rsidRDefault="00D52D56" w:rsidP="00F32608">
      <w:pPr>
        <w:pStyle w:val="Calloutbox"/>
      </w:pPr>
      <w:r>
        <w:t xml:space="preserve">Refer to the </w:t>
      </w:r>
      <w:hyperlink r:id="rId16" w:history="1">
        <w:r w:rsidR="007C31DF" w:rsidRPr="007C31DF">
          <w:rPr>
            <w:rStyle w:val="Hyperlink"/>
          </w:rPr>
          <w:t>Applicant S</w:t>
        </w:r>
        <w:r w:rsidR="00F32608" w:rsidRPr="007C31DF">
          <w:rPr>
            <w:rStyle w:val="Hyperlink"/>
          </w:rPr>
          <w:t xml:space="preserve">uitability </w:t>
        </w:r>
        <w:r w:rsidR="007C31DF" w:rsidRPr="007C31DF">
          <w:rPr>
            <w:rStyle w:val="Hyperlink"/>
          </w:rPr>
          <w:t>G</w:t>
        </w:r>
        <w:r w:rsidR="00F32608" w:rsidRPr="007C31DF">
          <w:rPr>
            <w:rStyle w:val="Hyperlink"/>
          </w:rPr>
          <w:t>uideline</w:t>
        </w:r>
      </w:hyperlink>
      <w:r w:rsidR="00F32608" w:rsidRPr="00F32608">
        <w:t>.</w:t>
      </w:r>
    </w:p>
    <w:p w14:paraId="6A6EE92F" w14:textId="77777777" w:rsidR="0088159E" w:rsidRDefault="00787D95" w:rsidP="000C3142">
      <w:pPr>
        <w:pStyle w:val="ListParagraph"/>
        <w:numPr>
          <w:ilvl w:val="1"/>
          <w:numId w:val="10"/>
        </w:numPr>
        <w:ind w:left="851" w:hanging="716"/>
      </w:pPr>
      <w:r w:rsidRPr="00F32608">
        <w:t xml:space="preserve">A retention lease may be renewed for further </w:t>
      </w:r>
      <w:r>
        <w:t>five</w:t>
      </w:r>
      <w:r w:rsidRPr="00F32608">
        <w:t xml:space="preserve">-year periods if the Joint Authority is satisfied as to the matters in the </w:t>
      </w:r>
      <w:r w:rsidRPr="008200AA">
        <w:rPr>
          <w:i/>
          <w:iCs/>
        </w:rPr>
        <w:t>Offshore Petroleum and Greenhouse Storage Act 2006</w:t>
      </w:r>
      <w:r>
        <w:t xml:space="preserve"> (O</w:t>
      </w:r>
      <w:r w:rsidRPr="00F32608">
        <w:t>PGGS Act</w:t>
      </w:r>
      <w:r>
        <w:t>).</w:t>
      </w:r>
    </w:p>
    <w:p w14:paraId="5906490E" w14:textId="7502E8D9" w:rsidR="00DF0506" w:rsidRDefault="00F32608" w:rsidP="000C3142">
      <w:pPr>
        <w:pStyle w:val="ListParagraph"/>
        <w:numPr>
          <w:ilvl w:val="1"/>
          <w:numId w:val="10"/>
        </w:numPr>
        <w:ind w:left="851" w:hanging="716"/>
      </w:pPr>
      <w:r w:rsidRPr="00F32608">
        <w:t xml:space="preserve">All retention leases are subject to a </w:t>
      </w:r>
      <w:r w:rsidR="00457B08">
        <w:t>statutory</w:t>
      </w:r>
      <w:r w:rsidR="003460E1">
        <w:t xml:space="preserve"> </w:t>
      </w:r>
      <w:r w:rsidRPr="00F32608">
        <w:t>condition that, if requested</w:t>
      </w:r>
      <w:r w:rsidR="0007550B">
        <w:t xml:space="preserve"> by the </w:t>
      </w:r>
      <w:r w:rsidR="0044662E">
        <w:t>Titles Administrator</w:t>
      </w:r>
      <w:r w:rsidR="0007550B">
        <w:t>, the lessee must undertake a</w:t>
      </w:r>
      <w:r w:rsidRPr="00F32608">
        <w:t xml:space="preserve"> re-evaluation of commercial viability during the lease term</w:t>
      </w:r>
      <w:r w:rsidR="0007550B">
        <w:t>.</w:t>
      </w:r>
    </w:p>
    <w:p w14:paraId="072FB332" w14:textId="5FC27945" w:rsidR="0088159E" w:rsidRDefault="00CF5ECE" w:rsidP="00A352DC">
      <w:pPr>
        <w:pStyle w:val="ListParagraph"/>
        <w:numPr>
          <w:ilvl w:val="2"/>
          <w:numId w:val="48"/>
        </w:numPr>
        <w:ind w:hanging="373"/>
      </w:pPr>
      <w:r>
        <w:t>R</w:t>
      </w:r>
      <w:r w:rsidR="0039188E">
        <w:t>e</w:t>
      </w:r>
      <w:r w:rsidR="003533BE">
        <w:t xml:space="preserve">tention </w:t>
      </w:r>
      <w:r w:rsidR="0039188E">
        <w:t>l</w:t>
      </w:r>
      <w:r w:rsidR="003533BE">
        <w:t xml:space="preserve">eases that have been renewed twice or more will </w:t>
      </w:r>
      <w:r>
        <w:t xml:space="preserve">usually </w:t>
      </w:r>
      <w:r w:rsidR="00EA7661">
        <w:t xml:space="preserve">be </w:t>
      </w:r>
      <w:r w:rsidR="006325F3">
        <w:t xml:space="preserve">subject to </w:t>
      </w:r>
      <w:r w:rsidR="00970269">
        <w:t xml:space="preserve">a </w:t>
      </w:r>
      <w:r w:rsidR="00F1667B">
        <w:t>c</w:t>
      </w:r>
      <w:r w:rsidR="00DF0506">
        <w:t>ommerciality</w:t>
      </w:r>
      <w:r w:rsidR="007B3AC3">
        <w:t xml:space="preserve"> review</w:t>
      </w:r>
      <w:r w:rsidR="0039188E">
        <w:t xml:space="preserve"> </w:t>
      </w:r>
      <w:r w:rsidR="009420F5">
        <w:t xml:space="preserve">in </w:t>
      </w:r>
      <w:r>
        <w:t xml:space="preserve">the </w:t>
      </w:r>
      <w:r w:rsidR="009420F5">
        <w:t xml:space="preserve">third </w:t>
      </w:r>
      <w:r>
        <w:t xml:space="preserve">and each </w:t>
      </w:r>
      <w:r w:rsidR="009420F5">
        <w:t>subsequent ter</w:t>
      </w:r>
      <w:r>
        <w:t>m (if granted)</w:t>
      </w:r>
      <w:r w:rsidR="009420F5">
        <w:t xml:space="preserve"> </w:t>
      </w:r>
      <w:r w:rsidR="0039188E">
        <w:t>to ensure resources are being developed in a timely</w:t>
      </w:r>
      <w:r w:rsidR="00532721">
        <w:t xml:space="preserve"> and efficient manner</w:t>
      </w:r>
      <w:r w:rsidR="00641FD9">
        <w:t>.</w:t>
      </w:r>
    </w:p>
    <w:p w14:paraId="4C54D65B" w14:textId="42E3876C" w:rsidR="00F32608" w:rsidRDefault="0007550B" w:rsidP="00A352DC">
      <w:pPr>
        <w:pStyle w:val="ListParagraph"/>
        <w:numPr>
          <w:ilvl w:val="2"/>
          <w:numId w:val="48"/>
        </w:numPr>
        <w:ind w:hanging="373"/>
      </w:pPr>
      <w:r>
        <w:t>Following a re-evaluation, the Joint Authority may revoke the lease</w:t>
      </w:r>
      <w:r w:rsidR="00BC0678">
        <w:t>, where the recovery of petroleum</w:t>
      </w:r>
      <w:r w:rsidR="00CC07D2">
        <w:t xml:space="preserve"> from the lease area </w:t>
      </w:r>
      <w:proofErr w:type="gramStart"/>
      <w:r w:rsidR="00CC07D2">
        <w:t>is considered to be</w:t>
      </w:r>
      <w:proofErr w:type="gramEnd"/>
      <w:r w:rsidR="00CC07D2">
        <w:t xml:space="preserve"> commercial</w:t>
      </w:r>
      <w:r w:rsidR="2DC646AC">
        <w:t>ly</w:t>
      </w:r>
      <w:r w:rsidR="00CC07D2">
        <w:t xml:space="preserve"> viable</w:t>
      </w:r>
      <w:r>
        <w:t>.</w:t>
      </w:r>
    </w:p>
    <w:p w14:paraId="6DB0332D" w14:textId="38576334" w:rsidR="00F32608" w:rsidRDefault="00F32608" w:rsidP="000C3142">
      <w:pPr>
        <w:pStyle w:val="ListParagraph"/>
        <w:numPr>
          <w:ilvl w:val="1"/>
          <w:numId w:val="10"/>
        </w:numPr>
        <w:ind w:left="851" w:hanging="716"/>
      </w:pPr>
      <w:r w:rsidRPr="00F32608">
        <w:t>NOPTA monitors compliance with work programs and additional conditions through mechanisms such as the annual titles assessment report. NOPTA will advise the Joint Authority on any non-compliance issues as appropriate.</w:t>
      </w:r>
    </w:p>
    <w:p w14:paraId="5FAE4675" w14:textId="77777777" w:rsidR="00BA69D0" w:rsidRPr="00130507" w:rsidRDefault="00BA69D0" w:rsidP="0028017D">
      <w:pPr>
        <w:pStyle w:val="Heading3"/>
      </w:pPr>
      <w:bookmarkStart w:id="67" w:name="_Toc82718900"/>
      <w:bookmarkStart w:id="68" w:name="_Toc83042901"/>
      <w:bookmarkStart w:id="69" w:name="_Toc82718901"/>
      <w:bookmarkStart w:id="70" w:name="_Toc83042902"/>
      <w:bookmarkStart w:id="71" w:name="_Toc82718902"/>
      <w:bookmarkStart w:id="72" w:name="_Toc83042903"/>
      <w:bookmarkStart w:id="73" w:name="_Toc83042943"/>
      <w:bookmarkStart w:id="74" w:name="_Toc83395056"/>
      <w:bookmarkStart w:id="75" w:name="_Toc90044340"/>
      <w:bookmarkStart w:id="76" w:name="_Toc215524947"/>
      <w:bookmarkStart w:id="77" w:name="_Toc83042942"/>
      <w:bookmarkStart w:id="78" w:name="_Toc83395055"/>
      <w:bookmarkStart w:id="79" w:name="_Toc90044339"/>
      <w:bookmarkStart w:id="80" w:name="_Toc81487622"/>
      <w:bookmarkStart w:id="81" w:name="_Toc83042904"/>
      <w:bookmarkStart w:id="82" w:name="_Toc83395017"/>
      <w:bookmarkStart w:id="83" w:name="_Toc90044301"/>
      <w:bookmarkEnd w:id="67"/>
      <w:bookmarkEnd w:id="68"/>
      <w:bookmarkEnd w:id="69"/>
      <w:bookmarkEnd w:id="70"/>
      <w:bookmarkEnd w:id="71"/>
      <w:bookmarkEnd w:id="72"/>
      <w:r w:rsidRPr="00130507">
        <w:t>Decision-maker</w:t>
      </w:r>
      <w:bookmarkEnd w:id="73"/>
      <w:bookmarkEnd w:id="74"/>
      <w:bookmarkEnd w:id="75"/>
      <w:bookmarkEnd w:id="76"/>
    </w:p>
    <w:p w14:paraId="53AA13A1" w14:textId="6672E973" w:rsidR="00046041" w:rsidRPr="00046041" w:rsidRDefault="00046041" w:rsidP="000C3142">
      <w:pPr>
        <w:pStyle w:val="ListParagraph"/>
        <w:numPr>
          <w:ilvl w:val="1"/>
          <w:numId w:val="10"/>
        </w:numPr>
        <w:ind w:left="851" w:hanging="716"/>
      </w:pPr>
      <w:r w:rsidRPr="00046041">
        <w:t xml:space="preserve">The relevant offshore petroleum Joint Authority is the decision maker on applications for the grant, renewal and surrender of petroleum </w:t>
      </w:r>
      <w:r>
        <w:t>retention leases</w:t>
      </w:r>
      <w:r w:rsidRPr="00046041">
        <w:t xml:space="preserve">, as well as variation and suspension of, and exemption from </w:t>
      </w:r>
      <w:r w:rsidR="00226D07">
        <w:t>title</w:t>
      </w:r>
      <w:r w:rsidRPr="00046041">
        <w:t xml:space="preserve"> conditions and the extension of </w:t>
      </w:r>
      <w:r w:rsidR="00226D07">
        <w:t>lease</w:t>
      </w:r>
      <w:r w:rsidRPr="00046041">
        <w:t xml:space="preserve"> terms.</w:t>
      </w:r>
    </w:p>
    <w:p w14:paraId="3EBFEC31" w14:textId="08603195" w:rsidR="00046041" w:rsidRPr="002A2C8E" w:rsidRDefault="00046041" w:rsidP="00396CC4">
      <w:pPr>
        <w:pStyle w:val="ListParagraph"/>
        <w:numPr>
          <w:ilvl w:val="2"/>
          <w:numId w:val="11"/>
        </w:numPr>
        <w:ind w:hanging="373"/>
      </w:pPr>
      <w:r>
        <w:t xml:space="preserve">The Joint Authority </w:t>
      </w:r>
      <w:r w:rsidR="00C532A3">
        <w:t>for an offshore area of a State (other than Tasmania) comprises the responsible Commonwealth Minister and the responsible State Minister. The responsible Commonwealth Minister is the Joint Authority for the offshore area of Tasmania</w:t>
      </w:r>
      <w:r w:rsidR="0001569A">
        <w:t xml:space="preserve"> and the Territory of Ashmore and Cartier Islands</w:t>
      </w:r>
      <w:r w:rsidR="00C532A3">
        <w:t xml:space="preserve">. The responsible Commonwealth Minister and the responsible Northern-Territory Minister comprise the Commonwealth-Northern Territory Offshore Petroleum Joint Authority. </w:t>
      </w:r>
    </w:p>
    <w:p w14:paraId="7E58CE42" w14:textId="545C85CC" w:rsidR="00542C3A" w:rsidRPr="000C3142" w:rsidRDefault="00046041" w:rsidP="000C3142">
      <w:pPr>
        <w:pStyle w:val="ListParagraph"/>
        <w:numPr>
          <w:ilvl w:val="1"/>
          <w:numId w:val="10"/>
        </w:numPr>
        <w:ind w:left="851" w:hanging="716"/>
      </w:pPr>
      <w:r w:rsidRPr="000C3142">
        <w:t>Applications are assessed by NOPTA who then provide advice to the relevant Joint Authority.</w:t>
      </w:r>
    </w:p>
    <w:p w14:paraId="706CAEB4" w14:textId="77777777" w:rsidR="00BA69D0" w:rsidRPr="003E44E6" w:rsidRDefault="00BA69D0" w:rsidP="0028017D">
      <w:pPr>
        <w:pStyle w:val="Heading3"/>
      </w:pPr>
      <w:bookmarkStart w:id="84" w:name="_Toc215524948"/>
      <w:r>
        <w:lastRenderedPageBreak/>
        <w:t>Decision-making</w:t>
      </w:r>
      <w:bookmarkEnd w:id="77"/>
      <w:bookmarkEnd w:id="78"/>
      <w:bookmarkEnd w:id="79"/>
      <w:bookmarkEnd w:id="84"/>
    </w:p>
    <w:p w14:paraId="14772495" w14:textId="04FB1674" w:rsidR="00BA69D0" w:rsidRPr="001125B5" w:rsidRDefault="00226D07" w:rsidP="000C3142">
      <w:pPr>
        <w:pStyle w:val="ListParagraph"/>
        <w:numPr>
          <w:ilvl w:val="1"/>
          <w:numId w:val="10"/>
        </w:numPr>
        <w:ind w:left="851" w:hanging="716"/>
      </w:pPr>
      <w:r w:rsidRPr="001125B5">
        <w:t>The OPGGS Act</w:t>
      </w:r>
      <w:r w:rsidR="00BA69D0" w:rsidRPr="001125B5">
        <w:t xml:space="preserve"> provides that the </w:t>
      </w:r>
      <w:r w:rsidR="006824D1" w:rsidRPr="001125B5">
        <w:t>Joint Authority</w:t>
      </w:r>
      <w:r w:rsidR="00BA69D0" w:rsidRPr="001125B5">
        <w:t xml:space="preserve"> must have regard to certain matters when making decisions </w:t>
      </w:r>
      <w:r w:rsidR="006824D1" w:rsidRPr="001125B5">
        <w:t>about the grant of a petroleum retention lease</w:t>
      </w:r>
      <w:r w:rsidR="00BA69D0" w:rsidRPr="001125B5">
        <w:t>. These include:</w:t>
      </w:r>
    </w:p>
    <w:p w14:paraId="39C31EE7" w14:textId="1D2C050C" w:rsidR="00BA69D0" w:rsidRPr="001125B5" w:rsidRDefault="00FD7D5B" w:rsidP="00A352DC">
      <w:pPr>
        <w:pStyle w:val="ListParagraph"/>
        <w:numPr>
          <w:ilvl w:val="2"/>
          <w:numId w:val="50"/>
        </w:numPr>
        <w:ind w:hanging="373"/>
      </w:pPr>
      <w:r w:rsidRPr="001125B5">
        <w:t xml:space="preserve"> the </w:t>
      </w:r>
      <w:r w:rsidR="006824D1" w:rsidRPr="001125B5">
        <w:t>area contains petroleum; and</w:t>
      </w:r>
    </w:p>
    <w:p w14:paraId="0D85554B" w14:textId="3CCA5B67" w:rsidR="00BA69D0" w:rsidRPr="001125B5" w:rsidRDefault="00BA69D0" w:rsidP="00A352DC">
      <w:pPr>
        <w:pStyle w:val="ListParagraph"/>
        <w:numPr>
          <w:ilvl w:val="2"/>
          <w:numId w:val="50"/>
        </w:numPr>
        <w:ind w:hanging="373"/>
      </w:pPr>
      <w:r w:rsidRPr="001125B5">
        <w:t xml:space="preserve">the </w:t>
      </w:r>
      <w:r w:rsidR="006824D1" w:rsidRPr="001125B5">
        <w:t>recovery of petroleum from that area is not</w:t>
      </w:r>
      <w:r w:rsidR="00184B07" w:rsidRPr="001125B5">
        <w:t>, at the time of the application,</w:t>
      </w:r>
      <w:r w:rsidR="006824D1" w:rsidRPr="001125B5">
        <w:t xml:space="preserve"> commercially viable; and</w:t>
      </w:r>
    </w:p>
    <w:p w14:paraId="70B16995" w14:textId="080815B1" w:rsidR="006824D1" w:rsidRPr="001125B5" w:rsidRDefault="006824D1" w:rsidP="00A352DC">
      <w:pPr>
        <w:pStyle w:val="ListParagraph"/>
        <w:numPr>
          <w:ilvl w:val="2"/>
          <w:numId w:val="50"/>
        </w:numPr>
        <w:ind w:hanging="373"/>
      </w:pPr>
      <w:r w:rsidRPr="001125B5">
        <w:t>the recovery of petroleum is likely to become commercially viable within 15 years</w:t>
      </w:r>
      <w:r w:rsidR="00184B07" w:rsidRPr="001125B5">
        <w:t xml:space="preserve"> after that time</w:t>
      </w:r>
      <w:r w:rsidRPr="001125B5">
        <w:t>.</w:t>
      </w:r>
    </w:p>
    <w:p w14:paraId="7A6CA68C" w14:textId="0CB7E6D6" w:rsidR="00BA69D0" w:rsidRPr="001125B5" w:rsidRDefault="00BA69D0" w:rsidP="000C3142">
      <w:pPr>
        <w:pStyle w:val="ListParagraph"/>
        <w:numPr>
          <w:ilvl w:val="1"/>
          <w:numId w:val="10"/>
        </w:numPr>
        <w:ind w:left="851" w:hanging="716"/>
      </w:pPr>
      <w:r w:rsidRPr="001125B5">
        <w:t xml:space="preserve">The </w:t>
      </w:r>
      <w:r w:rsidR="006824D1" w:rsidRPr="001125B5">
        <w:t xml:space="preserve">Joint Authority must also be satisfied that the technical advice and financial resources available to the applicant are sufficient to discharge all obligations under the </w:t>
      </w:r>
      <w:r w:rsidR="00363E47" w:rsidRPr="001125B5">
        <w:t xml:space="preserve">OPGGS </w:t>
      </w:r>
      <w:r w:rsidR="006824D1" w:rsidRPr="001125B5">
        <w:t xml:space="preserve">Act and </w:t>
      </w:r>
      <w:r w:rsidR="00505D56">
        <w:t>r</w:t>
      </w:r>
      <w:r w:rsidR="006824D1" w:rsidRPr="001125B5">
        <w:t xml:space="preserve">egulations.  </w:t>
      </w:r>
    </w:p>
    <w:p w14:paraId="6C237B2D" w14:textId="0170B2C7" w:rsidR="0006181A" w:rsidRPr="001125B5" w:rsidRDefault="00A2510E" w:rsidP="000C3142">
      <w:pPr>
        <w:pStyle w:val="ListParagraph"/>
        <w:numPr>
          <w:ilvl w:val="1"/>
          <w:numId w:val="10"/>
        </w:numPr>
        <w:ind w:left="851" w:hanging="716"/>
      </w:pPr>
      <w:r w:rsidRPr="001125B5">
        <w:t xml:space="preserve">Other decisions made in relation to retention leases have their own requirements and decision-makers will make those decisions according to the requirements in the OPGGS Act.  </w:t>
      </w:r>
    </w:p>
    <w:p w14:paraId="4CD11017" w14:textId="4E1D171E" w:rsidR="00381748" w:rsidRPr="001125B5" w:rsidRDefault="00381748" w:rsidP="000C3142">
      <w:pPr>
        <w:pStyle w:val="ListParagraph"/>
        <w:numPr>
          <w:ilvl w:val="1"/>
          <w:numId w:val="10"/>
        </w:numPr>
        <w:ind w:left="851" w:hanging="716"/>
      </w:pPr>
      <w:r w:rsidRPr="001125B5">
        <w:t xml:space="preserve">If the Joint Authority proposes to refuse </w:t>
      </w:r>
      <w:r w:rsidR="0097495E" w:rsidRPr="001125B5">
        <w:t>a decision in relation to</w:t>
      </w:r>
      <w:r w:rsidRPr="001125B5">
        <w:t xml:space="preserve"> a petroleum retention lease the Joint Authority will provide written notice of its intention to make that decision and invite written submissions about the proposed decision. The Joint Authority will consider any submissions received in response to such a notice before making a final decision.  </w:t>
      </w:r>
    </w:p>
    <w:p w14:paraId="21EB0C3A" w14:textId="77777777" w:rsidR="00D22853" w:rsidRPr="00D52D56" w:rsidRDefault="00D22853" w:rsidP="00D22853">
      <w:pPr>
        <w:pStyle w:val="Heading3"/>
      </w:pPr>
      <w:bookmarkStart w:id="85" w:name="_Toc83042946"/>
      <w:bookmarkStart w:id="86" w:name="_Toc83395059"/>
      <w:bookmarkStart w:id="87" w:name="_Toc90044343"/>
      <w:bookmarkStart w:id="88" w:name="_Toc215524949"/>
      <w:r w:rsidRPr="00D52D56">
        <w:t>Information gathering powers</w:t>
      </w:r>
      <w:bookmarkEnd w:id="85"/>
      <w:bookmarkEnd w:id="86"/>
      <w:bookmarkEnd w:id="87"/>
      <w:bookmarkEnd w:id="88"/>
    </w:p>
    <w:p w14:paraId="5140BFF2" w14:textId="145A9DBE" w:rsidR="00D22853" w:rsidRPr="00D52D56" w:rsidRDefault="00D22853" w:rsidP="000C3142">
      <w:pPr>
        <w:pStyle w:val="ListParagraph"/>
        <w:numPr>
          <w:ilvl w:val="1"/>
          <w:numId w:val="10"/>
        </w:numPr>
        <w:ind w:left="851" w:hanging="716"/>
      </w:pPr>
      <w:r w:rsidRPr="00D52D56">
        <w:t>Section 258 of the OPGGS Act provides</w:t>
      </w:r>
      <w:r w:rsidR="00274366" w:rsidRPr="00D52D56">
        <w:t xml:space="preserve"> </w:t>
      </w:r>
      <w:r w:rsidR="001C052F">
        <w:t>t</w:t>
      </w:r>
      <w:r w:rsidRPr="00D52D56">
        <w:t>he Titles Administrator powers to require applicants to provide further information about an application. Where further information is required, applicants will be notified in writing. The notice will specify the time within which the information is to be provided.</w:t>
      </w:r>
    </w:p>
    <w:p w14:paraId="3C108D91" w14:textId="286A24EF" w:rsidR="00D22853" w:rsidRPr="00D52D56" w:rsidRDefault="00D22853" w:rsidP="000C3142">
      <w:pPr>
        <w:pStyle w:val="ListParagraph"/>
        <w:numPr>
          <w:ilvl w:val="1"/>
          <w:numId w:val="10"/>
        </w:numPr>
        <w:ind w:left="851" w:hanging="716"/>
      </w:pPr>
      <w:r w:rsidRPr="00D52D56">
        <w:t>Failure to provide the required information may result in the Joint Authority deciding to refuse to consider the application or take any action (or further action) in relation to the application</w:t>
      </w:r>
      <w:r w:rsidR="00274366" w:rsidRPr="00D52D56">
        <w:t>.</w:t>
      </w:r>
    </w:p>
    <w:p w14:paraId="1DDC4555" w14:textId="146D4E5C" w:rsidR="000D0636" w:rsidRPr="00D52D56" w:rsidRDefault="00AC38D3" w:rsidP="000D0636">
      <w:pPr>
        <w:pStyle w:val="Heading3"/>
      </w:pPr>
      <w:bookmarkStart w:id="89" w:name="_Toc215524950"/>
      <w:r w:rsidRPr="00D52D56">
        <w:t>Application requirements</w:t>
      </w:r>
      <w:bookmarkEnd w:id="89"/>
    </w:p>
    <w:p w14:paraId="51667894" w14:textId="0A392523" w:rsidR="000D0636" w:rsidRPr="00D52D56" w:rsidRDefault="000D0636" w:rsidP="000C3142">
      <w:pPr>
        <w:pStyle w:val="ListParagraph"/>
        <w:numPr>
          <w:ilvl w:val="1"/>
          <w:numId w:val="10"/>
        </w:numPr>
        <w:ind w:left="851" w:hanging="716"/>
      </w:pPr>
      <w:r w:rsidRPr="00D52D56">
        <w:t>When preparing an application</w:t>
      </w:r>
      <w:r w:rsidR="00381D3B">
        <w:t>,</w:t>
      </w:r>
      <w:r w:rsidRPr="00D52D56">
        <w:t xml:space="preserve"> the applicant should review the associated documents relevant to that application, including:</w:t>
      </w:r>
    </w:p>
    <w:p w14:paraId="749A4E9E" w14:textId="1A0A1439" w:rsidR="000C3142" w:rsidRDefault="000D0636" w:rsidP="00A352DC">
      <w:pPr>
        <w:pStyle w:val="ListParagraph"/>
        <w:numPr>
          <w:ilvl w:val="2"/>
          <w:numId w:val="47"/>
        </w:numPr>
        <w:ind w:hanging="373"/>
      </w:pPr>
      <w:r w:rsidRPr="00D52D56">
        <w:t>provisions within the OPGGS Act</w:t>
      </w:r>
      <w:r w:rsidR="00D94E03">
        <w:t>.</w:t>
      </w:r>
    </w:p>
    <w:p w14:paraId="678BED07" w14:textId="0FB69332" w:rsidR="000C3142" w:rsidRDefault="000D0636" w:rsidP="00A352DC">
      <w:pPr>
        <w:pStyle w:val="ListParagraph"/>
        <w:numPr>
          <w:ilvl w:val="2"/>
          <w:numId w:val="47"/>
        </w:numPr>
        <w:ind w:hanging="373"/>
      </w:pPr>
      <w:hyperlink r:id="rId17" w:tooltip="Link to regulations" w:history="1">
        <w:r w:rsidRPr="00D52D56">
          <w:t>regulations</w:t>
        </w:r>
      </w:hyperlink>
      <w:r w:rsidR="00D94E03">
        <w:t>.</w:t>
      </w:r>
    </w:p>
    <w:p w14:paraId="0A63C34B" w14:textId="329176D7" w:rsidR="000D0636" w:rsidRPr="00D52D56" w:rsidRDefault="000D0636" w:rsidP="00A352DC">
      <w:pPr>
        <w:pStyle w:val="ListParagraph"/>
        <w:numPr>
          <w:ilvl w:val="2"/>
          <w:numId w:val="47"/>
        </w:numPr>
        <w:ind w:hanging="373"/>
      </w:pPr>
      <w:r w:rsidRPr="00D52D56">
        <w:t xml:space="preserve">subject matter </w:t>
      </w:r>
      <w:hyperlink r:id="rId18" w:tooltip="Link to guidance" w:history="1">
        <w:r w:rsidRPr="00D52D56">
          <w:t>guidelines and factsheets</w:t>
        </w:r>
      </w:hyperlink>
      <w:r w:rsidRPr="00D52D56">
        <w:t>, in particular</w:t>
      </w:r>
      <w:r w:rsidR="00DD0ABF" w:rsidRPr="00D52D56">
        <w:t xml:space="preserve"> the:</w:t>
      </w:r>
    </w:p>
    <w:p w14:paraId="083C5971" w14:textId="4E7DDC2C" w:rsidR="00D52D56" w:rsidRPr="00D52D56" w:rsidRDefault="00D52D56" w:rsidP="00D71C47">
      <w:pPr>
        <w:pStyle w:val="ListParagraph"/>
        <w:numPr>
          <w:ilvl w:val="3"/>
          <w:numId w:val="12"/>
        </w:numPr>
        <w:ind w:hanging="452"/>
      </w:pPr>
      <w:hyperlink r:id="rId19" w:history="1">
        <w:r w:rsidRPr="00C46748">
          <w:rPr>
            <w:rStyle w:val="Hyperlink"/>
          </w:rPr>
          <w:t>Guideline: Applicant suitability</w:t>
        </w:r>
      </w:hyperlink>
    </w:p>
    <w:bookmarkStart w:id="90" w:name="_Hlk80120413"/>
    <w:p w14:paraId="495ACCF2" w14:textId="02630ECC" w:rsidR="00D52D56" w:rsidRPr="00D52D56" w:rsidRDefault="004E0B9F" w:rsidP="00D71C47">
      <w:pPr>
        <w:pStyle w:val="ListParagraph"/>
        <w:numPr>
          <w:ilvl w:val="3"/>
          <w:numId w:val="12"/>
        </w:numPr>
        <w:ind w:hanging="452"/>
      </w:pPr>
      <w:r>
        <w:fldChar w:fldCharType="begin"/>
      </w:r>
      <w:r>
        <w:instrText>HYPERLINK "https://www.nopta.gov.au/_documents/fact-sheets/fact-sheet-financial-resources.pdf"</w:instrText>
      </w:r>
      <w:r>
        <w:fldChar w:fldCharType="separate"/>
      </w:r>
      <w:r w:rsidR="00D52D56" w:rsidRPr="004E0B9F">
        <w:rPr>
          <w:rStyle w:val="Hyperlink"/>
        </w:rPr>
        <w:t>Factsheet: Financial resources</w:t>
      </w:r>
      <w:r>
        <w:fldChar w:fldCharType="end"/>
      </w:r>
      <w:r w:rsidR="00D52D56" w:rsidRPr="00D52D56">
        <w:t>.</w:t>
      </w:r>
      <w:bookmarkEnd w:id="90"/>
    </w:p>
    <w:p w14:paraId="1215EEAC" w14:textId="18BA516A" w:rsidR="000D0636" w:rsidRPr="00D52D56" w:rsidRDefault="00BB7F5F" w:rsidP="00A352DC">
      <w:pPr>
        <w:pStyle w:val="ListParagraph"/>
        <w:numPr>
          <w:ilvl w:val="2"/>
          <w:numId w:val="47"/>
        </w:numPr>
        <w:ind w:hanging="373"/>
      </w:pPr>
      <w:hyperlink r:id="rId20">
        <w:r w:rsidRPr="00CD0DF4">
          <w:rPr>
            <w:color w:val="15659B" w:themeColor="accent4"/>
            <w:u w:val="single"/>
          </w:rPr>
          <w:t>NOPTA Forms Guidance–Petroleum</w:t>
        </w:r>
      </w:hyperlink>
      <w:r w:rsidR="000D0636" w:rsidRPr="00D52D56">
        <w:t xml:space="preserve">. This consolidated application guidance document </w:t>
      </w:r>
      <w:proofErr w:type="gramStart"/>
      <w:r w:rsidR="000D0636" w:rsidRPr="00D52D56">
        <w:t>covers:</w:t>
      </w:r>
      <w:proofErr w:type="gramEnd"/>
      <w:r w:rsidR="000D0636" w:rsidRPr="00D52D56">
        <w:t xml:space="preserve"> submission requirements and details, forms execution (signatures), notification requirements and other government considerations such as foreign investment and prior usage rights.</w:t>
      </w:r>
    </w:p>
    <w:p w14:paraId="6E71FF3E" w14:textId="708ADB2B" w:rsidR="000D0636" w:rsidRPr="00D52D56" w:rsidRDefault="000D0636" w:rsidP="00A352DC">
      <w:pPr>
        <w:pStyle w:val="ListParagraph"/>
        <w:numPr>
          <w:ilvl w:val="2"/>
          <w:numId w:val="47"/>
        </w:numPr>
        <w:ind w:hanging="373"/>
      </w:pPr>
      <w:hyperlink r:id="rId21" w:tooltip="Link to forms" w:history="1">
        <w:r w:rsidRPr="00D52D56">
          <w:t>application forms</w:t>
        </w:r>
      </w:hyperlink>
      <w:r w:rsidR="00D52D56">
        <w:t>.</w:t>
      </w:r>
    </w:p>
    <w:p w14:paraId="2F912B56" w14:textId="1A4A09E2" w:rsidR="00936342" w:rsidRPr="00936342" w:rsidRDefault="00936342" w:rsidP="00936342">
      <w:pPr>
        <w:pStyle w:val="Calloutbox"/>
      </w:pPr>
      <w:r w:rsidRPr="002E567A">
        <w:t>The application fee for this application can be found</w:t>
      </w:r>
      <w:r w:rsidR="00DD6AA0">
        <w:t xml:space="preserve"> on </w:t>
      </w:r>
      <w:hyperlink r:id="rId22" w:history="1">
        <w:r w:rsidR="00DD6AA0" w:rsidRPr="00DD6AA0">
          <w:rPr>
            <w:rStyle w:val="Hyperlink"/>
          </w:rPr>
          <w:t>NOPTA’s website</w:t>
        </w:r>
      </w:hyperlink>
      <w:r w:rsidR="00DD6AA0">
        <w:t>.</w:t>
      </w:r>
      <w:r w:rsidR="00B674CE">
        <w:t xml:space="preserve"> </w:t>
      </w:r>
      <w:r w:rsidRPr="00A5382A">
        <w:t>Please refer to the application form for details and submission information</w:t>
      </w:r>
      <w:r w:rsidR="00A5382A" w:rsidRPr="00A5382A">
        <w:t xml:space="preserve"> on </w:t>
      </w:r>
      <w:hyperlink r:id="rId23" w:history="1">
        <w:r w:rsidR="00A5382A" w:rsidRPr="00A5382A">
          <w:rPr>
            <w:rStyle w:val="Hyperlink"/>
          </w:rPr>
          <w:t>NOPTA’s website</w:t>
        </w:r>
      </w:hyperlink>
      <w:r w:rsidR="00A5382A" w:rsidRPr="00A5382A">
        <w:t>.</w:t>
      </w:r>
    </w:p>
    <w:p w14:paraId="2659E7A9" w14:textId="77777777" w:rsidR="000D0636" w:rsidRPr="00D52D56" w:rsidRDefault="000D0636" w:rsidP="000D0636">
      <w:pPr>
        <w:pStyle w:val="Heading3"/>
      </w:pPr>
      <w:bookmarkStart w:id="91" w:name="_Toc215524951"/>
      <w:r w:rsidRPr="00D52D56">
        <w:lastRenderedPageBreak/>
        <w:t>Submission requirements</w:t>
      </w:r>
      <w:bookmarkEnd w:id="91"/>
    </w:p>
    <w:p w14:paraId="7F39BBFD" w14:textId="48BC83F3" w:rsidR="00D52D56" w:rsidRPr="00D52D56" w:rsidRDefault="00D52D56" w:rsidP="000C3142">
      <w:pPr>
        <w:pStyle w:val="ListParagraph"/>
        <w:numPr>
          <w:ilvl w:val="1"/>
          <w:numId w:val="10"/>
        </w:numPr>
        <w:ind w:left="851" w:hanging="716"/>
      </w:pPr>
      <w:r w:rsidRPr="00D52D56">
        <w:t>To be validly made all applications must be:</w:t>
      </w:r>
    </w:p>
    <w:p w14:paraId="64EDE613" w14:textId="1C3D4D4A" w:rsidR="00D52D56" w:rsidRDefault="00D52D56" w:rsidP="00A352DC">
      <w:pPr>
        <w:pStyle w:val="ListParagraph"/>
        <w:numPr>
          <w:ilvl w:val="2"/>
          <w:numId w:val="49"/>
        </w:numPr>
        <w:ind w:hanging="373"/>
      </w:pPr>
      <w:r w:rsidRPr="00D52D56">
        <w:t>in the approved form</w:t>
      </w:r>
      <w:r w:rsidR="001E450A">
        <w:t>.</w:t>
      </w:r>
    </w:p>
    <w:p w14:paraId="12B0727C" w14:textId="3201FFFF" w:rsidR="00745049" w:rsidRPr="00D52D56" w:rsidRDefault="00745049" w:rsidP="00A352DC">
      <w:pPr>
        <w:pStyle w:val="ListParagraph"/>
        <w:numPr>
          <w:ilvl w:val="3"/>
          <w:numId w:val="15"/>
        </w:numPr>
        <w:ind w:hanging="452"/>
      </w:pPr>
      <w:r>
        <w:t xml:space="preserve">A checklist outlining additional information to be included with an application is provided in </w:t>
      </w:r>
      <w:r w:rsidRPr="00B30F0E">
        <w:t xml:space="preserve">the </w:t>
      </w:r>
      <w:hyperlink r:id="rId24">
        <w:r w:rsidR="006D48C6" w:rsidRPr="00CD0DF4">
          <w:rPr>
            <w:color w:val="15659B" w:themeColor="accent4"/>
            <w:u w:val="single"/>
          </w:rPr>
          <w:t>NOPTA Forms Guidance–Petroleum</w:t>
        </w:r>
      </w:hyperlink>
      <w:r w:rsidRPr="00B30F0E">
        <w:t>.</w:t>
      </w:r>
    </w:p>
    <w:p w14:paraId="13F64C41" w14:textId="76CADF14" w:rsidR="00A175DD" w:rsidRPr="00D52D56" w:rsidRDefault="00D52D56" w:rsidP="00A352DC">
      <w:pPr>
        <w:pStyle w:val="ListParagraph"/>
        <w:numPr>
          <w:ilvl w:val="2"/>
          <w:numId w:val="49"/>
        </w:numPr>
        <w:ind w:hanging="373"/>
      </w:pPr>
      <w:r w:rsidRPr="00D52D56">
        <w:t>accompanied by any information or documents required by the form</w:t>
      </w:r>
      <w:r w:rsidR="001E450A">
        <w:t>.</w:t>
      </w:r>
    </w:p>
    <w:p w14:paraId="15481C3A" w14:textId="5FDD023E" w:rsidR="00A175DD" w:rsidRPr="00D52D56" w:rsidRDefault="00D52D56" w:rsidP="00A352DC">
      <w:pPr>
        <w:pStyle w:val="ListParagraph"/>
        <w:numPr>
          <w:ilvl w:val="2"/>
          <w:numId w:val="49"/>
        </w:numPr>
        <w:ind w:hanging="373"/>
      </w:pPr>
      <w:r w:rsidRPr="00D52D56">
        <w:t>submitted in the approved manner</w:t>
      </w:r>
      <w:r w:rsidR="001E450A">
        <w:t>.</w:t>
      </w:r>
    </w:p>
    <w:p w14:paraId="29EA543F" w14:textId="416607D4" w:rsidR="00D52D56" w:rsidRPr="00D52D56" w:rsidRDefault="00D52D56" w:rsidP="00A352DC">
      <w:pPr>
        <w:pStyle w:val="ListParagraph"/>
        <w:numPr>
          <w:ilvl w:val="2"/>
          <w:numId w:val="49"/>
        </w:numPr>
        <w:ind w:hanging="373"/>
      </w:pPr>
      <w:r w:rsidRPr="00D52D56">
        <w:t>accompanied by the application fee.</w:t>
      </w:r>
    </w:p>
    <w:p w14:paraId="54D077AA" w14:textId="6CD40586" w:rsidR="00D52D56" w:rsidRPr="00D52D56" w:rsidRDefault="00D52D56" w:rsidP="00D52D56">
      <w:pPr>
        <w:pBdr>
          <w:top w:val="single" w:sz="4" w:space="6" w:color="E7E6E6"/>
          <w:left w:val="single" w:sz="4" w:space="4" w:color="E7E6E6"/>
          <w:bottom w:val="single" w:sz="4" w:space="6" w:color="E7E6E6"/>
          <w:right w:val="single" w:sz="4" w:space="4" w:color="E7E6E6"/>
        </w:pBdr>
        <w:shd w:val="clear" w:color="auto" w:fill="E7E6E6"/>
        <w:spacing w:before="0" w:after="0"/>
        <w:textAlignment w:val="baseline"/>
        <w:rPr>
          <w:rFonts w:ascii="Aptos" w:eastAsia="Times New Roman" w:hAnsi="Aptos" w:cs="Times New Roman"/>
          <w:sz w:val="22"/>
          <w:lang w:eastAsia="en-AU"/>
        </w:rPr>
      </w:pPr>
      <w:r w:rsidRPr="00D52D56">
        <w:rPr>
          <w:rFonts w:ascii="Aptos" w:eastAsia="Times New Roman" w:hAnsi="Aptos" w:cs="Times New Roman"/>
          <w:szCs w:val="20"/>
          <w:shd w:val="clear" w:color="auto" w:fill="E7E6E6"/>
          <w:lang w:eastAsia="en-AU"/>
        </w:rPr>
        <w:t xml:space="preserve">For further information on submission requirements refer to  </w:t>
      </w:r>
      <w:hyperlink r:id="rId25" w:tgtFrame="_blank" w:history="1">
        <w:r w:rsidRPr="00D52D56">
          <w:rPr>
            <w:rFonts w:ascii="Aptos" w:eastAsia="Times New Roman" w:hAnsi="Aptos" w:cs="Times New Roman"/>
            <w:color w:val="15659B"/>
            <w:szCs w:val="20"/>
            <w:u w:val="single"/>
            <w:shd w:val="clear" w:color="auto" w:fill="E7E6E6"/>
            <w:lang w:eastAsia="en-AU"/>
          </w:rPr>
          <w:t>NOPTA Forms Guidance–Petroleum</w:t>
        </w:r>
      </w:hyperlink>
      <w:r w:rsidRPr="00D52D56">
        <w:rPr>
          <w:rFonts w:ascii="Aptos" w:eastAsia="Times New Roman" w:hAnsi="Aptos" w:cs="Times New Roman"/>
          <w:szCs w:val="20"/>
          <w:shd w:val="clear" w:color="auto" w:fill="E7E6E6"/>
          <w:lang w:eastAsia="en-AU"/>
        </w:rPr>
        <w:t>.</w:t>
      </w:r>
    </w:p>
    <w:p w14:paraId="0DCF9559" w14:textId="2C838B30" w:rsidR="00DD60FD" w:rsidRPr="000A068E" w:rsidRDefault="00DD60FD" w:rsidP="00A352DC">
      <w:pPr>
        <w:pStyle w:val="Heading2"/>
        <w:numPr>
          <w:ilvl w:val="0"/>
          <w:numId w:val="49"/>
        </w:numPr>
      </w:pPr>
      <w:bookmarkStart w:id="92" w:name="_Ref183680234"/>
      <w:bookmarkStart w:id="93" w:name="_Toc215524952"/>
      <w:r w:rsidRPr="000A068E">
        <w:lastRenderedPageBreak/>
        <w:t>Third party submissions and advice</w:t>
      </w:r>
      <w:bookmarkEnd w:id="92"/>
      <w:bookmarkEnd w:id="93"/>
    </w:p>
    <w:p w14:paraId="68C18FB4" w14:textId="4DAE54C6" w:rsidR="00DD60FD" w:rsidRPr="00964DF5" w:rsidRDefault="007B4D98" w:rsidP="00A352DC">
      <w:pPr>
        <w:pStyle w:val="ListParagraph"/>
        <w:numPr>
          <w:ilvl w:val="1"/>
          <w:numId w:val="49"/>
        </w:numPr>
        <w:ind w:left="851" w:hanging="716"/>
      </w:pPr>
      <w:r>
        <w:t>T</w:t>
      </w:r>
      <w:r w:rsidR="00DD60FD" w:rsidRPr="00964DF5">
        <w:t xml:space="preserve">he Joint Authority or </w:t>
      </w:r>
      <w:r w:rsidRPr="00964DF5">
        <w:t>NOPTA</w:t>
      </w:r>
      <w:r w:rsidR="00DD60FD" w:rsidRPr="00964DF5">
        <w:t xml:space="preserve"> may seek and/or receive third party submissions or </w:t>
      </w:r>
      <w:r w:rsidR="00512DDB" w:rsidRPr="00964DF5">
        <w:t>engage</w:t>
      </w:r>
      <w:r w:rsidR="00A94BBF" w:rsidRPr="00964DF5">
        <w:t xml:space="preserve"> independent</w:t>
      </w:r>
      <w:r w:rsidR="00512DDB" w:rsidRPr="00964DF5">
        <w:t xml:space="preserve"> </w:t>
      </w:r>
      <w:r w:rsidR="00DD60FD" w:rsidRPr="00964DF5">
        <w:t>third part</w:t>
      </w:r>
      <w:r w:rsidR="00A94BBF" w:rsidRPr="00964DF5">
        <w:t>ies</w:t>
      </w:r>
      <w:r w:rsidR="00DD60FD" w:rsidRPr="00964DF5">
        <w:t xml:space="preserve"> </w:t>
      </w:r>
      <w:r w:rsidR="00A94BBF" w:rsidRPr="00964DF5">
        <w:t xml:space="preserve">(such as consultants) to provide </w:t>
      </w:r>
      <w:r w:rsidR="00DD60FD" w:rsidRPr="00964DF5">
        <w:t>advice in relation to the commercial viability of a petroleum resource.</w:t>
      </w:r>
    </w:p>
    <w:p w14:paraId="64B2CDB8" w14:textId="3CABE7A7" w:rsidR="00DD60FD" w:rsidRPr="001125B5" w:rsidRDefault="00DD60FD" w:rsidP="00A352DC">
      <w:pPr>
        <w:pStyle w:val="ListParagraph"/>
        <w:numPr>
          <w:ilvl w:val="1"/>
          <w:numId w:val="49"/>
        </w:numPr>
        <w:ind w:left="851" w:hanging="716"/>
      </w:pPr>
      <w:r w:rsidRPr="00964DF5">
        <w:t>The Joint Authority</w:t>
      </w:r>
      <w:r w:rsidR="00773169" w:rsidRPr="00964DF5">
        <w:t xml:space="preserve"> and NOPTA</w:t>
      </w:r>
      <w:r w:rsidRPr="00964DF5">
        <w:t xml:space="preserve"> may take such submissions or advice into consideration when making decision</w:t>
      </w:r>
      <w:r w:rsidR="00145698" w:rsidRPr="00964DF5">
        <w:t>s</w:t>
      </w:r>
      <w:r w:rsidR="007830EB" w:rsidRPr="00964DF5">
        <w:t xml:space="preserve"> in relation to a Retention Lease, such as decisions relating to applications or the re-evaluation of commercial viability.</w:t>
      </w:r>
      <w:r w:rsidRPr="00964DF5">
        <w:t xml:space="preserve"> </w:t>
      </w:r>
    </w:p>
    <w:p w14:paraId="3A8B0A2C" w14:textId="6E5AEC41" w:rsidR="00DD60FD" w:rsidRPr="00964DF5" w:rsidRDefault="00DD60FD" w:rsidP="00A352DC">
      <w:pPr>
        <w:pStyle w:val="ListParagraph"/>
        <w:numPr>
          <w:ilvl w:val="1"/>
          <w:numId w:val="49"/>
        </w:numPr>
        <w:ind w:left="851" w:hanging="716"/>
      </w:pPr>
      <w:r w:rsidRPr="001125B5">
        <w:t>Where a third</w:t>
      </w:r>
      <w:r w:rsidR="00B674CE" w:rsidRPr="001125B5">
        <w:t xml:space="preserve"> </w:t>
      </w:r>
      <w:r w:rsidRPr="001125B5">
        <w:t>part</w:t>
      </w:r>
      <w:r w:rsidR="00762EE7" w:rsidRPr="001125B5">
        <w:t>y</w:t>
      </w:r>
      <w:r w:rsidR="00F7770B" w:rsidRPr="001125B5">
        <w:t xml:space="preserve"> makes </w:t>
      </w:r>
      <w:r w:rsidR="00221D85" w:rsidRPr="001125B5">
        <w:t>a</w:t>
      </w:r>
      <w:r w:rsidRPr="001125B5">
        <w:t xml:space="preserve"> submission in relation to an application for a retention lease, it should be made within 45 days of the application being received by NOPTA </w:t>
      </w:r>
      <w:r w:rsidRPr="00964DF5">
        <w:t>to ensure NOPTA</w:t>
      </w:r>
      <w:r w:rsidR="007A4AF0" w:rsidRPr="00964DF5">
        <w:t xml:space="preserve"> has sufficient time to consider the submission, and where necessary seek any clarification that may be required, in providing advice to</w:t>
      </w:r>
      <w:r w:rsidRPr="00964DF5">
        <w:t xml:space="preserve"> the Joint Authority.</w:t>
      </w:r>
    </w:p>
    <w:p w14:paraId="03121D45" w14:textId="2867835A" w:rsidR="00DD60FD" w:rsidRPr="00964DF5" w:rsidRDefault="00DD60FD" w:rsidP="00A352DC">
      <w:pPr>
        <w:pStyle w:val="ListParagraph"/>
        <w:numPr>
          <w:ilvl w:val="1"/>
          <w:numId w:val="49"/>
        </w:numPr>
        <w:ind w:left="851" w:hanging="716"/>
      </w:pPr>
      <w:r w:rsidRPr="00964DF5">
        <w:t xml:space="preserve">NOPTA may choose to consult with the applicant upon receiving </w:t>
      </w:r>
      <w:r w:rsidR="00C347EE" w:rsidRPr="00964DF5">
        <w:t xml:space="preserve">a </w:t>
      </w:r>
      <w:proofErr w:type="gramStart"/>
      <w:r w:rsidRPr="00964DF5">
        <w:t>third party</w:t>
      </w:r>
      <w:proofErr w:type="gramEnd"/>
      <w:r w:rsidRPr="00964DF5">
        <w:t xml:space="preserve"> submission, </w:t>
      </w:r>
      <w:r w:rsidR="69A1CAE3" w:rsidRPr="00964DF5">
        <w:t>but the submission will not be made available to the applicant. Submissions will be treated as commercial in confidence.</w:t>
      </w:r>
    </w:p>
    <w:p w14:paraId="640EAD7A" w14:textId="6E5789C2" w:rsidR="007E501F" w:rsidRPr="00964DF5" w:rsidRDefault="00DD60FD" w:rsidP="00A352DC">
      <w:pPr>
        <w:pStyle w:val="ListParagraph"/>
        <w:numPr>
          <w:ilvl w:val="2"/>
          <w:numId w:val="49"/>
        </w:numPr>
        <w:ind w:hanging="373"/>
      </w:pPr>
      <w:r w:rsidRPr="00964DF5">
        <w:t>No commercially sensitive information from the application will be disclosed to third parties</w:t>
      </w:r>
      <w:r w:rsidR="00E14C7A" w:rsidRPr="00964DF5">
        <w:t xml:space="preserve"> without the written consent of </w:t>
      </w:r>
      <w:r w:rsidR="00D61187" w:rsidRPr="00964DF5">
        <w:t>the applicant</w:t>
      </w:r>
      <w:r w:rsidRPr="00964DF5">
        <w:t>.</w:t>
      </w:r>
    </w:p>
    <w:p w14:paraId="5D31FC67" w14:textId="5C1261F3" w:rsidR="003477F7" w:rsidRPr="001125B5" w:rsidRDefault="003477F7" w:rsidP="00A352DC">
      <w:pPr>
        <w:pStyle w:val="ListParagraph"/>
        <w:numPr>
          <w:ilvl w:val="1"/>
          <w:numId w:val="49"/>
        </w:numPr>
        <w:ind w:left="851" w:hanging="716"/>
      </w:pPr>
      <w:r w:rsidRPr="00964DF5" w:rsidDel="008901BA">
        <w:t xml:space="preserve">The assumptions used by third parties </w:t>
      </w:r>
      <w:r w:rsidR="00653671" w:rsidRPr="00964DF5" w:rsidDel="008901BA">
        <w:t xml:space="preserve">in their submissions, </w:t>
      </w:r>
      <w:r w:rsidRPr="00964DF5" w:rsidDel="008901BA">
        <w:t xml:space="preserve">will be tested in the same manner </w:t>
      </w:r>
      <w:r w:rsidR="00653671" w:rsidRPr="00964DF5" w:rsidDel="008901BA">
        <w:t xml:space="preserve">that </w:t>
      </w:r>
      <w:r w:rsidRPr="00964DF5" w:rsidDel="008901BA">
        <w:t>claims of the applicant are tested. NOPTA will not consider claims by either the applicant or third parties where those claims are deemed to be unreasonable.</w:t>
      </w:r>
    </w:p>
    <w:p w14:paraId="47BE02C4" w14:textId="3223F3B7" w:rsidR="00DD60FD" w:rsidRPr="001125B5" w:rsidRDefault="00DD60FD" w:rsidP="00A352DC">
      <w:pPr>
        <w:pStyle w:val="ListParagraph"/>
        <w:numPr>
          <w:ilvl w:val="1"/>
          <w:numId w:val="49"/>
        </w:numPr>
        <w:ind w:left="851" w:hanging="716"/>
      </w:pPr>
      <w:r w:rsidRPr="001125B5">
        <w:t>Where NOPTA</w:t>
      </w:r>
      <w:r w:rsidRPr="001125B5" w:rsidDel="00D821A5">
        <w:t xml:space="preserve"> </w:t>
      </w:r>
      <w:r w:rsidR="00D821A5" w:rsidRPr="001125B5">
        <w:t xml:space="preserve">engages </w:t>
      </w:r>
      <w:r w:rsidRPr="001125B5">
        <w:t>a</w:t>
      </w:r>
      <w:r w:rsidR="00D23622" w:rsidRPr="001125B5">
        <w:t>n independent</w:t>
      </w:r>
      <w:r w:rsidRPr="001125B5">
        <w:t xml:space="preserve"> third party to provide advice in relation to a retention lease application, relevant information </w:t>
      </w:r>
      <w:r w:rsidR="00D23622" w:rsidRPr="001125B5">
        <w:t xml:space="preserve">from the application </w:t>
      </w:r>
      <w:r w:rsidRPr="001125B5">
        <w:t xml:space="preserve">may be shared </w:t>
      </w:r>
      <w:r w:rsidR="00D23622" w:rsidRPr="001125B5">
        <w:t>with them</w:t>
      </w:r>
      <w:r w:rsidR="00C7480D">
        <w:t>,</w:t>
      </w:r>
      <w:r w:rsidR="00D23622" w:rsidRPr="001125B5">
        <w:t xml:space="preserve"> </w:t>
      </w:r>
      <w:r w:rsidRPr="001125B5">
        <w:t xml:space="preserve">subject to confidentiality provisions. In such circumstances the applicant will be </w:t>
      </w:r>
      <w:r w:rsidR="00B80072" w:rsidRPr="001125B5">
        <w:t xml:space="preserve">informed </w:t>
      </w:r>
      <w:r w:rsidRPr="001125B5">
        <w:t>of the information to be shared.</w:t>
      </w:r>
    </w:p>
    <w:p w14:paraId="2B31B125" w14:textId="676B9F38" w:rsidR="00CF38BE" w:rsidRPr="001125B5" w:rsidRDefault="00CF38BE" w:rsidP="00A352DC">
      <w:pPr>
        <w:pStyle w:val="ListParagraph"/>
        <w:numPr>
          <w:ilvl w:val="1"/>
          <w:numId w:val="49"/>
        </w:numPr>
        <w:ind w:left="851" w:hanging="716"/>
      </w:pPr>
      <w:r w:rsidRPr="001125B5">
        <w:t xml:space="preserve">NOPTA may consult with the applicant in relation to </w:t>
      </w:r>
      <w:r w:rsidR="00903DAE" w:rsidRPr="001125B5">
        <w:t xml:space="preserve">advice </w:t>
      </w:r>
      <w:r w:rsidRPr="001125B5">
        <w:t>provided by</w:t>
      </w:r>
      <w:r w:rsidR="00B80072" w:rsidRPr="001125B5">
        <w:t xml:space="preserve"> an independent</w:t>
      </w:r>
      <w:r w:rsidRPr="001125B5">
        <w:t xml:space="preserve"> third part</w:t>
      </w:r>
      <w:r w:rsidR="00B80072" w:rsidRPr="001125B5">
        <w:t>y</w:t>
      </w:r>
      <w:r w:rsidRPr="001125B5">
        <w:t>.</w:t>
      </w:r>
    </w:p>
    <w:p w14:paraId="2905BF9E" w14:textId="3A8E36E0" w:rsidR="00DD60FD" w:rsidRPr="00DD60FD" w:rsidRDefault="00DD60FD" w:rsidP="00A352DC">
      <w:pPr>
        <w:pStyle w:val="ListParagraph"/>
        <w:numPr>
          <w:ilvl w:val="1"/>
          <w:numId w:val="49"/>
        </w:numPr>
        <w:ind w:left="851" w:hanging="716"/>
      </w:pPr>
      <w:r w:rsidRPr="00DD60FD">
        <w:t xml:space="preserve">All </w:t>
      </w:r>
      <w:proofErr w:type="gramStart"/>
      <w:r w:rsidRPr="00DD60FD">
        <w:t>third party</w:t>
      </w:r>
      <w:proofErr w:type="gramEnd"/>
      <w:r w:rsidRPr="00DD60FD">
        <w:t xml:space="preserve"> submissions</w:t>
      </w:r>
      <w:r w:rsidR="00F575C6">
        <w:t xml:space="preserve"> </w:t>
      </w:r>
      <w:r w:rsidRPr="00DD60FD">
        <w:t xml:space="preserve">should be sent to </w:t>
      </w:r>
      <w:hyperlink r:id="rId26">
        <w:r w:rsidR="0010543A" w:rsidRPr="00CD0DF4">
          <w:rPr>
            <w:color w:val="15659B" w:themeColor="accent4"/>
            <w:u w:val="single"/>
          </w:rPr>
          <w:t>titles@nopta.gov.au</w:t>
        </w:r>
      </w:hyperlink>
      <w:r w:rsidRPr="00DD60FD">
        <w:t>.</w:t>
      </w:r>
    </w:p>
    <w:p w14:paraId="72AECFF5" w14:textId="378BB4F4" w:rsidR="00480029" w:rsidRDefault="00480029" w:rsidP="00A352DC">
      <w:pPr>
        <w:pStyle w:val="Heading2"/>
        <w:numPr>
          <w:ilvl w:val="0"/>
          <w:numId w:val="49"/>
        </w:numPr>
      </w:pPr>
      <w:bookmarkStart w:id="94" w:name="_Toc215524953"/>
      <w:r>
        <w:lastRenderedPageBreak/>
        <w:t>Commerciality</w:t>
      </w:r>
      <w:bookmarkEnd w:id="94"/>
    </w:p>
    <w:p w14:paraId="376CF034" w14:textId="201277E3" w:rsidR="00480029" w:rsidRPr="00160EAE" w:rsidRDefault="00FA679C" w:rsidP="00A352DC">
      <w:pPr>
        <w:pStyle w:val="ListParagraph"/>
        <w:numPr>
          <w:ilvl w:val="1"/>
          <w:numId w:val="49"/>
        </w:numPr>
        <w:ind w:left="851" w:hanging="716"/>
      </w:pPr>
      <w:r>
        <w:t xml:space="preserve">Commerciality </w:t>
      </w:r>
      <w:r w:rsidR="00480029" w:rsidRPr="00160EAE">
        <w:t xml:space="preserve">criteria </w:t>
      </w:r>
      <w:r w:rsidR="008901BA">
        <w:t xml:space="preserve">are </w:t>
      </w:r>
      <w:r>
        <w:t xml:space="preserve">rigorously applied </w:t>
      </w:r>
      <w:r w:rsidR="00480029" w:rsidRPr="00160EAE">
        <w:t>to all applications for the grant or renewal of a retention lease.</w:t>
      </w:r>
    </w:p>
    <w:p w14:paraId="6947BAA7" w14:textId="64132625" w:rsidR="00480029" w:rsidRPr="00156F71" w:rsidRDefault="00480029" w:rsidP="00A352DC">
      <w:pPr>
        <w:pStyle w:val="ListParagraph"/>
        <w:numPr>
          <w:ilvl w:val="1"/>
          <w:numId w:val="49"/>
        </w:numPr>
        <w:ind w:left="851" w:hanging="716"/>
      </w:pPr>
      <w:r w:rsidRPr="000112BD">
        <w:t>The Joint Authority must be satisfied that the application meets the criteria in the applicable section of the OPGGS Act. This includes applications by holders of exploration permits and life-of-field production licences</w:t>
      </w:r>
      <w:r>
        <w:t xml:space="preserve"> </w:t>
      </w:r>
      <w:r w:rsidRPr="000112BD">
        <w:t>and lease renewal applications. In all instances, it req</w:t>
      </w:r>
      <w:r w:rsidRPr="00156F71">
        <w:t>uires that the recovery of petroleum from the block(s) in the lease area:</w:t>
      </w:r>
    </w:p>
    <w:p w14:paraId="0C3994F2" w14:textId="57DF7E09" w:rsidR="00480029" w:rsidRDefault="00480029" w:rsidP="00A352DC">
      <w:pPr>
        <w:pStyle w:val="ListParagraph"/>
        <w:numPr>
          <w:ilvl w:val="2"/>
          <w:numId w:val="49"/>
        </w:numPr>
        <w:ind w:hanging="373"/>
      </w:pPr>
      <w:r w:rsidRPr="00480029">
        <w:t>is not commercially viable at the time of the application</w:t>
      </w:r>
      <w:r>
        <w:t xml:space="preserve"> and</w:t>
      </w:r>
    </w:p>
    <w:p w14:paraId="7E15B0BE" w14:textId="679A5B60" w:rsidR="00480029" w:rsidRPr="004C7669" w:rsidRDefault="00480029" w:rsidP="00A352DC">
      <w:pPr>
        <w:pStyle w:val="ListParagraph"/>
        <w:numPr>
          <w:ilvl w:val="2"/>
          <w:numId w:val="49"/>
        </w:numPr>
        <w:ind w:hanging="373"/>
      </w:pPr>
      <w:r w:rsidRPr="00480029">
        <w:t>is likely to become commercially viable within 15</w:t>
      </w:r>
      <w:r w:rsidR="000556B6">
        <w:t xml:space="preserve"> </w:t>
      </w:r>
      <w:r w:rsidRPr="00480029">
        <w:t xml:space="preserve">years from when the application is </w:t>
      </w:r>
      <w:r w:rsidRPr="004C7669">
        <w:t>submitted.</w:t>
      </w:r>
    </w:p>
    <w:p w14:paraId="74CE53E6" w14:textId="69A57166" w:rsidR="00480029" w:rsidRPr="004C7669" w:rsidRDefault="00480029" w:rsidP="00A352DC">
      <w:pPr>
        <w:pStyle w:val="ListParagraph"/>
        <w:numPr>
          <w:ilvl w:val="1"/>
          <w:numId w:val="49"/>
        </w:numPr>
        <w:ind w:left="851" w:hanging="716"/>
      </w:pPr>
      <w:r w:rsidRPr="004C7669">
        <w:t>For the purposes of sections 142, 148 and 154 of the OPGGS Act:</w:t>
      </w:r>
    </w:p>
    <w:p w14:paraId="7B3342D9" w14:textId="6CF4FECF" w:rsidR="00480029" w:rsidRPr="004C7669" w:rsidRDefault="0057524B" w:rsidP="00A352DC">
      <w:pPr>
        <w:pStyle w:val="ListParagraph"/>
        <w:numPr>
          <w:ilvl w:val="2"/>
          <w:numId w:val="49"/>
        </w:numPr>
        <w:ind w:hanging="373"/>
      </w:pPr>
      <w:r>
        <w:t>‘</w:t>
      </w:r>
      <w:proofErr w:type="gramStart"/>
      <w:r w:rsidR="00480029" w:rsidRPr="00673449">
        <w:rPr>
          <w:u w:val="single"/>
        </w:rPr>
        <w:t>commercially</w:t>
      </w:r>
      <w:proofErr w:type="gramEnd"/>
      <w:r w:rsidR="00480029" w:rsidRPr="00673449">
        <w:rPr>
          <w:u w:val="single"/>
        </w:rPr>
        <w:t xml:space="preserve"> viable</w:t>
      </w:r>
      <w:r w:rsidRPr="00673449">
        <w:rPr>
          <w:u w:val="single"/>
        </w:rPr>
        <w:t>’</w:t>
      </w:r>
      <w:r w:rsidR="00480029" w:rsidRPr="004C7669">
        <w:t xml:space="preserve"> reflects a position that </w:t>
      </w:r>
      <w:r w:rsidR="008C11CB">
        <w:t xml:space="preserve">recovery of petroleum </w:t>
      </w:r>
      <w:r w:rsidR="00480029" w:rsidRPr="004C7669">
        <w:t>could</w:t>
      </w:r>
      <w:r w:rsidR="000F50C3">
        <w:t xml:space="preserve"> </w:t>
      </w:r>
      <w:r w:rsidR="00480029" w:rsidRPr="004C7669">
        <w:t>commence within five-years based on:</w:t>
      </w:r>
    </w:p>
    <w:p w14:paraId="78986C13" w14:textId="7A98FEE8" w:rsidR="00480029" w:rsidRPr="004C7669" w:rsidRDefault="00480029" w:rsidP="00A352DC">
      <w:pPr>
        <w:pStyle w:val="ListParagraph"/>
        <w:numPr>
          <w:ilvl w:val="3"/>
          <w:numId w:val="43"/>
        </w:numPr>
        <w:ind w:hanging="452"/>
      </w:pPr>
      <w:r w:rsidRPr="004C7669">
        <w:t>existing knowledge of the field including field extent and initial in-place and recoverable resource estimates at proved, possible and probable levels</w:t>
      </w:r>
      <w:r w:rsidR="00752DAB">
        <w:t>.</w:t>
      </w:r>
    </w:p>
    <w:p w14:paraId="0A770ED0" w14:textId="4B031FB0" w:rsidR="00480029" w:rsidRPr="004C7669" w:rsidRDefault="00480029" w:rsidP="00A352DC">
      <w:pPr>
        <w:pStyle w:val="ListParagraph"/>
        <w:numPr>
          <w:ilvl w:val="3"/>
          <w:numId w:val="43"/>
        </w:numPr>
        <w:ind w:hanging="452"/>
      </w:pPr>
      <w:r w:rsidRPr="004C7669">
        <w:t>prevailing market conditions</w:t>
      </w:r>
      <w:r w:rsidR="00752DAB">
        <w:t>.</w:t>
      </w:r>
    </w:p>
    <w:p w14:paraId="1480096C" w14:textId="1DA16234" w:rsidR="00480029" w:rsidRPr="001125B5" w:rsidRDefault="00480029" w:rsidP="00A352DC">
      <w:pPr>
        <w:pStyle w:val="ListParagraph"/>
        <w:numPr>
          <w:ilvl w:val="3"/>
          <w:numId w:val="43"/>
        </w:numPr>
        <w:ind w:hanging="452"/>
      </w:pPr>
      <w:r w:rsidRPr="001125B5">
        <w:t>the range of uncertainty that exists in relation to key drivers of commercial viability</w:t>
      </w:r>
      <w:r w:rsidR="00752DAB">
        <w:t>.</w:t>
      </w:r>
    </w:p>
    <w:p w14:paraId="157AD5FD" w14:textId="7A835C91" w:rsidR="00480029" w:rsidRPr="004C7669" w:rsidRDefault="00480029" w:rsidP="00A352DC">
      <w:pPr>
        <w:pStyle w:val="ListParagraph"/>
        <w:numPr>
          <w:ilvl w:val="3"/>
          <w:numId w:val="43"/>
        </w:numPr>
        <w:ind w:hanging="452"/>
      </w:pPr>
      <w:r w:rsidRPr="004C7669">
        <w:t>technology readily available within the industry</w:t>
      </w:r>
      <w:r w:rsidR="00752DAB">
        <w:t>.</w:t>
      </w:r>
    </w:p>
    <w:p w14:paraId="5140798C" w14:textId="5427A396" w:rsidR="006A2C1A" w:rsidRPr="004C7669" w:rsidRDefault="00480029" w:rsidP="00A352DC">
      <w:pPr>
        <w:pStyle w:val="ListParagraph"/>
        <w:numPr>
          <w:ilvl w:val="3"/>
          <w:numId w:val="43"/>
        </w:numPr>
        <w:ind w:hanging="452"/>
      </w:pPr>
      <w:r w:rsidRPr="004C7669">
        <w:t>an internal rate of return that is considered acceptable for the type of project under consideration by a reasonable petroleum developer and by investors or lenders to the industry.</w:t>
      </w:r>
    </w:p>
    <w:p w14:paraId="7987363A" w14:textId="0CD9B23B" w:rsidR="00480029" w:rsidRPr="001125B5" w:rsidRDefault="00480029" w:rsidP="00A352DC">
      <w:pPr>
        <w:pStyle w:val="ListParagraph"/>
        <w:numPr>
          <w:ilvl w:val="2"/>
          <w:numId w:val="49"/>
        </w:numPr>
        <w:ind w:hanging="373"/>
      </w:pPr>
      <w:r w:rsidRPr="004C7669">
        <w:t>‘</w:t>
      </w:r>
      <w:r w:rsidR="006A2C1A" w:rsidRPr="001125B5">
        <w:rPr>
          <w:u w:val="single"/>
        </w:rPr>
        <w:t>L</w:t>
      </w:r>
      <w:r w:rsidRPr="001125B5">
        <w:rPr>
          <w:u w:val="single"/>
        </w:rPr>
        <w:t>ikely</w:t>
      </w:r>
      <w:r w:rsidRPr="001125B5">
        <w:t xml:space="preserve"> to become</w:t>
      </w:r>
      <w:r w:rsidR="00743256" w:rsidRPr="001125B5">
        <w:t xml:space="preserve"> commercially viable</w:t>
      </w:r>
      <w:r w:rsidRPr="001125B5">
        <w:t>’ indicates that activity under the retention lease term will lead to a high degree of certainty in the chance of commerciality and will consider</w:t>
      </w:r>
      <w:r w:rsidR="006A2C1A" w:rsidRPr="001125B5">
        <w:t xml:space="preserve"> the</w:t>
      </w:r>
      <w:r w:rsidRPr="001125B5">
        <w:t>:</w:t>
      </w:r>
    </w:p>
    <w:p w14:paraId="53383DD0" w14:textId="3CDEC96F" w:rsidR="00480029" w:rsidRPr="001125B5" w:rsidRDefault="006A2C1A" w:rsidP="00A352DC">
      <w:pPr>
        <w:pStyle w:val="ListParagraph"/>
        <w:numPr>
          <w:ilvl w:val="3"/>
          <w:numId w:val="44"/>
        </w:numPr>
        <w:ind w:hanging="452"/>
      </w:pPr>
      <w:r w:rsidRPr="001125B5">
        <w:t>M</w:t>
      </w:r>
      <w:r w:rsidR="00480029" w:rsidRPr="001125B5">
        <w:t xml:space="preserve">agnitude and type of </w:t>
      </w:r>
      <w:r w:rsidR="001D7E9D" w:rsidRPr="001125B5">
        <w:t xml:space="preserve">work program </w:t>
      </w:r>
      <w:r w:rsidR="00480029" w:rsidRPr="001125B5">
        <w:t>activities required to address technical uncertainty and improve understanding of commercial likelihood</w:t>
      </w:r>
      <w:r w:rsidRPr="001125B5">
        <w:t>.</w:t>
      </w:r>
    </w:p>
    <w:p w14:paraId="2FA84063" w14:textId="00101F11" w:rsidR="00480029" w:rsidRPr="001125B5" w:rsidRDefault="006A2C1A" w:rsidP="00A352DC">
      <w:pPr>
        <w:pStyle w:val="ListParagraph"/>
        <w:numPr>
          <w:ilvl w:val="3"/>
          <w:numId w:val="44"/>
        </w:numPr>
        <w:ind w:hanging="452"/>
      </w:pPr>
      <w:r w:rsidRPr="001125B5">
        <w:t>P</w:t>
      </w:r>
      <w:r w:rsidR="00480029" w:rsidRPr="001125B5">
        <w:t>ace and quality of the work program activities proposed for the lease term</w:t>
      </w:r>
      <w:r w:rsidRPr="001125B5">
        <w:t>.</w:t>
      </w:r>
    </w:p>
    <w:p w14:paraId="64BAD80D" w14:textId="4D73D471" w:rsidR="00480029" w:rsidRPr="001125B5" w:rsidRDefault="006A2C1A" w:rsidP="00A352DC">
      <w:pPr>
        <w:pStyle w:val="ListParagraph"/>
        <w:numPr>
          <w:ilvl w:val="3"/>
          <w:numId w:val="44"/>
        </w:numPr>
        <w:ind w:hanging="452"/>
      </w:pPr>
      <w:r w:rsidRPr="001125B5">
        <w:t>A</w:t>
      </w:r>
      <w:r w:rsidR="00480029" w:rsidRPr="001125B5">
        <w:t>pplicant’s work to reduce technical uncertainty and improve commercial likelihood under a declared Location, retention lease or production licence</w:t>
      </w:r>
      <w:r w:rsidRPr="001125B5">
        <w:t>.</w:t>
      </w:r>
    </w:p>
    <w:p w14:paraId="6EFF4C80" w14:textId="2D86D6A2" w:rsidR="00480029" w:rsidRPr="001125B5" w:rsidRDefault="006A2C1A" w:rsidP="00A352DC">
      <w:pPr>
        <w:pStyle w:val="ListParagraph"/>
        <w:numPr>
          <w:ilvl w:val="3"/>
          <w:numId w:val="44"/>
        </w:numPr>
        <w:ind w:hanging="452"/>
      </w:pPr>
      <w:r w:rsidRPr="001125B5">
        <w:t>A</w:t>
      </w:r>
      <w:r w:rsidR="00480029" w:rsidRPr="001125B5">
        <w:t>pplicant’s track record of executing similar projects</w:t>
      </w:r>
      <w:r w:rsidRPr="001125B5">
        <w:t>.</w:t>
      </w:r>
    </w:p>
    <w:p w14:paraId="319C6B93" w14:textId="7BFF09BA" w:rsidR="00422637" w:rsidRDefault="00422637" w:rsidP="00422637">
      <w:pPr>
        <w:pStyle w:val="Heading3"/>
      </w:pPr>
      <w:bookmarkStart w:id="95" w:name="_Toc215524954"/>
      <w:r>
        <w:t>Commerciality test</w:t>
      </w:r>
      <w:bookmarkEnd w:id="95"/>
    </w:p>
    <w:p w14:paraId="17117CC4" w14:textId="44BF34E6" w:rsidR="00480029" w:rsidRPr="006A2C1A" w:rsidRDefault="00480029" w:rsidP="00A352DC">
      <w:pPr>
        <w:pStyle w:val="ListParagraph"/>
        <w:numPr>
          <w:ilvl w:val="1"/>
          <w:numId w:val="49"/>
        </w:numPr>
        <w:ind w:left="851" w:hanging="716"/>
      </w:pPr>
      <w:r w:rsidRPr="006A2C1A">
        <w:t>In assessing the commercial</w:t>
      </w:r>
      <w:r w:rsidR="00AB4146">
        <w:t>ity</w:t>
      </w:r>
      <w:r w:rsidRPr="006A2C1A">
        <w:t xml:space="preserve"> of </w:t>
      </w:r>
      <w:r w:rsidR="00AB4146">
        <w:t xml:space="preserve">the resources in </w:t>
      </w:r>
      <w:r w:rsidRPr="006A2C1A">
        <w:t>a retention lease the Joint Authority may consider:</w:t>
      </w:r>
    </w:p>
    <w:p w14:paraId="14EC2BB8" w14:textId="3F08CF31" w:rsidR="00480029" w:rsidRPr="009555E2" w:rsidRDefault="00480029" w:rsidP="00A352DC">
      <w:pPr>
        <w:pStyle w:val="ListParagraph"/>
        <w:numPr>
          <w:ilvl w:val="2"/>
          <w:numId w:val="49"/>
        </w:numPr>
        <w:ind w:hanging="373"/>
      </w:pPr>
      <w:r w:rsidRPr="009555E2">
        <w:t>project economics and the internal rate of return (IRR) for the project</w:t>
      </w:r>
      <w:r w:rsidR="00004EB5">
        <w:t>.</w:t>
      </w:r>
    </w:p>
    <w:p w14:paraId="4355F461" w14:textId="50016996" w:rsidR="00480029" w:rsidRPr="009555E2" w:rsidRDefault="00480029" w:rsidP="00A352DC">
      <w:pPr>
        <w:pStyle w:val="ListParagraph"/>
        <w:numPr>
          <w:ilvl w:val="2"/>
          <w:numId w:val="49"/>
        </w:numPr>
        <w:ind w:hanging="373"/>
      </w:pPr>
      <w:r w:rsidRPr="009555E2">
        <w:t>the range of uncertainty in key drivers of commerciality</w:t>
      </w:r>
      <w:r w:rsidR="00004EB5">
        <w:t>.</w:t>
      </w:r>
    </w:p>
    <w:p w14:paraId="538D1277" w14:textId="613C70B6" w:rsidR="00480029" w:rsidRPr="009555E2" w:rsidRDefault="00480029" w:rsidP="00A352DC">
      <w:pPr>
        <w:pStyle w:val="ListParagraph"/>
        <w:numPr>
          <w:ilvl w:val="2"/>
          <w:numId w:val="49"/>
        </w:numPr>
        <w:ind w:hanging="373"/>
      </w:pPr>
      <w:r w:rsidRPr="009555E2">
        <w:t xml:space="preserve">the maturity and technical feasibility of the development </w:t>
      </w:r>
      <w:r w:rsidR="00F27948">
        <w:t>concepts</w:t>
      </w:r>
      <w:r w:rsidR="00F27948" w:rsidRPr="009555E2">
        <w:t xml:space="preserve"> </w:t>
      </w:r>
      <w:r w:rsidRPr="009555E2">
        <w:t>and timeframe for development</w:t>
      </w:r>
      <w:r w:rsidR="00004EB5">
        <w:t>.</w:t>
      </w:r>
    </w:p>
    <w:p w14:paraId="660A4847" w14:textId="0FBBA45C" w:rsidR="00480029" w:rsidRPr="009555E2" w:rsidRDefault="00480029" w:rsidP="00A352DC">
      <w:pPr>
        <w:pStyle w:val="ListParagraph"/>
        <w:numPr>
          <w:ilvl w:val="2"/>
          <w:numId w:val="49"/>
        </w:numPr>
        <w:ind w:hanging="373"/>
      </w:pPr>
      <w:r w:rsidRPr="009555E2">
        <w:t>the market for forecast sales quantities of the production required to justify development, including for gas resources all options for supplying the domestic gas market.</w:t>
      </w:r>
    </w:p>
    <w:p w14:paraId="3383BEF5" w14:textId="77777777" w:rsidR="00480029" w:rsidRPr="009555E2" w:rsidRDefault="00480029" w:rsidP="00422637">
      <w:pPr>
        <w:pStyle w:val="Heading4"/>
      </w:pPr>
      <w:r w:rsidRPr="009555E2">
        <w:t>Project economics and Internal Rate of Return</w:t>
      </w:r>
    </w:p>
    <w:p w14:paraId="60419DCF" w14:textId="490C9C16" w:rsidR="00480029" w:rsidRPr="001125B5" w:rsidRDefault="00480029" w:rsidP="00A352DC">
      <w:pPr>
        <w:pStyle w:val="ListParagraph"/>
        <w:numPr>
          <w:ilvl w:val="1"/>
          <w:numId w:val="49"/>
        </w:numPr>
        <w:ind w:left="851" w:hanging="716"/>
      </w:pPr>
      <w:r w:rsidRPr="001125B5">
        <w:t>Generally, a project</w:t>
      </w:r>
      <w:r w:rsidR="006063E1" w:rsidRPr="001125B5">
        <w:t>’s</w:t>
      </w:r>
      <w:r w:rsidRPr="001125B5">
        <w:t xml:space="preserve"> </w:t>
      </w:r>
      <w:r w:rsidR="00F27948" w:rsidRPr="001125B5">
        <w:t xml:space="preserve">economics </w:t>
      </w:r>
      <w:r w:rsidRPr="001125B5">
        <w:t xml:space="preserve">will be considered </w:t>
      </w:r>
      <w:r w:rsidR="00F27948" w:rsidRPr="001125B5">
        <w:t xml:space="preserve">sufficient to be </w:t>
      </w:r>
      <w:r w:rsidRPr="001125B5">
        <w:t>commercially viable under prevailing market conditions if it</w:t>
      </w:r>
      <w:r w:rsidR="009555E2" w:rsidRPr="001125B5">
        <w:t xml:space="preserve"> has:</w:t>
      </w:r>
    </w:p>
    <w:p w14:paraId="5050021D" w14:textId="4D789EE8" w:rsidR="00480029" w:rsidRPr="001125B5" w:rsidRDefault="0010778C" w:rsidP="00A352DC">
      <w:pPr>
        <w:pStyle w:val="ListParagraph"/>
        <w:numPr>
          <w:ilvl w:val="2"/>
          <w:numId w:val="49"/>
        </w:numPr>
        <w:ind w:hanging="373"/>
      </w:pPr>
      <w:r w:rsidRPr="001125B5">
        <w:lastRenderedPageBreak/>
        <w:t xml:space="preserve">a </w:t>
      </w:r>
      <w:proofErr w:type="gramStart"/>
      <w:r w:rsidRPr="001125B5">
        <w:t>best case</w:t>
      </w:r>
      <w:proofErr w:type="gramEnd"/>
      <w:r w:rsidRPr="001125B5">
        <w:t xml:space="preserve"> nominal after tax IRR of 12% or greater; and </w:t>
      </w:r>
    </w:p>
    <w:p w14:paraId="286DEC4D" w14:textId="60458280" w:rsidR="00480029" w:rsidRPr="001125B5" w:rsidRDefault="0010778C" w:rsidP="00A352DC">
      <w:pPr>
        <w:pStyle w:val="ListParagraph"/>
        <w:numPr>
          <w:ilvl w:val="2"/>
          <w:numId w:val="49"/>
        </w:numPr>
        <w:ind w:hanging="373"/>
      </w:pPr>
      <w:r w:rsidRPr="001125B5">
        <w:t>positive undiscounted cashflows for the most recent low case estimates of contingent resources.</w:t>
      </w:r>
    </w:p>
    <w:p w14:paraId="1C0F10AE" w14:textId="1EBBC52A" w:rsidR="00480029" w:rsidRPr="001125B5" w:rsidRDefault="00480029" w:rsidP="00A352DC">
      <w:pPr>
        <w:pStyle w:val="ListParagraph"/>
        <w:numPr>
          <w:ilvl w:val="1"/>
          <w:numId w:val="49"/>
        </w:numPr>
        <w:ind w:left="851" w:hanging="716"/>
      </w:pPr>
      <w:r w:rsidRPr="001125B5">
        <w:t xml:space="preserve">The Joint Authority may determine </w:t>
      </w:r>
      <w:r w:rsidR="005C6B56" w:rsidRPr="001125B5">
        <w:t>that a project that satisfies 3.</w:t>
      </w:r>
      <w:r w:rsidR="000F6F7C">
        <w:t>5</w:t>
      </w:r>
      <w:r w:rsidR="00B37AA4">
        <w:t xml:space="preserve"> </w:t>
      </w:r>
      <w:r w:rsidR="005C6B56" w:rsidRPr="001125B5">
        <w:t>(</w:t>
      </w:r>
      <w:r w:rsidR="00561597" w:rsidRPr="001125B5">
        <w:t>b</w:t>
      </w:r>
      <w:r w:rsidR="005C6B56" w:rsidRPr="001125B5">
        <w:t>)</w:t>
      </w:r>
      <w:r w:rsidR="0057172E" w:rsidRPr="001125B5">
        <w:t xml:space="preserve"> </w:t>
      </w:r>
      <w:r w:rsidR="006063E1" w:rsidRPr="001125B5">
        <w:t>is</w:t>
      </w:r>
      <w:r w:rsidRPr="001125B5" w:rsidDel="002C7364">
        <w:t xml:space="preserve"> </w:t>
      </w:r>
      <w:r w:rsidRPr="001125B5">
        <w:t>commercially viable at lower IRRs where there is a narrow uncertainty range for key drivers of commerciality, or there are no further opportunities available to reduce the level of uncertainty as demonstrated by the work program.</w:t>
      </w:r>
    </w:p>
    <w:p w14:paraId="331AED54" w14:textId="79C1A162" w:rsidR="0083333C" w:rsidRPr="001125B5" w:rsidRDefault="0083333C" w:rsidP="00724A36">
      <w:pPr>
        <w:pStyle w:val="Heading5"/>
      </w:pPr>
      <w:r w:rsidRPr="001125B5">
        <w:t>Other factors impacting commercial viability</w:t>
      </w:r>
    </w:p>
    <w:p w14:paraId="08FF9A5D" w14:textId="5EE7F45C" w:rsidR="00480029" w:rsidRPr="001125B5" w:rsidRDefault="00480029" w:rsidP="00A352DC">
      <w:pPr>
        <w:pStyle w:val="ListParagraph"/>
        <w:numPr>
          <w:ilvl w:val="1"/>
          <w:numId w:val="49"/>
        </w:numPr>
        <w:ind w:left="851" w:hanging="716"/>
      </w:pPr>
      <w:r w:rsidRPr="001125B5">
        <w:t>The</w:t>
      </w:r>
      <w:r w:rsidR="0083333C" w:rsidRPr="001125B5">
        <w:t xml:space="preserve"> Joint Authority will consider all factors that may impact on </w:t>
      </w:r>
      <w:r w:rsidR="006E1907" w:rsidRPr="001125B5">
        <w:t>commercial viability, including</w:t>
      </w:r>
      <w:r w:rsidR="00342E30" w:rsidRPr="001125B5">
        <w:t xml:space="preserve"> but not limited to</w:t>
      </w:r>
      <w:r w:rsidR="0083025D">
        <w:t>,</w:t>
      </w:r>
      <w:r w:rsidR="00342E30" w:rsidRPr="001125B5">
        <w:t xml:space="preserve"> the</w:t>
      </w:r>
      <w:r w:rsidRPr="001125B5">
        <w:t xml:space="preserve"> factors outlined under</w:t>
      </w:r>
      <w:r w:rsidR="00657989" w:rsidRPr="001125B5">
        <w:t xml:space="preserve"> Sections</w:t>
      </w:r>
      <w:r w:rsidRPr="001125B5">
        <w:t xml:space="preserve"> </w:t>
      </w:r>
      <w:r w:rsidR="0063326E" w:rsidRPr="001125B5">
        <w:t>3</w:t>
      </w:r>
      <w:r w:rsidRPr="001125B5">
        <w:t xml:space="preserve">.4 (b), </w:t>
      </w:r>
      <w:r w:rsidR="0063326E" w:rsidRPr="001125B5">
        <w:t>3</w:t>
      </w:r>
      <w:r w:rsidRPr="001125B5">
        <w:t xml:space="preserve">.4 (c), and </w:t>
      </w:r>
      <w:r w:rsidR="0063326E" w:rsidRPr="001125B5">
        <w:t>3</w:t>
      </w:r>
      <w:r w:rsidRPr="001125B5">
        <w:t xml:space="preserve">.4 (d) </w:t>
      </w:r>
      <w:r w:rsidR="00657989" w:rsidRPr="001125B5">
        <w:t>above</w:t>
      </w:r>
      <w:r w:rsidR="00535F65" w:rsidRPr="001125B5">
        <w:t xml:space="preserve"> </w:t>
      </w:r>
      <w:r w:rsidRPr="001125B5" w:rsidDel="00342E30">
        <w:t xml:space="preserve">in determining </w:t>
      </w:r>
      <w:r w:rsidR="00342E30" w:rsidRPr="001125B5">
        <w:t>the commercial viability of a project</w:t>
      </w:r>
      <w:r w:rsidRPr="001125B5">
        <w:t>.</w:t>
      </w:r>
    </w:p>
    <w:p w14:paraId="50D18946" w14:textId="630F1CBD" w:rsidR="00480029" w:rsidRPr="001125B5" w:rsidRDefault="0082663A" w:rsidP="00A352DC">
      <w:pPr>
        <w:pStyle w:val="ListParagraph"/>
        <w:numPr>
          <w:ilvl w:val="1"/>
          <w:numId w:val="49"/>
        </w:numPr>
        <w:ind w:left="851" w:hanging="716"/>
      </w:pPr>
      <w:r w:rsidRPr="001125B5">
        <w:t xml:space="preserve">The </w:t>
      </w:r>
      <w:r w:rsidR="00342E30" w:rsidRPr="001125B5">
        <w:t>proposed</w:t>
      </w:r>
      <w:r w:rsidR="00480029" w:rsidRPr="001125B5">
        <w:t xml:space="preserve"> timeframe for development</w:t>
      </w:r>
      <w:r w:rsidRPr="001125B5">
        <w:t xml:space="preserve"> should</w:t>
      </w:r>
      <w:r w:rsidR="00480029" w:rsidRPr="001125B5">
        <w:t xml:space="preserve"> include the design specifications, timing and cost estimates of appraisal and development activities that are planned for the resource</w:t>
      </w:r>
      <w:r w:rsidR="007D69DB" w:rsidRPr="001125B5">
        <w:t xml:space="preserve"> and</w:t>
      </w:r>
      <w:r w:rsidR="009A20E4" w:rsidRPr="001125B5">
        <w:t xml:space="preserve"> each development</w:t>
      </w:r>
      <w:r w:rsidR="00480029" w:rsidRPr="001125B5">
        <w:t xml:space="preserve"> concept under consideration.</w:t>
      </w:r>
      <w:r w:rsidR="008E08E0" w:rsidRPr="001125B5">
        <w:t xml:space="preserve"> This should include details on how the development concepts will be matured over the term of the lease.</w:t>
      </w:r>
    </w:p>
    <w:p w14:paraId="118C11B5" w14:textId="02D06511" w:rsidR="00480029" w:rsidRPr="006A2C1A" w:rsidRDefault="00480029" w:rsidP="00A352DC">
      <w:pPr>
        <w:pStyle w:val="ListParagraph"/>
        <w:numPr>
          <w:ilvl w:val="1"/>
          <w:numId w:val="49"/>
        </w:numPr>
        <w:ind w:left="851" w:hanging="716"/>
      </w:pPr>
      <w:r w:rsidRPr="006A2C1A">
        <w:t>Estimates for capital expenditure associated with development of the resource should be justified and include details of the basis on which they have been determined. Third party verification of capital cost estimates will be viewed favourably by the Joint Authority. The Joint Authority may seek third</w:t>
      </w:r>
      <w:r w:rsidR="00390D16">
        <w:t xml:space="preserve"> </w:t>
      </w:r>
      <w:r w:rsidRPr="006A2C1A">
        <w:t>party advice on capital costs or other key drivers of commerciality.</w:t>
      </w:r>
    </w:p>
    <w:p w14:paraId="5A4D5E61" w14:textId="6D08E237" w:rsidR="009555E2" w:rsidRDefault="009555E2" w:rsidP="00A352DC">
      <w:pPr>
        <w:pStyle w:val="ListParagraph"/>
        <w:numPr>
          <w:ilvl w:val="1"/>
          <w:numId w:val="49"/>
        </w:numPr>
        <w:ind w:left="851" w:hanging="716"/>
      </w:pPr>
      <w:r w:rsidRPr="009555E2">
        <w:t>Where NOPTA or the Joint Authority are not satisfied with the degree of certainty that exists in relation to the key drivers of commercial viability, review may be required by an independent third party</w:t>
      </w:r>
      <w:r w:rsidR="000C4658">
        <w:t xml:space="preserve"> such as a consultant</w:t>
      </w:r>
      <w:r>
        <w:t xml:space="preserve">, </w:t>
      </w:r>
      <w:r w:rsidRPr="009555E2">
        <w:t>including but not limited to capital costs</w:t>
      </w:r>
      <w:r>
        <w:t>.</w:t>
      </w:r>
    </w:p>
    <w:p w14:paraId="459006F9" w14:textId="1DAEE9D5" w:rsidR="00480029" w:rsidRPr="006A2C1A" w:rsidRDefault="00480029" w:rsidP="00A352DC">
      <w:pPr>
        <w:pStyle w:val="ListParagraph"/>
        <w:numPr>
          <w:ilvl w:val="1"/>
          <w:numId w:val="49"/>
        </w:numPr>
        <w:ind w:left="851" w:hanging="716"/>
      </w:pPr>
      <w:r w:rsidRPr="006A2C1A">
        <w:t>The supporting data, analytical processes, and assumptions describing the technical and commercial basis used in an application must be documented in sufficient detail to allow, as needed, a qualified reserves evaluator or qualified reserves auditor to clearly understand each project’s basis for the estimation, categorization, and classification of recoverable resources quantities and, if appropriate, associated commercial assessment.</w:t>
      </w:r>
    </w:p>
    <w:p w14:paraId="41685D77" w14:textId="0FC1F8D2" w:rsidR="00480029" w:rsidRPr="006A2C1A" w:rsidRDefault="00480029" w:rsidP="00A352DC">
      <w:pPr>
        <w:pStyle w:val="ListParagraph"/>
        <w:numPr>
          <w:ilvl w:val="1"/>
          <w:numId w:val="49"/>
        </w:numPr>
        <w:ind w:left="851" w:hanging="716"/>
      </w:pPr>
      <w:r w:rsidRPr="006A2C1A">
        <w:t xml:space="preserve">The </w:t>
      </w:r>
      <w:r w:rsidR="00256EDC">
        <w:t>application</w:t>
      </w:r>
      <w:r w:rsidRPr="006A2C1A">
        <w:t xml:space="preserve"> should consider all technically feasible development projects that might enable the earliest development of the resources. Justification should be provided for any preferred concept.</w:t>
      </w:r>
    </w:p>
    <w:p w14:paraId="5BD6845B" w14:textId="64FFE621" w:rsidR="00480029" w:rsidRPr="006A2C1A" w:rsidRDefault="00480029" w:rsidP="00A352DC">
      <w:pPr>
        <w:pStyle w:val="ListParagraph"/>
        <w:numPr>
          <w:ilvl w:val="1"/>
          <w:numId w:val="49"/>
        </w:numPr>
        <w:ind w:left="851" w:hanging="716"/>
      </w:pPr>
      <w:r w:rsidRPr="006A2C1A">
        <w:t>Opportunities to develop resources for the domestic market should be discussed and a preferred domestic gas development presented.</w:t>
      </w:r>
      <w:r w:rsidR="00C86BA6">
        <w:t xml:space="preserve"> </w:t>
      </w:r>
      <w:r w:rsidR="00F36AC8">
        <w:t xml:space="preserve">Requirements to supply gas </w:t>
      </w:r>
      <w:r w:rsidR="00A02FD3">
        <w:t xml:space="preserve">to the domestic market </w:t>
      </w:r>
      <w:r w:rsidR="00F36AC8">
        <w:t xml:space="preserve">under </w:t>
      </w:r>
      <w:r w:rsidR="00CE7C41">
        <w:t xml:space="preserve">domestic reservation </w:t>
      </w:r>
      <w:r w:rsidR="00A02FD3">
        <w:t xml:space="preserve">obligations </w:t>
      </w:r>
      <w:r w:rsidR="00AB4146">
        <w:t>and/</w:t>
      </w:r>
      <w:r w:rsidR="00CE7C41">
        <w:t xml:space="preserve">or agreements should also be </w:t>
      </w:r>
      <w:r w:rsidR="00A02FD3">
        <w:t>presented</w:t>
      </w:r>
      <w:r w:rsidR="00CE7C41">
        <w:t>.</w:t>
      </w:r>
    </w:p>
    <w:p w14:paraId="4FA08700" w14:textId="77777777" w:rsidR="00480029" w:rsidRPr="006A2C1A" w:rsidRDefault="00480029" w:rsidP="00A352DC">
      <w:pPr>
        <w:pStyle w:val="ListParagraph"/>
        <w:numPr>
          <w:ilvl w:val="1"/>
          <w:numId w:val="49"/>
        </w:numPr>
        <w:ind w:left="851" w:hanging="716"/>
      </w:pPr>
      <w:r w:rsidRPr="006A2C1A">
        <w:t>Where the commercial viability of a resource relies upon access to existing infrastructure the Joint Authority will consider:</w:t>
      </w:r>
    </w:p>
    <w:p w14:paraId="5C67F313" w14:textId="25CC5477" w:rsidR="00480029" w:rsidRPr="00A1775F" w:rsidRDefault="00480029" w:rsidP="00A352DC">
      <w:pPr>
        <w:pStyle w:val="ListParagraph"/>
        <w:numPr>
          <w:ilvl w:val="2"/>
          <w:numId w:val="49"/>
        </w:numPr>
        <w:ind w:hanging="373"/>
      </w:pPr>
      <w:r w:rsidRPr="00A1775F">
        <w:t>the performance of producing fields and the proposed sequence of backfill fields for the infrastructure</w:t>
      </w:r>
      <w:r w:rsidR="00CF51DE">
        <w:t>.</w:t>
      </w:r>
    </w:p>
    <w:p w14:paraId="1AE50535" w14:textId="2AD13013" w:rsidR="00480029" w:rsidRPr="00A1775F" w:rsidRDefault="00480029" w:rsidP="00A352DC">
      <w:pPr>
        <w:pStyle w:val="ListParagraph"/>
        <w:numPr>
          <w:ilvl w:val="2"/>
          <w:numId w:val="49"/>
        </w:numPr>
        <w:ind w:hanging="373"/>
      </w:pPr>
      <w:r w:rsidRPr="00A1775F">
        <w:t>the field’s place in the queue and any changes to the proposed sequence of backfill fields as understood by the Joint Authority at the time</w:t>
      </w:r>
      <w:r w:rsidR="00CF51DE">
        <w:t>.</w:t>
      </w:r>
    </w:p>
    <w:p w14:paraId="5F058BE8" w14:textId="362E1063" w:rsidR="00480029" w:rsidRPr="00A1775F" w:rsidRDefault="00480029" w:rsidP="00A352DC">
      <w:pPr>
        <w:pStyle w:val="ListParagraph"/>
        <w:numPr>
          <w:ilvl w:val="2"/>
          <w:numId w:val="49"/>
        </w:numPr>
        <w:ind w:hanging="373"/>
      </w:pPr>
      <w:r w:rsidRPr="00A1775F">
        <w:t>evidence of having secured agreements for access to infrastructure</w:t>
      </w:r>
      <w:r w:rsidR="00CF51DE">
        <w:t>.</w:t>
      </w:r>
    </w:p>
    <w:p w14:paraId="72D53252" w14:textId="3F98332C" w:rsidR="00480029" w:rsidRPr="00A1775F" w:rsidRDefault="00480029" w:rsidP="00A352DC">
      <w:pPr>
        <w:pStyle w:val="ListParagraph"/>
        <w:numPr>
          <w:ilvl w:val="2"/>
          <w:numId w:val="49"/>
        </w:numPr>
        <w:ind w:hanging="373"/>
      </w:pPr>
      <w:r w:rsidRPr="00A1775F">
        <w:t xml:space="preserve">any other infrastructure that would enable commercialisation and related dates of </w:t>
      </w:r>
      <w:r w:rsidR="009555E2" w:rsidRPr="00A1775F">
        <w:t>F</w:t>
      </w:r>
      <w:r w:rsidRPr="00A1775F">
        <w:t xml:space="preserve">inal </w:t>
      </w:r>
      <w:r w:rsidR="009555E2" w:rsidRPr="00A1775F">
        <w:t>I</w:t>
      </w:r>
      <w:r w:rsidRPr="00A1775F">
        <w:t xml:space="preserve">nvestment </w:t>
      </w:r>
      <w:r w:rsidR="009555E2" w:rsidRPr="00A1775F">
        <w:t>D</w:t>
      </w:r>
      <w:r w:rsidRPr="00A1775F">
        <w:t>ecision or start up.</w:t>
      </w:r>
    </w:p>
    <w:p w14:paraId="77F87B55" w14:textId="318C1AB2" w:rsidR="00480029" w:rsidRPr="009555E2" w:rsidRDefault="00480029" w:rsidP="00422637">
      <w:pPr>
        <w:pStyle w:val="Heading4"/>
      </w:pPr>
      <w:r w:rsidRPr="009555E2">
        <w:t>Likelihood of commercial viability within 15</w:t>
      </w:r>
      <w:r w:rsidR="000556B6">
        <w:t xml:space="preserve"> </w:t>
      </w:r>
      <w:r w:rsidRPr="009555E2">
        <w:t>years</w:t>
      </w:r>
    </w:p>
    <w:p w14:paraId="533E3016" w14:textId="1244A208" w:rsidR="00E76862" w:rsidRPr="001125B5" w:rsidRDefault="00012FC8" w:rsidP="00A352DC">
      <w:pPr>
        <w:pStyle w:val="ListParagraph"/>
        <w:numPr>
          <w:ilvl w:val="1"/>
          <w:numId w:val="49"/>
        </w:numPr>
        <w:ind w:left="851" w:hanging="716"/>
      </w:pPr>
      <w:r w:rsidRPr="001125B5">
        <w:t>The pace and quality of the proposed work program including its ability to mature projects through key milestones and strategic decision points is used to assess likelihood of commercial viability within 15</w:t>
      </w:r>
      <w:r w:rsidR="000556B6">
        <w:t xml:space="preserve"> </w:t>
      </w:r>
      <w:r w:rsidRPr="001125B5">
        <w:t>years.</w:t>
      </w:r>
    </w:p>
    <w:p w14:paraId="18A47547" w14:textId="602568A5" w:rsidR="00E76862" w:rsidRPr="001125B5" w:rsidRDefault="00E76862" w:rsidP="00A352DC">
      <w:pPr>
        <w:pStyle w:val="ListParagraph"/>
        <w:numPr>
          <w:ilvl w:val="2"/>
          <w:numId w:val="49"/>
        </w:numPr>
        <w:ind w:hanging="373"/>
      </w:pPr>
      <w:r w:rsidRPr="001125B5">
        <w:lastRenderedPageBreak/>
        <w:t>Work programs with minimal activities and expenditure may be assessed as insufficient to actively reduce technical uncertainty and improve understanding of commercial likelihood within 15</w:t>
      </w:r>
      <w:r w:rsidR="000556B6">
        <w:t xml:space="preserve"> </w:t>
      </w:r>
      <w:r w:rsidRPr="001125B5">
        <w:t xml:space="preserve">years. </w:t>
      </w:r>
    </w:p>
    <w:p w14:paraId="6050A23E" w14:textId="1E934484" w:rsidR="00E76862" w:rsidRPr="001125B5" w:rsidRDefault="00E76862" w:rsidP="00A352DC">
      <w:pPr>
        <w:pStyle w:val="ListParagraph"/>
        <w:numPr>
          <w:ilvl w:val="2"/>
          <w:numId w:val="49"/>
        </w:numPr>
        <w:ind w:hanging="373"/>
      </w:pPr>
      <w:r w:rsidRPr="001125B5">
        <w:t>Monitoring markets for improved economic conditions or waiting for ullage availability</w:t>
      </w:r>
      <w:r w:rsidR="005C45C4" w:rsidRPr="001125B5">
        <w:t xml:space="preserve"> (except for scheduled backfill)</w:t>
      </w:r>
      <w:r w:rsidRPr="001125B5">
        <w:t xml:space="preserve"> will not be considered actively addressing barriers to commercialisation.</w:t>
      </w:r>
    </w:p>
    <w:p w14:paraId="5C049531" w14:textId="6B49D156" w:rsidR="00241EA3" w:rsidRPr="001125B5" w:rsidRDefault="00012FC8" w:rsidP="00A352DC">
      <w:pPr>
        <w:pStyle w:val="ListParagraph"/>
        <w:numPr>
          <w:ilvl w:val="1"/>
          <w:numId w:val="49"/>
        </w:numPr>
        <w:ind w:left="851" w:hanging="716"/>
      </w:pPr>
      <w:r w:rsidRPr="001125B5">
        <w:t>In</w:t>
      </w:r>
      <w:r w:rsidR="00C0787A" w:rsidRPr="001125B5">
        <w:t xml:space="preserve"> </w:t>
      </w:r>
      <w:r w:rsidR="00D33D74" w:rsidRPr="001125B5">
        <w:t xml:space="preserve">assessing the </w:t>
      </w:r>
      <w:r w:rsidR="00C0787A" w:rsidRPr="001125B5">
        <w:t xml:space="preserve">pace and quality of the work program and the likelihood of the applicant maturing a project over the lease term, the </w:t>
      </w:r>
      <w:r w:rsidR="00241EA3" w:rsidRPr="001125B5">
        <w:t xml:space="preserve">Joint Authority </w:t>
      </w:r>
      <w:r w:rsidR="00C0787A" w:rsidRPr="001125B5">
        <w:t>may also consider:</w:t>
      </w:r>
    </w:p>
    <w:p w14:paraId="696564E3" w14:textId="311B576D" w:rsidR="00517F3B" w:rsidRPr="001125B5" w:rsidRDefault="00623A97" w:rsidP="00A352DC">
      <w:pPr>
        <w:pStyle w:val="ListParagraph"/>
        <w:numPr>
          <w:ilvl w:val="2"/>
          <w:numId w:val="49"/>
        </w:numPr>
        <w:ind w:hanging="373"/>
      </w:pPr>
      <w:r w:rsidRPr="001125B5">
        <w:t xml:space="preserve">If a retention lease contains a field that is </w:t>
      </w:r>
      <w:r w:rsidR="0024759B" w:rsidRPr="001125B5">
        <w:t>identified</w:t>
      </w:r>
      <w:r w:rsidR="00CB5BCD" w:rsidRPr="001125B5">
        <w:t xml:space="preserve"> as </w:t>
      </w:r>
      <w:r w:rsidR="00BE4663" w:rsidRPr="001125B5">
        <w:t xml:space="preserve">scheduled </w:t>
      </w:r>
      <w:r w:rsidR="00CB5BCD" w:rsidRPr="001125B5">
        <w:t xml:space="preserve">backfill to </w:t>
      </w:r>
      <w:r w:rsidR="0054651C" w:rsidRPr="001125B5">
        <w:t>an existing project, t</w:t>
      </w:r>
      <w:r w:rsidRPr="001125B5">
        <w:t>h</w:t>
      </w:r>
      <w:r w:rsidR="00BE4663" w:rsidRPr="001125B5">
        <w:t xml:space="preserve">is may </w:t>
      </w:r>
      <w:r w:rsidR="001C7733" w:rsidRPr="001125B5">
        <w:t xml:space="preserve">enhance </w:t>
      </w:r>
      <w:r w:rsidR="0098663A" w:rsidRPr="001125B5">
        <w:t xml:space="preserve">the likelihood of commercial viability in 15 years. </w:t>
      </w:r>
      <w:r w:rsidR="0024759B" w:rsidRPr="001125B5">
        <w:t xml:space="preserve">A field that </w:t>
      </w:r>
      <w:r w:rsidR="00253550" w:rsidRPr="001125B5">
        <w:t>is not</w:t>
      </w:r>
      <w:r w:rsidR="00E76862" w:rsidRPr="001125B5">
        <w:t xml:space="preserve"> </w:t>
      </w:r>
      <w:r w:rsidR="0009601E" w:rsidRPr="001125B5">
        <w:t>a</w:t>
      </w:r>
      <w:r w:rsidR="0024759B" w:rsidRPr="001125B5">
        <w:t xml:space="preserve">ssociated with </w:t>
      </w:r>
      <w:r w:rsidR="00E65993" w:rsidRPr="001125B5">
        <w:t>an existing project</w:t>
      </w:r>
      <w:r w:rsidR="00253550" w:rsidRPr="001125B5">
        <w:t xml:space="preserve"> will need to demonstrate</w:t>
      </w:r>
      <w:r w:rsidR="005C641C" w:rsidRPr="001125B5">
        <w:t xml:space="preserve"> a credible pathway to develo</w:t>
      </w:r>
      <w:r w:rsidR="00E76862" w:rsidRPr="001125B5">
        <w:t>p</w:t>
      </w:r>
      <w:r w:rsidR="005C641C" w:rsidRPr="001125B5">
        <w:t>ment.</w:t>
      </w:r>
    </w:p>
    <w:p w14:paraId="52BB5F52" w14:textId="48162752" w:rsidR="00480029" w:rsidRPr="001125B5" w:rsidRDefault="00480029" w:rsidP="00A352DC">
      <w:pPr>
        <w:pStyle w:val="ListParagraph"/>
        <w:numPr>
          <w:ilvl w:val="2"/>
          <w:numId w:val="49"/>
        </w:numPr>
        <w:ind w:hanging="373"/>
      </w:pPr>
      <w:r w:rsidRPr="001125B5">
        <w:t>The period the resource has been held under retention lease may be considered by the Joint Authority in assessing the likelihood of the applicant maturing a project over the lease term.</w:t>
      </w:r>
    </w:p>
    <w:p w14:paraId="59464555" w14:textId="40F36FAA" w:rsidR="00480029" w:rsidRPr="001125B5" w:rsidRDefault="00480029" w:rsidP="00A352DC">
      <w:pPr>
        <w:pStyle w:val="ListParagraph"/>
        <w:numPr>
          <w:ilvl w:val="2"/>
          <w:numId w:val="49"/>
        </w:numPr>
        <w:ind w:hanging="373"/>
      </w:pPr>
      <w:r w:rsidRPr="001125B5">
        <w:t>The applicant’s track record of maturing other resources to commercialisation may be considered by the Joint Authority in assessing the likelihood of the applicant maturing a project over the lease term.</w:t>
      </w:r>
    </w:p>
    <w:p w14:paraId="71C0F49D" w14:textId="2D14B0CE" w:rsidR="00CA287C" w:rsidRDefault="00745049" w:rsidP="00A352DC">
      <w:pPr>
        <w:pStyle w:val="Heading2"/>
        <w:numPr>
          <w:ilvl w:val="0"/>
          <w:numId w:val="49"/>
        </w:numPr>
      </w:pPr>
      <w:bookmarkStart w:id="96" w:name="_Toc215524955"/>
      <w:r>
        <w:lastRenderedPageBreak/>
        <w:t xml:space="preserve">Applying for </w:t>
      </w:r>
      <w:r w:rsidR="00ED547E">
        <w:t xml:space="preserve">or renewing </w:t>
      </w:r>
      <w:r>
        <w:t>a retention lease</w:t>
      </w:r>
      <w:bookmarkEnd w:id="96"/>
    </w:p>
    <w:p w14:paraId="227601C5" w14:textId="3BC5AC1F" w:rsidR="00176759" w:rsidRPr="004E67AB" w:rsidRDefault="00176759" w:rsidP="00A352DC">
      <w:pPr>
        <w:pStyle w:val="ListParagraph"/>
        <w:numPr>
          <w:ilvl w:val="1"/>
          <w:numId w:val="49"/>
        </w:numPr>
        <w:ind w:left="851" w:hanging="716"/>
      </w:pPr>
      <w:r w:rsidRPr="004E67AB">
        <w:t>To responsibly manage resources, the Australian Government seeks to ensure applicants are capable, competent, able to responsibly manage their activities and meet all regulatory obligations from exploration through to decommissioning.</w:t>
      </w:r>
    </w:p>
    <w:p w14:paraId="57A788F2" w14:textId="21429F49" w:rsidR="00012186" w:rsidRPr="004E67AB" w:rsidRDefault="00176759" w:rsidP="00A352DC">
      <w:pPr>
        <w:pStyle w:val="ListParagraph"/>
        <w:numPr>
          <w:ilvl w:val="1"/>
          <w:numId w:val="49"/>
        </w:numPr>
        <w:ind w:left="851" w:hanging="716"/>
      </w:pPr>
      <w:r w:rsidRPr="004E67AB">
        <w:t>The Joint Authority will consider the technical advice and financial resources available to the applicant to deliver the proposed work program</w:t>
      </w:r>
      <w:r w:rsidR="00393249">
        <w:t>.</w:t>
      </w:r>
    </w:p>
    <w:p w14:paraId="0ADB94F3" w14:textId="77777777" w:rsidR="007C1E0B" w:rsidRPr="004E67AB" w:rsidRDefault="00176759" w:rsidP="00A352DC">
      <w:pPr>
        <w:pStyle w:val="ListParagraph"/>
        <w:numPr>
          <w:ilvl w:val="1"/>
          <w:numId w:val="49"/>
        </w:numPr>
        <w:ind w:left="851" w:hanging="716"/>
      </w:pPr>
      <w:r w:rsidRPr="004E67AB">
        <w:t>The Joint Authority grants retention leases subject to a set of standard conditions. If deemed appropriate, the Joint Authority may also place additional conditions on the lease—section 136 (1) of the OPGGS Act.</w:t>
      </w:r>
    </w:p>
    <w:p w14:paraId="1AF64414" w14:textId="44C1E455" w:rsidR="00BB1938" w:rsidRPr="00BA7C12" w:rsidRDefault="00BB1938" w:rsidP="00BA7C12">
      <w:pPr>
        <w:pBdr>
          <w:top w:val="single" w:sz="4" w:space="6" w:color="E7E6E6"/>
          <w:left w:val="single" w:sz="4" w:space="4" w:color="E7E6E6"/>
          <w:bottom w:val="single" w:sz="4" w:space="6" w:color="E7E6E6"/>
          <w:right w:val="single" w:sz="4" w:space="4" w:color="E7E6E6"/>
        </w:pBdr>
        <w:shd w:val="clear" w:color="auto" w:fill="E7E6E6"/>
        <w:spacing w:before="0" w:after="0"/>
        <w:textAlignment w:val="baseline"/>
        <w:rPr>
          <w:rFonts w:ascii="Aptos" w:eastAsia="Times New Roman" w:hAnsi="Aptos" w:cs="Times New Roman"/>
          <w:sz w:val="22"/>
          <w:lang w:eastAsia="en-AU"/>
        </w:rPr>
      </w:pPr>
      <w:r w:rsidRPr="00BB1938">
        <w:t>A diagram of the application, assessment and decision-making process is at Attachment 1: application and assessment process</w:t>
      </w:r>
      <w:r w:rsidR="008A02B0">
        <w:t>.</w:t>
      </w:r>
    </w:p>
    <w:p w14:paraId="6057B621" w14:textId="77777777" w:rsidR="00867CD4" w:rsidRPr="00D22404" w:rsidRDefault="00867CD4" w:rsidP="00867CD4">
      <w:pPr>
        <w:pStyle w:val="Heading3"/>
        <w:rPr>
          <w:rStyle w:val="eop"/>
          <w:rFonts w:ascii="Aptos SemiBold" w:hAnsi="Aptos SemiBold"/>
          <w:color w:val="15659B"/>
          <w:shd w:val="clear" w:color="auto" w:fill="FFFFFF"/>
        </w:rPr>
      </w:pPr>
      <w:bookmarkStart w:id="97" w:name="_Toc215524956"/>
      <w:r w:rsidRPr="00D22404">
        <w:rPr>
          <w:rStyle w:val="normaltextrun"/>
          <w:rFonts w:ascii="Aptos SemiBold" w:hAnsi="Aptos SemiBold"/>
          <w:color w:val="15659B"/>
          <w:shd w:val="clear" w:color="auto" w:fill="FFFFFF"/>
        </w:rPr>
        <w:t>Technical and financial capacity and other suitability matters</w:t>
      </w:r>
      <w:bookmarkEnd w:id="97"/>
    </w:p>
    <w:p w14:paraId="463EDD5C" w14:textId="58EB5100" w:rsidR="00867CD4" w:rsidRPr="00393249" w:rsidRDefault="00E20FA0" w:rsidP="00A352DC">
      <w:pPr>
        <w:pStyle w:val="ListParagraph"/>
        <w:numPr>
          <w:ilvl w:val="1"/>
          <w:numId w:val="49"/>
        </w:numPr>
        <w:ind w:left="851" w:hanging="716"/>
      </w:pPr>
      <w:r>
        <w:t>In deciding whether</w:t>
      </w:r>
      <w:r w:rsidR="00867CD4" w:rsidRPr="00393249">
        <w:t xml:space="preserve"> to grant a petroleum retention lease, the Joint Authority must have regard to:</w:t>
      </w:r>
    </w:p>
    <w:p w14:paraId="74BEED4F" w14:textId="77777777" w:rsidR="00867CD4" w:rsidRPr="00393249" w:rsidRDefault="00867CD4" w:rsidP="00A352DC">
      <w:pPr>
        <w:pStyle w:val="ListParagraph"/>
        <w:numPr>
          <w:ilvl w:val="2"/>
          <w:numId w:val="16"/>
        </w:numPr>
        <w:ind w:hanging="373"/>
      </w:pPr>
      <w:r w:rsidRPr="00393249">
        <w:t>whether the technical advice and financial resources available to the applicant are sufficient to:</w:t>
      </w:r>
    </w:p>
    <w:p w14:paraId="5BA2D633" w14:textId="77777777" w:rsidR="00867CD4" w:rsidRPr="00EB6E9C" w:rsidRDefault="00867CD4" w:rsidP="00A352DC">
      <w:pPr>
        <w:pStyle w:val="ListParagraph"/>
        <w:numPr>
          <w:ilvl w:val="3"/>
          <w:numId w:val="16"/>
        </w:numPr>
        <w:ind w:hanging="452"/>
      </w:pPr>
      <w:r w:rsidRPr="00EB6E9C">
        <w:t>carry out the operations and works that will be or are authorised by the lease</w:t>
      </w:r>
    </w:p>
    <w:p w14:paraId="11004EF4" w14:textId="77777777" w:rsidR="00867CD4" w:rsidRPr="00EB6E9C" w:rsidRDefault="00867CD4" w:rsidP="00A352DC">
      <w:pPr>
        <w:pStyle w:val="ListParagraph"/>
        <w:numPr>
          <w:ilvl w:val="3"/>
          <w:numId w:val="16"/>
        </w:numPr>
        <w:ind w:hanging="452"/>
      </w:pPr>
      <w:r w:rsidRPr="00EB6E9C">
        <w:t>discharge the obligations that will be imposed under the OPGGS Act, or a legislative instrument under the OPGGS Act, in relation to the lease.</w:t>
      </w:r>
    </w:p>
    <w:p w14:paraId="0FEDED91" w14:textId="77777777" w:rsidR="00867CD4" w:rsidRPr="00393249" w:rsidRDefault="00867CD4" w:rsidP="00A352DC">
      <w:pPr>
        <w:pStyle w:val="ListParagraph"/>
        <w:numPr>
          <w:ilvl w:val="2"/>
          <w:numId w:val="16"/>
        </w:numPr>
        <w:ind w:hanging="373"/>
      </w:pPr>
      <w:r w:rsidRPr="00393249">
        <w:t>any other matters prescribed by the regulations.</w:t>
      </w:r>
    </w:p>
    <w:p w14:paraId="10600CF4" w14:textId="77777777" w:rsidR="00867CD4" w:rsidRPr="00393249" w:rsidRDefault="00867CD4" w:rsidP="00A352DC">
      <w:pPr>
        <w:pStyle w:val="ListParagraph"/>
        <w:numPr>
          <w:ilvl w:val="1"/>
          <w:numId w:val="49"/>
        </w:numPr>
        <w:ind w:left="851" w:hanging="716"/>
      </w:pPr>
      <w:r w:rsidRPr="00393249">
        <w:t>Each applicant is required to provide relevant information to demonstrate it has sufficient technical advice and financial resources available to carry out the operations and works authorised by the lease, and discharge the obligations imposed under the OPGGS Act.</w:t>
      </w:r>
    </w:p>
    <w:p w14:paraId="2E5E50C0" w14:textId="79329428" w:rsidR="000C4785" w:rsidRPr="002678D8" w:rsidRDefault="00867CD4" w:rsidP="002678D8">
      <w:pPr>
        <w:pStyle w:val="Calloutbox"/>
        <w:rPr>
          <w:lang w:eastAsia="en-AU"/>
        </w:rPr>
      </w:pPr>
      <w:r w:rsidRPr="00384900">
        <w:rPr>
          <w:rFonts w:ascii="Aptos" w:hAnsi="Aptos"/>
          <w:szCs w:val="20"/>
          <w:shd w:val="clear" w:color="auto" w:fill="E7E6E6"/>
          <w:lang w:eastAsia="en-AU"/>
        </w:rPr>
        <w:t xml:space="preserve">Refer to the </w:t>
      </w:r>
      <w:hyperlink r:id="rId27" w:history="1">
        <w:r w:rsidR="00EB57C0" w:rsidRPr="43CDCA97">
          <w:rPr>
            <w:rStyle w:val="Hyperlink"/>
            <w:rFonts w:ascii="Aptos" w:hAnsi="Aptos"/>
            <w:lang w:eastAsia="en-AU"/>
          </w:rPr>
          <w:t>Factsheet: Financial resources</w:t>
        </w:r>
      </w:hyperlink>
      <w:r w:rsidR="00EB57C0">
        <w:t xml:space="preserve"> </w:t>
      </w:r>
      <w:r w:rsidR="002678D8" w:rsidRPr="00384900">
        <w:rPr>
          <w:rFonts w:ascii="Aptos" w:hAnsi="Aptos"/>
          <w:szCs w:val="20"/>
          <w:shd w:val="clear" w:color="auto" w:fill="E7E6E6"/>
          <w:lang w:eastAsia="en-AU"/>
        </w:rPr>
        <w:t xml:space="preserve">and the </w:t>
      </w:r>
      <w:hyperlink r:id="rId28" w:tgtFrame="_blank" w:history="1">
        <w:r w:rsidR="00493C6F" w:rsidRPr="43CDCA97">
          <w:rPr>
            <w:rFonts w:ascii="Aptos" w:hAnsi="Aptos"/>
            <w:color w:val="0000FF"/>
            <w:lang w:eastAsia="en-AU"/>
          </w:rPr>
          <w:t>Guideline: Applicant suitability</w:t>
        </w:r>
      </w:hyperlink>
      <w:r w:rsidR="002678D8" w:rsidRPr="00384900">
        <w:rPr>
          <w:rFonts w:ascii="Aptos" w:hAnsi="Aptos"/>
          <w:szCs w:val="20"/>
          <w:shd w:val="clear" w:color="auto" w:fill="E7E6E6"/>
          <w:lang w:eastAsia="en-AU"/>
        </w:rPr>
        <w:t xml:space="preserve"> and</w:t>
      </w:r>
      <w:r w:rsidR="002678D8">
        <w:rPr>
          <w:rFonts w:ascii="Aptos" w:hAnsi="Aptos"/>
          <w:szCs w:val="20"/>
          <w:shd w:val="clear" w:color="auto" w:fill="E7E6E6"/>
          <w:lang w:eastAsia="en-AU"/>
        </w:rPr>
        <w:t xml:space="preserve"> section</w:t>
      </w:r>
      <w:r w:rsidR="002678D8" w:rsidRPr="00384900">
        <w:rPr>
          <w:rFonts w:ascii="Aptos" w:hAnsi="Aptos"/>
          <w:szCs w:val="20"/>
          <w:shd w:val="clear" w:color="auto" w:fill="E7E6E6"/>
          <w:lang w:eastAsia="en-AU"/>
        </w:rPr>
        <w:t xml:space="preserve"> </w:t>
      </w:r>
      <w:r w:rsidR="002678D8">
        <w:rPr>
          <w:rFonts w:ascii="Aptos" w:hAnsi="Aptos"/>
          <w:szCs w:val="20"/>
          <w:shd w:val="clear" w:color="auto" w:fill="E7E6E6"/>
          <w:lang w:eastAsia="en-AU"/>
        </w:rPr>
        <w:fldChar w:fldCharType="begin"/>
      </w:r>
      <w:r w:rsidR="002678D8">
        <w:rPr>
          <w:rFonts w:ascii="Aptos" w:hAnsi="Aptos"/>
          <w:szCs w:val="20"/>
          <w:shd w:val="clear" w:color="auto" w:fill="E7E6E6"/>
          <w:lang w:eastAsia="en-AU"/>
        </w:rPr>
        <w:instrText xml:space="preserve"> REF _Ref183680020 \r \h </w:instrText>
      </w:r>
      <w:r w:rsidR="002678D8">
        <w:rPr>
          <w:rFonts w:ascii="Aptos" w:hAnsi="Aptos"/>
          <w:szCs w:val="20"/>
          <w:shd w:val="clear" w:color="auto" w:fill="E7E6E6"/>
          <w:lang w:eastAsia="en-AU"/>
        </w:rPr>
      </w:r>
      <w:r w:rsidR="002678D8">
        <w:rPr>
          <w:rFonts w:ascii="Aptos" w:hAnsi="Aptos"/>
          <w:szCs w:val="20"/>
          <w:shd w:val="clear" w:color="auto" w:fill="E7E6E6"/>
          <w:lang w:eastAsia="en-AU"/>
        </w:rPr>
        <w:fldChar w:fldCharType="separate"/>
      </w:r>
      <w:r w:rsidR="009A338D">
        <w:rPr>
          <w:rFonts w:ascii="Aptos" w:hAnsi="Aptos"/>
          <w:szCs w:val="20"/>
          <w:shd w:val="clear" w:color="auto" w:fill="E7E6E6"/>
          <w:lang w:eastAsia="en-AU"/>
        </w:rPr>
        <w:t>1</w:t>
      </w:r>
      <w:r w:rsidR="002678D8">
        <w:rPr>
          <w:rFonts w:ascii="Aptos" w:hAnsi="Aptos"/>
          <w:szCs w:val="20"/>
          <w:shd w:val="clear" w:color="auto" w:fill="E7E6E6"/>
          <w:lang w:eastAsia="en-AU"/>
        </w:rPr>
        <w:fldChar w:fldCharType="end"/>
      </w:r>
      <w:r w:rsidR="002678D8">
        <w:rPr>
          <w:rFonts w:ascii="Aptos" w:hAnsi="Aptos"/>
          <w:szCs w:val="20"/>
          <w:shd w:val="clear" w:color="auto" w:fill="E7E6E6"/>
          <w:lang w:eastAsia="en-AU"/>
        </w:rPr>
        <w:t xml:space="preserve"> </w:t>
      </w:r>
      <w:r w:rsidR="002678D8" w:rsidRPr="00384900">
        <w:rPr>
          <w:rFonts w:ascii="Aptos" w:hAnsi="Aptos"/>
          <w:szCs w:val="20"/>
          <w:shd w:val="clear" w:color="auto" w:fill="E7E6E6"/>
          <w:lang w:eastAsia="en-AU"/>
        </w:rPr>
        <w:t>of this guideline for further details on application submissions requirements, assessments and decision making against these criteria.</w:t>
      </w:r>
    </w:p>
    <w:p w14:paraId="4BEE64A1" w14:textId="1FC6115D" w:rsidR="00745049" w:rsidRDefault="008D3F49" w:rsidP="00AD224B">
      <w:pPr>
        <w:pStyle w:val="Heading3"/>
        <w:rPr>
          <w:rStyle w:val="normaltextrun"/>
          <w:rFonts w:ascii="Aptos SemiBold" w:hAnsi="Aptos SemiBold"/>
          <w:color w:val="15659B"/>
          <w:shd w:val="clear" w:color="auto" w:fill="FFFFFF"/>
        </w:rPr>
      </w:pPr>
      <w:bookmarkStart w:id="98" w:name="_Toc215524957"/>
      <w:r>
        <w:rPr>
          <w:rStyle w:val="normaltextrun"/>
          <w:rFonts w:ascii="Aptos SemiBold" w:hAnsi="Aptos SemiBold"/>
          <w:color w:val="15659B"/>
          <w:shd w:val="clear" w:color="auto" w:fill="FFFFFF"/>
        </w:rPr>
        <w:t>Detailed a</w:t>
      </w:r>
      <w:r w:rsidR="00745049" w:rsidRPr="00745049">
        <w:rPr>
          <w:rStyle w:val="normaltextrun"/>
          <w:rFonts w:ascii="Aptos SemiBold" w:hAnsi="Aptos SemiBold"/>
          <w:color w:val="15659B"/>
          <w:shd w:val="clear" w:color="auto" w:fill="FFFFFF"/>
        </w:rPr>
        <w:t>pplication requirements</w:t>
      </w:r>
      <w:bookmarkEnd w:id="98"/>
    </w:p>
    <w:p w14:paraId="1596D94F" w14:textId="3B323B34" w:rsidR="00AD224B" w:rsidRPr="00AD224B" w:rsidRDefault="00AD224B" w:rsidP="00AD224B">
      <w:pPr>
        <w:pStyle w:val="Calloutbox"/>
      </w:pPr>
      <w:r>
        <w:t>Applicants should familiarise themselves with the Society of Petroleum Engineers Petroleum Resource Management System (SPE</w:t>
      </w:r>
      <w:r>
        <w:noBreakHyphen/>
        <w:t>PRMS) for standard definitions used in assessment of applications and throughout this document.</w:t>
      </w:r>
    </w:p>
    <w:p w14:paraId="0FBEF4F7" w14:textId="4EE4B6F1" w:rsidR="00176759" w:rsidRPr="004C7669" w:rsidRDefault="00867CD4" w:rsidP="00CF3EC2">
      <w:pPr>
        <w:pStyle w:val="Calloutbox"/>
      </w:pPr>
      <w:r w:rsidRPr="004C7669">
        <w:t>In addition to the requirements set out in this section of the guideline, NOPTA may also publish a factsheet providing additional details that relate to retention lease applications. The Joint Authority expects applicants to review and apply the information contained within the factsheet when making an application for the grant or renewal of a retention lease.</w:t>
      </w:r>
    </w:p>
    <w:p w14:paraId="4BC59E91" w14:textId="236E0E0F" w:rsidR="00176759" w:rsidRPr="004C7669" w:rsidRDefault="00176759" w:rsidP="00A352DC">
      <w:pPr>
        <w:pStyle w:val="ListParagraph"/>
        <w:numPr>
          <w:ilvl w:val="1"/>
          <w:numId w:val="49"/>
        </w:numPr>
        <w:ind w:left="851" w:hanging="716"/>
      </w:pPr>
      <w:r w:rsidRPr="004C7669">
        <w:t>To facilitate a timely assessment process, applications should meet the minimum expectations of the Joint Authority, as outlined in this guideline</w:t>
      </w:r>
      <w:r w:rsidR="00384900" w:rsidRPr="004C7669">
        <w:t>.</w:t>
      </w:r>
    </w:p>
    <w:p w14:paraId="1CBABF31" w14:textId="232D857F" w:rsidR="00867CD4" w:rsidRPr="004C7669" w:rsidRDefault="00867CD4" w:rsidP="00A352DC">
      <w:pPr>
        <w:pStyle w:val="ListParagraph"/>
        <w:numPr>
          <w:ilvl w:val="1"/>
          <w:numId w:val="49"/>
        </w:numPr>
        <w:ind w:left="851" w:hanging="716"/>
      </w:pPr>
      <w:bookmarkStart w:id="99" w:name="_Hlk81228990"/>
      <w:r w:rsidRPr="004C7669">
        <w:lastRenderedPageBreak/>
        <w:t>An application is to be accompanied by sufficient information to satisfy the Joint Authority that the:</w:t>
      </w:r>
    </w:p>
    <w:p w14:paraId="43458940" w14:textId="306C9674" w:rsidR="00867CD4" w:rsidRPr="004C7669" w:rsidRDefault="00867CD4" w:rsidP="00A352DC">
      <w:pPr>
        <w:pStyle w:val="ListParagraph"/>
        <w:numPr>
          <w:ilvl w:val="2"/>
          <w:numId w:val="49"/>
        </w:numPr>
        <w:ind w:hanging="373"/>
      </w:pPr>
      <w:r w:rsidRPr="004C7669">
        <w:t>Area comprised in the block, or any one or more of the blocks, specified in the application contains petroleum.</w:t>
      </w:r>
    </w:p>
    <w:p w14:paraId="5DAF3CE8" w14:textId="137ECE36" w:rsidR="00867CD4" w:rsidRPr="00867CD4" w:rsidRDefault="00867CD4" w:rsidP="00A352DC">
      <w:pPr>
        <w:pStyle w:val="ListParagraph"/>
        <w:numPr>
          <w:ilvl w:val="2"/>
          <w:numId w:val="49"/>
        </w:numPr>
        <w:ind w:hanging="373"/>
      </w:pPr>
      <w:r>
        <w:t>R</w:t>
      </w:r>
      <w:r w:rsidRPr="00867CD4">
        <w:t>ecovery of petroleum from that area is not, at the time of the application, commercially viable</w:t>
      </w:r>
      <w:r>
        <w:t>.</w:t>
      </w:r>
    </w:p>
    <w:p w14:paraId="26C07643" w14:textId="31E17245" w:rsidR="00867CD4" w:rsidRPr="00867CD4" w:rsidRDefault="00867CD4" w:rsidP="00A352DC">
      <w:pPr>
        <w:pStyle w:val="ListParagraph"/>
        <w:numPr>
          <w:ilvl w:val="2"/>
          <w:numId w:val="49"/>
        </w:numPr>
        <w:ind w:hanging="373"/>
      </w:pPr>
      <w:r>
        <w:t>R</w:t>
      </w:r>
      <w:r w:rsidRPr="00867CD4">
        <w:t>ecovery of petroleum from that area is likely to become commercially viable within 15</w:t>
      </w:r>
      <w:r w:rsidR="000556B6">
        <w:t xml:space="preserve"> </w:t>
      </w:r>
      <w:r w:rsidRPr="00867CD4">
        <w:t>years after that time</w:t>
      </w:r>
      <w:r>
        <w:t>.</w:t>
      </w:r>
    </w:p>
    <w:p w14:paraId="08DC6A38" w14:textId="4D86C0DD" w:rsidR="00AD224B" w:rsidRPr="001125B5" w:rsidRDefault="00AD224B" w:rsidP="00A352DC">
      <w:pPr>
        <w:pStyle w:val="ListParagraph"/>
        <w:numPr>
          <w:ilvl w:val="1"/>
          <w:numId w:val="49"/>
        </w:numPr>
        <w:ind w:left="851" w:hanging="716"/>
      </w:pPr>
      <w:r w:rsidRPr="001125B5">
        <w:t>The application should provide a clear and detailed discussion of the barriers impeding the commercial recovery of petroleum from the block(s). It should describe how activities undertaken to date (under a declared Location, retention lease, or production licence) have made progress towards commercialisation and how the activities in the proposed work program will actively address the remaining barriers to enable development to commence within 15</w:t>
      </w:r>
      <w:r w:rsidR="000556B6">
        <w:t xml:space="preserve"> </w:t>
      </w:r>
      <w:r w:rsidRPr="001125B5">
        <w:t>years.</w:t>
      </w:r>
    </w:p>
    <w:p w14:paraId="0AE3A0DE" w14:textId="77777777" w:rsidR="00AD224B" w:rsidRPr="00F75D5A" w:rsidRDefault="00AD224B" w:rsidP="00A352DC">
      <w:pPr>
        <w:pStyle w:val="ListParagraph"/>
        <w:numPr>
          <w:ilvl w:val="1"/>
          <w:numId w:val="49"/>
        </w:numPr>
        <w:ind w:left="851" w:hanging="716"/>
      </w:pPr>
      <w:r w:rsidRPr="00F75D5A">
        <w:t>Factors and assumptions which particularly impact on commercial viability should be clearly identified and discussed. For example, dependence on access to third party infrastructure, or a large possible range of development costs due to technical challenges.</w:t>
      </w:r>
    </w:p>
    <w:p w14:paraId="599F12CE" w14:textId="2BB6A6CE" w:rsidR="00AD224B" w:rsidRPr="00E2547A" w:rsidRDefault="00AD224B" w:rsidP="00A352DC">
      <w:pPr>
        <w:pStyle w:val="ListParagraph"/>
        <w:numPr>
          <w:ilvl w:val="1"/>
          <w:numId w:val="49"/>
        </w:numPr>
        <w:ind w:left="851" w:hanging="716"/>
      </w:pPr>
      <w:r w:rsidRPr="00F75D5A">
        <w:t>The supporting data, analytical processes, and assumptions describing the technical and commercial basis used in an application must be documented in sufficient detail to allow, as needed, a qualified reserves evaluator or qualified reserves auditor to clearly understand each project’s basis for the estimation, categorisation, and classification of recoverable resources quantities and, if appropriate, associated commercial assessment</w:t>
      </w:r>
      <w:r w:rsidRPr="00E2547A">
        <w:t>.</w:t>
      </w:r>
      <w:r w:rsidRPr="00E2547A">
        <w:rPr>
          <w:vertAlign w:val="superscript"/>
        </w:rPr>
        <w:footnoteReference w:id="2"/>
      </w:r>
      <w:r w:rsidRPr="00E2547A">
        <w:t xml:space="preserve"> </w:t>
      </w:r>
      <w:bookmarkEnd w:id="99"/>
    </w:p>
    <w:p w14:paraId="46A13E7B" w14:textId="77777777" w:rsidR="00AD224B" w:rsidRPr="00AD224B" w:rsidRDefault="00AD224B" w:rsidP="00A352DC">
      <w:pPr>
        <w:pStyle w:val="ListParagraph"/>
        <w:numPr>
          <w:ilvl w:val="1"/>
          <w:numId w:val="49"/>
        </w:numPr>
        <w:ind w:left="851" w:hanging="716"/>
      </w:pPr>
      <w:r w:rsidRPr="00AD224B">
        <w:t>The application must include a project management timeline supporting the proposed development plan that identifies:</w:t>
      </w:r>
    </w:p>
    <w:p w14:paraId="32E6BFC3" w14:textId="446D5B36" w:rsidR="00AD224B" w:rsidRPr="00AD224B" w:rsidRDefault="00AD224B" w:rsidP="00A352DC">
      <w:pPr>
        <w:pStyle w:val="ListParagraph"/>
        <w:numPr>
          <w:ilvl w:val="2"/>
          <w:numId w:val="17"/>
        </w:numPr>
        <w:ind w:hanging="373"/>
      </w:pPr>
      <w:r w:rsidRPr="00AD224B">
        <w:t>the indicative timing of key milestones and strategic decisions and movement through internal phase gates in Titleholders’ project management system</w:t>
      </w:r>
      <w:r w:rsidR="00592FFE">
        <w:t>.</w:t>
      </w:r>
    </w:p>
    <w:p w14:paraId="595775D4" w14:textId="32510507" w:rsidR="00AD224B" w:rsidRPr="00AD224B" w:rsidRDefault="00AD224B" w:rsidP="00A352DC">
      <w:pPr>
        <w:pStyle w:val="ListParagraph"/>
        <w:numPr>
          <w:ilvl w:val="2"/>
          <w:numId w:val="17"/>
        </w:numPr>
        <w:ind w:hanging="373"/>
      </w:pPr>
      <w:r w:rsidRPr="00AD224B">
        <w:t>indicative timing of commencement and completion of work program activities supporting these milestones and decisions</w:t>
      </w:r>
      <w:r w:rsidR="00592FFE">
        <w:t>.</w:t>
      </w:r>
    </w:p>
    <w:p w14:paraId="0B5025A1" w14:textId="693AB249" w:rsidR="00AD224B" w:rsidRPr="00AD224B" w:rsidRDefault="00AD224B" w:rsidP="00A352DC">
      <w:pPr>
        <w:pStyle w:val="ListParagraph"/>
        <w:numPr>
          <w:ilvl w:val="2"/>
          <w:numId w:val="17"/>
        </w:numPr>
        <w:ind w:hanging="373"/>
      </w:pPr>
      <w:r w:rsidRPr="00AD224B">
        <w:t>a critical path for work program activities</w:t>
      </w:r>
      <w:r w:rsidR="00592FFE">
        <w:t>.</w:t>
      </w:r>
    </w:p>
    <w:p w14:paraId="1CC03C46" w14:textId="77777777" w:rsidR="00AD224B" w:rsidRPr="00AD224B" w:rsidRDefault="00AD224B" w:rsidP="00A352DC">
      <w:pPr>
        <w:pStyle w:val="ListParagraph"/>
        <w:numPr>
          <w:ilvl w:val="2"/>
          <w:numId w:val="17"/>
        </w:numPr>
        <w:ind w:hanging="373"/>
      </w:pPr>
      <w:r w:rsidRPr="00AD224B">
        <w:t>anticipated timing of a final investment decision, assuming retention lease activities are successful.</w:t>
      </w:r>
    </w:p>
    <w:p w14:paraId="15D51868" w14:textId="77777777" w:rsidR="00AD224B" w:rsidRPr="00AD224B" w:rsidRDefault="00AD224B" w:rsidP="00A352DC">
      <w:pPr>
        <w:pStyle w:val="ListParagraph"/>
        <w:numPr>
          <w:ilvl w:val="1"/>
          <w:numId w:val="49"/>
        </w:numPr>
        <w:ind w:left="851" w:hanging="716"/>
      </w:pPr>
      <w:r w:rsidRPr="00AD224B">
        <w:t xml:space="preserve">The timeline should also indicate the titleholders’ intentions for the title should the activity in the lease area not yield desired results. </w:t>
      </w:r>
    </w:p>
    <w:p w14:paraId="2B16127E" w14:textId="37BBCC5D" w:rsidR="00AD224B" w:rsidRPr="004C7669" w:rsidRDefault="002E738E" w:rsidP="00A352DC">
      <w:pPr>
        <w:pStyle w:val="ListParagraph"/>
        <w:numPr>
          <w:ilvl w:val="1"/>
          <w:numId w:val="49"/>
        </w:numPr>
        <w:ind w:left="851" w:hanging="716"/>
      </w:pPr>
      <w:r>
        <w:t xml:space="preserve">It is expected </w:t>
      </w:r>
      <w:r w:rsidR="007165B1">
        <w:t xml:space="preserve">consortiums i.e. a Joint Venture </w:t>
      </w:r>
      <w:r w:rsidR="00452D63">
        <w:t xml:space="preserve">to provide commonly agreed information, for example estimates of project revenues and rate of return. </w:t>
      </w:r>
      <w:r w:rsidR="00AD224B">
        <w:t xml:space="preserve">Where for reasons of commercial propriety it is not possible for a consortium </w:t>
      </w:r>
      <w:r w:rsidR="00452D63">
        <w:t xml:space="preserve">to </w:t>
      </w:r>
      <w:r w:rsidR="002F4935">
        <w:t>provide</w:t>
      </w:r>
      <w:r w:rsidR="00452D63">
        <w:t xml:space="preserve"> this informatio</w:t>
      </w:r>
      <w:r w:rsidR="002F4935">
        <w:t xml:space="preserve">n, the application may not </w:t>
      </w:r>
      <w:proofErr w:type="gramStart"/>
      <w:r w:rsidR="002F4935">
        <w:t>progress</w:t>
      </w:r>
      <w:proofErr w:type="gramEnd"/>
      <w:r w:rsidR="002F4935">
        <w:t xml:space="preserve"> or the information is to be provided by a third party at the expense of the consortium</w:t>
      </w:r>
      <w:r w:rsidR="00AD224B">
        <w:t>.</w:t>
      </w:r>
    </w:p>
    <w:p w14:paraId="08D034E8" w14:textId="7C7767D8" w:rsidR="00AD224B" w:rsidRPr="004C7669" w:rsidRDefault="00AD224B" w:rsidP="00A352DC">
      <w:pPr>
        <w:pStyle w:val="ListParagraph"/>
        <w:numPr>
          <w:ilvl w:val="1"/>
          <w:numId w:val="49"/>
        </w:numPr>
        <w:ind w:left="851" w:hanging="716"/>
      </w:pPr>
      <w:r w:rsidRPr="004C7669">
        <w:t xml:space="preserve">If the applicant does not consider a project with positive undiscounted cash flows in the low case and a </w:t>
      </w:r>
      <w:proofErr w:type="gramStart"/>
      <w:r w:rsidR="002414F0" w:rsidRPr="001125B5">
        <w:t>best</w:t>
      </w:r>
      <w:r w:rsidR="00EE23D5" w:rsidRPr="001125B5">
        <w:t xml:space="preserve"> </w:t>
      </w:r>
      <w:r w:rsidRPr="001125B5">
        <w:t>case</w:t>
      </w:r>
      <w:proofErr w:type="gramEnd"/>
      <w:r w:rsidRPr="004C7669">
        <w:t xml:space="preserve"> IRR of 12</w:t>
      </w:r>
      <w:r w:rsidR="00BF763E">
        <w:t>%</w:t>
      </w:r>
      <w:r w:rsidRPr="004C7669">
        <w:t xml:space="preserve"> or greater to be commercially viable, the Joint Authority will require material evidence of the matters that are preventing a commercial development of the resource and how the proposed work program will address these.</w:t>
      </w:r>
    </w:p>
    <w:p w14:paraId="441DBD6E" w14:textId="77777777" w:rsidR="00ED547E" w:rsidRPr="004C7669" w:rsidRDefault="00AD224B" w:rsidP="00A352DC">
      <w:pPr>
        <w:pStyle w:val="ListParagraph"/>
        <w:numPr>
          <w:ilvl w:val="1"/>
          <w:numId w:val="49"/>
        </w:numPr>
        <w:ind w:left="851" w:hanging="716"/>
      </w:pPr>
      <w:r w:rsidRPr="004C7669">
        <w:t>Information, such as the domestic gas price, contract availability, access to markets, capital cost estimates, ullage availability in existing infrastructure and geotechnical considerations, may be tested by NOPTA using information supplied in the application, sought from the applicant as part of a request for further information, or sourced independently in assessing commerciality.</w:t>
      </w:r>
    </w:p>
    <w:p w14:paraId="5D5639F7" w14:textId="15289561" w:rsidR="00ED547E" w:rsidRPr="004C7669" w:rsidRDefault="00ED547E" w:rsidP="00A352DC">
      <w:pPr>
        <w:pStyle w:val="ListParagraph"/>
        <w:numPr>
          <w:ilvl w:val="1"/>
          <w:numId w:val="49"/>
        </w:numPr>
        <w:ind w:left="851" w:hanging="716"/>
      </w:pPr>
      <w:r w:rsidRPr="004C7669">
        <w:lastRenderedPageBreak/>
        <w:t>For renewals only, applicants should include evidence of compliance with the title conditions, chapters 2, 4, 6, and Part 7.1 of the OPGGS Act and the associated regulations. If applicable, provide details of non-compliance</w:t>
      </w:r>
      <w:r w:rsidR="00277E9F" w:rsidRPr="004C7669">
        <w:t>.</w:t>
      </w:r>
    </w:p>
    <w:p w14:paraId="0CFDC7A7" w14:textId="6644B2F7" w:rsidR="00AD224B" w:rsidRPr="004C7669" w:rsidRDefault="00AD224B" w:rsidP="00AD224B">
      <w:pPr>
        <w:pStyle w:val="Heading4"/>
      </w:pPr>
      <w:r w:rsidRPr="004C7669">
        <w:t>Proposed work program</w:t>
      </w:r>
    </w:p>
    <w:p w14:paraId="6649E121" w14:textId="480E6E72" w:rsidR="00277E9F" w:rsidRPr="001125B5" w:rsidRDefault="00463C52" w:rsidP="00A352DC">
      <w:pPr>
        <w:pStyle w:val="ListParagraph"/>
        <w:numPr>
          <w:ilvl w:val="1"/>
          <w:numId w:val="49"/>
        </w:numPr>
        <w:ind w:left="851" w:hanging="716"/>
      </w:pPr>
      <w:r w:rsidRPr="001125B5">
        <w:t xml:space="preserve">A retention lease will be granted subject to a five-year work program. The proposed work program is to be able to be commenced and completed within the five-year timeframe with each work activity designed to </w:t>
      </w:r>
      <w:r w:rsidR="004106EE" w:rsidRPr="001125B5">
        <w:t xml:space="preserve">proactively </w:t>
      </w:r>
      <w:r w:rsidRPr="001125B5">
        <w:t>remove the barriers to the commercialisation of the resource</w:t>
      </w:r>
      <w:r w:rsidR="004106EE" w:rsidRPr="001125B5">
        <w:t xml:space="preserve"> and progress towards development</w:t>
      </w:r>
      <w:r w:rsidRPr="001125B5">
        <w:t>.</w:t>
      </w:r>
    </w:p>
    <w:p w14:paraId="5FD435E4" w14:textId="2DA21C8F" w:rsidR="00277E9F" w:rsidRPr="001125B5" w:rsidRDefault="00277E9F" w:rsidP="00A352DC">
      <w:pPr>
        <w:pStyle w:val="ListParagraph"/>
        <w:numPr>
          <w:ilvl w:val="1"/>
          <w:numId w:val="49"/>
        </w:numPr>
        <w:ind w:left="851" w:hanging="716"/>
      </w:pPr>
      <w:r w:rsidRPr="001125B5">
        <w:t xml:space="preserve">The work program is the key evidence </w:t>
      </w:r>
      <w:r w:rsidRPr="001125B5" w:rsidDel="001E537A">
        <w:t>to support the likelihood</w:t>
      </w:r>
      <w:r w:rsidRPr="001125B5">
        <w:t xml:space="preserve"> of</w:t>
      </w:r>
      <w:r w:rsidR="007978DF" w:rsidRPr="001125B5">
        <w:t xml:space="preserve"> </w:t>
      </w:r>
      <w:r w:rsidR="00F50F31" w:rsidRPr="001125B5">
        <w:t>whether</w:t>
      </w:r>
      <w:r w:rsidRPr="001125B5">
        <w:t xml:space="preserve"> a resource </w:t>
      </w:r>
      <w:r w:rsidR="00F50F31" w:rsidRPr="001125B5">
        <w:t xml:space="preserve">is likely to </w:t>
      </w:r>
      <w:r w:rsidRPr="001125B5">
        <w:t>becom</w:t>
      </w:r>
      <w:r w:rsidR="00F50F31" w:rsidRPr="001125B5">
        <w:t>e</w:t>
      </w:r>
      <w:r w:rsidRPr="001125B5">
        <w:t xml:space="preserve"> commercially viable within 15</w:t>
      </w:r>
      <w:r w:rsidR="008555D3" w:rsidRPr="001125B5">
        <w:t xml:space="preserve"> </w:t>
      </w:r>
      <w:r w:rsidRPr="001125B5">
        <w:t>years</w:t>
      </w:r>
      <w:r w:rsidR="00D74694" w:rsidRPr="001125B5">
        <w:t xml:space="preserve"> from the date of application</w:t>
      </w:r>
      <w:r w:rsidRPr="001125B5">
        <w:t>. Detailed information on the activities, and how they will address barriers to commercialisation must be provided as part of an application.</w:t>
      </w:r>
    </w:p>
    <w:p w14:paraId="699C718F" w14:textId="2D64B2B7" w:rsidR="00463C52" w:rsidRPr="00463C52" w:rsidRDefault="00463C52" w:rsidP="00A352DC">
      <w:pPr>
        <w:pStyle w:val="ListParagraph"/>
        <w:numPr>
          <w:ilvl w:val="1"/>
          <w:numId w:val="49"/>
        </w:numPr>
        <w:ind w:left="851" w:hanging="716"/>
      </w:pPr>
      <w:r w:rsidRPr="00463C52">
        <w:t>Work programs are unique to each retention lease. Where a resource is located across two or more adjacent titles held by the same applicant, and applications are being made for each of the titles, there should be a standalone work program in each application with work program activities and indicative expenditure specific to each title.</w:t>
      </w:r>
    </w:p>
    <w:p w14:paraId="03BA2B75" w14:textId="33FE1472" w:rsidR="00B536E3" w:rsidRDefault="00463C52" w:rsidP="00A352DC">
      <w:pPr>
        <w:pStyle w:val="ListParagraph"/>
        <w:numPr>
          <w:ilvl w:val="1"/>
          <w:numId w:val="49"/>
        </w:numPr>
        <w:ind w:left="851" w:hanging="716"/>
      </w:pPr>
      <w:r w:rsidRPr="00463C52">
        <w:t xml:space="preserve">Applications must include the completed proposed work program and expenditure table in the relevant Petroleum Retention Lease application form (grant or renewal). </w:t>
      </w:r>
      <w:r w:rsidR="00284F8E">
        <w:t>I</w:t>
      </w:r>
      <w:r w:rsidR="00AB5C28">
        <w:t>t i</w:t>
      </w:r>
      <w:r w:rsidR="00284F8E">
        <w:t xml:space="preserve">s the </w:t>
      </w:r>
      <w:r w:rsidR="00C75AFC">
        <w:t xml:space="preserve">Joint Authority’s expectation that the proposed work program </w:t>
      </w:r>
      <w:r w:rsidR="006C5993">
        <w:t>contains sufficient detail that can be reported against in an</w:t>
      </w:r>
      <w:r w:rsidR="00A107A2">
        <w:t xml:space="preserve"> Annual Title Assessment Report (</w:t>
      </w:r>
      <w:r w:rsidR="006C5993">
        <w:t>ATAR</w:t>
      </w:r>
      <w:r w:rsidR="00A107A2">
        <w:t>)</w:t>
      </w:r>
      <w:r w:rsidR="00042C2B">
        <w:t xml:space="preserve">. </w:t>
      </w:r>
      <w:r w:rsidR="00042C2B" w:rsidRPr="00463C52">
        <w:t>All expected activities should be explicitly addressed as separate items in the work program table. Where engineering, environmental or marketing studies are proposed clear descriptions of the work to be undertaken will be required.</w:t>
      </w:r>
    </w:p>
    <w:p w14:paraId="4B0A28BC" w14:textId="77777777" w:rsidR="0091312F" w:rsidRDefault="00463C52" w:rsidP="00A352DC">
      <w:pPr>
        <w:pStyle w:val="ListParagraph"/>
        <w:numPr>
          <w:ilvl w:val="1"/>
          <w:numId w:val="49"/>
        </w:numPr>
        <w:ind w:left="851" w:hanging="716"/>
      </w:pPr>
      <w:r w:rsidRPr="00463C52">
        <w:t xml:space="preserve">The work program activities should address areas where information to support commercial decisions is insufficient. For example, improved resource definition may require improved seismic definition, appraisal drilling, environmental studies or other technical activities. </w:t>
      </w:r>
      <w:r w:rsidR="00DC040E" w:rsidRPr="00463C52">
        <w:t>In addition, applications should contain a detailed discussion of how the work program addresses the primary constraints to development of the petroleum resource.</w:t>
      </w:r>
    </w:p>
    <w:p w14:paraId="5D1A97E9" w14:textId="77777777" w:rsidR="0091312F" w:rsidRDefault="00463C52" w:rsidP="00A352DC">
      <w:pPr>
        <w:pStyle w:val="ListParagraph"/>
        <w:numPr>
          <w:ilvl w:val="1"/>
          <w:numId w:val="49"/>
        </w:numPr>
        <w:ind w:left="851" w:hanging="716"/>
      </w:pPr>
      <w:r w:rsidRPr="00463C52">
        <w:t>Activities are expected to be specific, measurable, achievable, relevant and able to be completed within the retention lease period. The phasing of any activities should be identified and reflect a projects progression through the appraisal, pre-FEED, and FEED stages of the project lifecycle. Vague, generic and open-ended activities should be avoided as they are not able to be evaluated as completed or performed during the term of the proposed Retention Lease.</w:t>
      </w:r>
    </w:p>
    <w:p w14:paraId="3A7B9F64" w14:textId="77777777" w:rsidR="0091312F" w:rsidRPr="001125B5" w:rsidRDefault="00463C52" w:rsidP="00A352DC">
      <w:pPr>
        <w:pStyle w:val="ListParagraph"/>
        <w:numPr>
          <w:ilvl w:val="1"/>
          <w:numId w:val="49"/>
        </w:numPr>
        <w:ind w:left="851" w:hanging="716"/>
      </w:pPr>
      <w:r w:rsidRPr="001125B5">
        <w:t>The application must provide a breakdown of work program activities by year (with regards to timing, the activities proposed and the level of effort). It should be consistent with what would be expected for a project classified as development pending under the SPE-PRMS, and consistent with the project management timeline. Estimated expenditure on each activity must be provided, in Australian dollars.</w:t>
      </w:r>
    </w:p>
    <w:p w14:paraId="6C97131E" w14:textId="3F2E64BA" w:rsidR="00463C52" w:rsidRPr="00463C52" w:rsidRDefault="00463C52" w:rsidP="00A352DC">
      <w:pPr>
        <w:pStyle w:val="ListParagraph"/>
        <w:numPr>
          <w:ilvl w:val="1"/>
          <w:numId w:val="49"/>
        </w:numPr>
        <w:ind w:left="851" w:hanging="716"/>
      </w:pPr>
      <w:r w:rsidRPr="00463C52">
        <w:t xml:space="preserve">Reporting on the outcomes of activities carried out in addressing the barriers to development is required through the ATARs. Detailed information on all work, evaluations and studies and the results of those must be provided, including for geotechnical studies, commercial studies, and internal or </w:t>
      </w:r>
      <w:proofErr w:type="gramStart"/>
      <w:r w:rsidRPr="00463C52">
        <w:t>third</w:t>
      </w:r>
      <w:r w:rsidR="00390D16">
        <w:t xml:space="preserve"> </w:t>
      </w:r>
      <w:r w:rsidRPr="00463C52">
        <w:t>party</w:t>
      </w:r>
      <w:proofErr w:type="gramEnd"/>
      <w:r w:rsidRPr="00463C52">
        <w:t xml:space="preserve"> reviews of development concepts. The ATAR should show progress against the project management timeline and explain any deviation from the initial timeline.</w:t>
      </w:r>
    </w:p>
    <w:p w14:paraId="7AC559F6" w14:textId="7D367473" w:rsidR="00463C52" w:rsidRDefault="00463C52" w:rsidP="00A352DC">
      <w:pPr>
        <w:pStyle w:val="ListParagraph"/>
        <w:numPr>
          <w:ilvl w:val="1"/>
          <w:numId w:val="49"/>
        </w:numPr>
        <w:ind w:left="851" w:hanging="716"/>
      </w:pPr>
      <w:r w:rsidRPr="00463C52">
        <w:t>It is expected that the work program will be designed to enable the development of the resource at the earliest opportunity and within 15</w:t>
      </w:r>
      <w:r w:rsidR="00203238">
        <w:t xml:space="preserve"> </w:t>
      </w:r>
      <w:r w:rsidRPr="00463C52">
        <w:t>years. Work programs with minimal commitments, indicating the project is classified as on hold or not viable for development under SPE-PRMS definitions, may be deemed insufficient to actively address barriers to commercialisation and allow development to commence within 15</w:t>
      </w:r>
      <w:r w:rsidR="00203238">
        <w:t xml:space="preserve"> </w:t>
      </w:r>
      <w:r w:rsidRPr="00463C52">
        <w:t>years.</w:t>
      </w:r>
    </w:p>
    <w:p w14:paraId="78F2657E" w14:textId="3778AC1A" w:rsidR="0006060E" w:rsidRPr="00AA7DFE" w:rsidRDefault="00546983" w:rsidP="00A352DC">
      <w:pPr>
        <w:pStyle w:val="ListParagraph"/>
        <w:numPr>
          <w:ilvl w:val="1"/>
          <w:numId w:val="49"/>
        </w:numPr>
        <w:ind w:left="851" w:hanging="716"/>
      </w:pPr>
      <w:r w:rsidRPr="00AA7DFE">
        <w:lastRenderedPageBreak/>
        <w:t xml:space="preserve">Where work programs and activities include commercially sensitive activities, the titleholder </w:t>
      </w:r>
      <w:r w:rsidR="005900AF" w:rsidRPr="00AA7DFE">
        <w:t>may</w:t>
      </w:r>
      <w:r w:rsidR="00121088" w:rsidRPr="00AA7DFE">
        <w:t xml:space="preserve"> submit a separate work program in its application</w:t>
      </w:r>
      <w:r w:rsidRPr="00AA7DFE">
        <w:t xml:space="preserve"> to NOPTA</w:t>
      </w:r>
      <w:r w:rsidR="0006060E" w:rsidRPr="00AA7DFE" w:rsidDel="00B34067">
        <w:t xml:space="preserve"> </w:t>
      </w:r>
      <w:r w:rsidR="00644692" w:rsidRPr="00AA7DFE">
        <w:t>for consideration by the J</w:t>
      </w:r>
      <w:r w:rsidR="00AA7DFE">
        <w:t xml:space="preserve">oint </w:t>
      </w:r>
      <w:r w:rsidR="00644692" w:rsidRPr="00AA7DFE">
        <w:t>A</w:t>
      </w:r>
      <w:r w:rsidR="00AA7DFE">
        <w:t>uthority</w:t>
      </w:r>
      <w:r w:rsidR="00644692" w:rsidRPr="00AA7DFE">
        <w:t>.</w:t>
      </w:r>
    </w:p>
    <w:p w14:paraId="7C85C34E" w14:textId="269A0E0F" w:rsidR="00E315D3" w:rsidRPr="00AA7DFE" w:rsidRDefault="0006060E" w:rsidP="00A352DC">
      <w:pPr>
        <w:pStyle w:val="ListParagraph"/>
        <w:numPr>
          <w:ilvl w:val="1"/>
          <w:numId w:val="49"/>
        </w:numPr>
        <w:ind w:left="851" w:hanging="716"/>
      </w:pPr>
      <w:r w:rsidRPr="00AA7DFE" w:rsidDel="00B34067">
        <w:t xml:space="preserve">An </w:t>
      </w:r>
      <w:r w:rsidRPr="00AA7DFE">
        <w:t xml:space="preserve">example of general work program activities and detailed work program descriptions </w:t>
      </w:r>
      <w:r w:rsidRPr="00AA7DFE" w:rsidDel="00E859CF">
        <w:t>is below</w:t>
      </w:r>
      <w:r w:rsidRPr="00AA7DFE">
        <w:t xml:space="preserve"> in Table 1.</w:t>
      </w:r>
    </w:p>
    <w:p w14:paraId="65FDE60E" w14:textId="6B7370DE" w:rsidR="00831BEE" w:rsidRPr="00AA7DFE" w:rsidRDefault="00D72BEB" w:rsidP="00831BEE">
      <w:pPr>
        <w:rPr>
          <w:b/>
        </w:rPr>
      </w:pPr>
      <w:r w:rsidRPr="00AA7DFE">
        <w:rPr>
          <w:b/>
        </w:rPr>
        <w:t xml:space="preserve">Table1. </w:t>
      </w:r>
    </w:p>
    <w:tbl>
      <w:tblPr>
        <w:tblStyle w:val="ListTable3-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6"/>
      </w:tblGrid>
      <w:tr w:rsidR="003E7DBB" w:rsidRPr="003A540A" w14:paraId="2E814B7B" w14:textId="77777777" w:rsidTr="003E7DBB">
        <w:trPr>
          <w:cnfStyle w:val="100000000000" w:firstRow="1" w:lastRow="0" w:firstColumn="0" w:lastColumn="0" w:oddVBand="0" w:evenVBand="0" w:oddHBand="0" w:evenHBand="0" w:firstRowFirstColumn="0" w:firstRowLastColumn="0" w:lastRowFirstColumn="0" w:lastRowLastColumn="0"/>
          <w:trHeight w:val="795"/>
        </w:trPr>
        <w:tc>
          <w:tcPr>
            <w:cnfStyle w:val="001000000100" w:firstRow="0" w:lastRow="0" w:firstColumn="1" w:lastColumn="0" w:oddVBand="0" w:evenVBand="0" w:oddHBand="0" w:evenHBand="0" w:firstRowFirstColumn="1" w:firstRowLastColumn="0" w:lastRowFirstColumn="0" w:lastRowLastColumn="0"/>
            <w:tcW w:w="3256" w:type="dxa"/>
            <w:tcBorders>
              <w:bottom w:val="none" w:sz="0" w:space="0" w:color="auto"/>
              <w:right w:val="none" w:sz="0" w:space="0" w:color="auto"/>
            </w:tcBorders>
            <w:hideMark/>
          </w:tcPr>
          <w:p w14:paraId="5D1B2452" w14:textId="77777777" w:rsidR="003E7DBB" w:rsidRPr="00AA7DFE" w:rsidRDefault="003E7DBB">
            <w:pPr>
              <w:rPr>
                <w:rFonts w:ascii="Aptos" w:eastAsia="Times New Roman" w:hAnsi="Aptos"/>
                <w:color w:val="auto"/>
              </w:rPr>
            </w:pPr>
            <w:r w:rsidRPr="00AA7DFE">
              <w:rPr>
                <w:rFonts w:ascii="Aptos" w:eastAsia="Times New Roman" w:hAnsi="Aptos"/>
                <w:color w:val="auto"/>
              </w:rPr>
              <w:t>Examples of general work program activities</w:t>
            </w:r>
          </w:p>
        </w:tc>
        <w:tc>
          <w:tcPr>
            <w:tcW w:w="5386" w:type="dxa"/>
            <w:hideMark/>
          </w:tcPr>
          <w:p w14:paraId="754D3899" w14:textId="08FA179F" w:rsidR="003E7DBB" w:rsidRPr="00AA7DFE" w:rsidRDefault="003E7DBB">
            <w:pPr>
              <w:cnfStyle w:val="100000000000" w:firstRow="1" w:lastRow="0" w:firstColumn="0" w:lastColumn="0" w:oddVBand="0" w:evenVBand="0" w:oddHBand="0" w:evenHBand="0" w:firstRowFirstColumn="0" w:firstRowLastColumn="0" w:lastRowFirstColumn="0" w:lastRowLastColumn="0"/>
              <w:rPr>
                <w:rFonts w:ascii="Aptos" w:eastAsia="Times New Roman" w:hAnsi="Aptos"/>
                <w:color w:val="auto"/>
              </w:rPr>
            </w:pPr>
            <w:r w:rsidRPr="00AA7DFE">
              <w:rPr>
                <w:rFonts w:ascii="Aptos" w:eastAsia="Times New Roman" w:hAnsi="Aptos"/>
                <w:color w:val="auto"/>
              </w:rPr>
              <w:t>Detailed work program activity requirement</w:t>
            </w:r>
            <w:r w:rsidR="00367785" w:rsidRPr="00AA7DFE">
              <w:rPr>
                <w:rFonts w:ascii="Aptos" w:eastAsia="Times New Roman" w:hAnsi="Aptos"/>
                <w:color w:val="auto"/>
              </w:rPr>
              <w:t>s</w:t>
            </w:r>
          </w:p>
        </w:tc>
      </w:tr>
      <w:tr w:rsidR="003E7DBB" w:rsidRPr="003A540A" w14:paraId="16D1D9D4" w14:textId="77777777" w:rsidTr="00643010">
        <w:trPr>
          <w:cnfStyle w:val="000000100000" w:firstRow="0" w:lastRow="0" w:firstColumn="0" w:lastColumn="0" w:oddVBand="0" w:evenVBand="0" w:oddHBand="1" w:evenHBand="0" w:firstRowFirstColumn="0" w:firstRowLastColumn="0" w:lastRowFirstColumn="0" w:lastRowLastColumn="0"/>
          <w:trHeight w:val="1578"/>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hideMark/>
          </w:tcPr>
          <w:p w14:paraId="313977F0" w14:textId="77777777" w:rsidR="003E7DBB" w:rsidRPr="001125B5" w:rsidRDefault="003E7DBB">
            <w:pPr>
              <w:rPr>
                <w:rFonts w:eastAsiaTheme="minorEastAsia"/>
                <w:color w:val="000000" w:themeColor="text1"/>
                <w:szCs w:val="20"/>
              </w:rPr>
            </w:pPr>
            <w:r w:rsidRPr="001125B5">
              <w:rPr>
                <w:rFonts w:eastAsiaTheme="minorEastAsia"/>
                <w:color w:val="000000" w:themeColor="text1"/>
                <w:szCs w:val="20"/>
              </w:rPr>
              <w:t>Subsurface and engineering studies to refine gas-in place volumes, contingent resources, development plan assumptions and production forecasts.</w:t>
            </w:r>
          </w:p>
        </w:tc>
        <w:tc>
          <w:tcPr>
            <w:tcW w:w="5386" w:type="dxa"/>
            <w:tcBorders>
              <w:top w:val="none" w:sz="0" w:space="0" w:color="auto"/>
              <w:bottom w:val="none" w:sz="0" w:space="0" w:color="auto"/>
            </w:tcBorders>
            <w:hideMark/>
          </w:tcPr>
          <w:p w14:paraId="04BB0C41" w14:textId="2B3E6C8D" w:rsidR="003E7DBB" w:rsidRPr="001125B5" w:rsidRDefault="003E7DBB">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Include details of specific studies i.e. data acquisition, seismic interpretation/reprocessing, subsurface static and/or dynamic modelling, well-related activities, etc. to be undertaken during the period and how this will address or contribute to required outcomes.</w:t>
            </w:r>
          </w:p>
        </w:tc>
      </w:tr>
      <w:tr w:rsidR="003E7DBB" w:rsidRPr="003A540A" w14:paraId="68500434" w14:textId="77777777" w:rsidTr="00643010">
        <w:trPr>
          <w:trHeight w:val="1687"/>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hideMark/>
          </w:tcPr>
          <w:p w14:paraId="0B9E670C" w14:textId="77777777" w:rsidR="003E7DBB" w:rsidRPr="001125B5" w:rsidRDefault="003E7DBB">
            <w:pPr>
              <w:rPr>
                <w:rFonts w:eastAsiaTheme="minorEastAsia"/>
                <w:color w:val="000000" w:themeColor="text1"/>
                <w:szCs w:val="20"/>
              </w:rPr>
            </w:pPr>
            <w:r w:rsidRPr="001125B5">
              <w:rPr>
                <w:rFonts w:eastAsiaTheme="minorEastAsia"/>
                <w:color w:val="000000" w:themeColor="text1"/>
                <w:szCs w:val="20"/>
              </w:rPr>
              <w:t>FEED concept studies to refine costs of drilling and completion, subsea infrastructure, offshore facilities, and downstream components for all development concepts.</w:t>
            </w:r>
          </w:p>
        </w:tc>
        <w:tc>
          <w:tcPr>
            <w:tcW w:w="5386" w:type="dxa"/>
            <w:hideMark/>
          </w:tcPr>
          <w:p w14:paraId="56E3E058" w14:textId="77777777" w:rsidR="003E7DBB" w:rsidRPr="001125B5" w:rsidRDefault="003E7DBB">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Provide clarity around whether activities relate to pre-FEED or FEED.</w:t>
            </w:r>
          </w:p>
          <w:p w14:paraId="7F227784" w14:textId="77777777" w:rsidR="003E7DBB" w:rsidRPr="001125B5" w:rsidRDefault="003E7DBB">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Include details of specific studies to be undertaken during the period and how this will address or contribute to required outcomes.</w:t>
            </w:r>
          </w:p>
        </w:tc>
      </w:tr>
      <w:tr w:rsidR="003E7DBB" w:rsidRPr="003A540A" w14:paraId="140411CD" w14:textId="77777777" w:rsidTr="00643010">
        <w:trPr>
          <w:cnfStyle w:val="000000100000" w:firstRow="0" w:lastRow="0" w:firstColumn="0" w:lastColumn="0" w:oddVBand="0" w:evenVBand="0" w:oddHBand="1" w:evenHBand="0" w:firstRowFirstColumn="0" w:firstRowLastColumn="0" w:lastRowFirstColumn="0" w:lastRowLastColumn="0"/>
          <w:trHeight w:val="2391"/>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hideMark/>
          </w:tcPr>
          <w:p w14:paraId="60BE2577" w14:textId="77777777" w:rsidR="003E7DBB" w:rsidRPr="001125B5" w:rsidRDefault="003E7DBB">
            <w:pPr>
              <w:rPr>
                <w:rFonts w:eastAsiaTheme="minorEastAsia"/>
                <w:color w:val="000000" w:themeColor="text1"/>
                <w:szCs w:val="20"/>
              </w:rPr>
            </w:pPr>
            <w:r w:rsidRPr="001125B5">
              <w:rPr>
                <w:rFonts w:eastAsiaTheme="minorEastAsia"/>
                <w:color w:val="000000" w:themeColor="text1"/>
                <w:szCs w:val="20"/>
              </w:rPr>
              <w:t>Commercial engagements and marketing studies.</w:t>
            </w:r>
          </w:p>
        </w:tc>
        <w:tc>
          <w:tcPr>
            <w:tcW w:w="5386" w:type="dxa"/>
            <w:tcBorders>
              <w:top w:val="none" w:sz="0" w:space="0" w:color="auto"/>
              <w:bottom w:val="none" w:sz="0" w:space="0" w:color="auto"/>
            </w:tcBorders>
            <w:hideMark/>
          </w:tcPr>
          <w:p w14:paraId="79B0399E" w14:textId="098BC7C2" w:rsidR="003E7DBB" w:rsidRPr="001125B5" w:rsidRDefault="003E7DBB">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Provide details of specific commercial activities to be undertaken, such as engagement with other resource and infrastructure owners and provide details of how progress towards development will be demonstrated.</w:t>
            </w:r>
          </w:p>
          <w:p w14:paraId="789F581C" w14:textId="77777777" w:rsidR="003E7DBB" w:rsidRPr="001125B5" w:rsidRDefault="003E7DBB">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Include details of specific studies to be undertaken in relation to marketing and markets under consideration – activities should specifically relate to the project rather than general market observations.</w:t>
            </w:r>
          </w:p>
        </w:tc>
      </w:tr>
      <w:tr w:rsidR="003E7DBB" w14:paraId="1CFCB703" w14:textId="77777777" w:rsidTr="00643010">
        <w:trPr>
          <w:trHeight w:val="1831"/>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hideMark/>
          </w:tcPr>
          <w:p w14:paraId="7B2BA10A" w14:textId="77777777" w:rsidR="003E7DBB" w:rsidRPr="001125B5" w:rsidRDefault="003E7DBB">
            <w:pPr>
              <w:rPr>
                <w:rFonts w:eastAsiaTheme="minorEastAsia"/>
                <w:color w:val="000000" w:themeColor="text1"/>
                <w:szCs w:val="20"/>
              </w:rPr>
            </w:pPr>
            <w:r w:rsidRPr="001125B5">
              <w:rPr>
                <w:rFonts w:eastAsiaTheme="minorEastAsia"/>
                <w:color w:val="000000" w:themeColor="text1"/>
                <w:szCs w:val="20"/>
              </w:rPr>
              <w:t>Timeline for key decisions</w:t>
            </w:r>
          </w:p>
        </w:tc>
        <w:tc>
          <w:tcPr>
            <w:tcW w:w="5386" w:type="dxa"/>
            <w:hideMark/>
          </w:tcPr>
          <w:p w14:paraId="53CDE5FB" w14:textId="77777777" w:rsidR="003E7DBB" w:rsidRDefault="003E7DBB">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rPr>
            </w:pPr>
            <w:r w:rsidRPr="001125B5">
              <w:rPr>
                <w:rFonts w:ascii="Aptos" w:eastAsia="Times New Roman" w:hAnsi="Aptos"/>
                <w:color w:val="000000"/>
              </w:rPr>
              <w:t>Provide a Gantt chart (or similar) showing critical activities, including key decisions and milestones, to be undertaking to progress towards development and (ultimately) a final investment decision. This should include proposed timing of submission of a Field Development Plan and Petroleum Production Licence.</w:t>
            </w:r>
          </w:p>
        </w:tc>
      </w:tr>
    </w:tbl>
    <w:p w14:paraId="5F7216F4" w14:textId="01D39BB4" w:rsidR="00AD224B" w:rsidRDefault="00B86287" w:rsidP="00B86287">
      <w:pPr>
        <w:pStyle w:val="Heading4"/>
      </w:pPr>
      <w:r>
        <w:t>Existing knowledge of the field</w:t>
      </w:r>
    </w:p>
    <w:p w14:paraId="58B415A1" w14:textId="683B6391" w:rsidR="00B86287" w:rsidRDefault="00B86287" w:rsidP="00A352DC">
      <w:pPr>
        <w:pStyle w:val="ListParagraph"/>
        <w:numPr>
          <w:ilvl w:val="1"/>
          <w:numId w:val="49"/>
        </w:numPr>
        <w:ind w:left="851" w:hanging="716"/>
      </w:pPr>
      <w:r>
        <w:t>Applicants should demonstrate existing knowledge of the field, including mapping</w:t>
      </w:r>
      <w:r w:rsidR="00F8375F">
        <w:t xml:space="preserve"> </w:t>
      </w:r>
      <w:r w:rsidR="008B29E6">
        <w:t>discovered</w:t>
      </w:r>
      <w:r>
        <w:t xml:space="preserve"> in-place and ultimate recoverable resource estimates at proved, probable and possible (1C/P90, 2C/P50 and 3C/P10) levels, and any critical </w:t>
      </w:r>
      <w:r w:rsidRPr="0055724B">
        <w:t xml:space="preserve">uncertainties relating to these estimates. Resources should be presented in a tabular format. </w:t>
      </w:r>
      <w:r w:rsidRPr="00596F0B">
        <w:t xml:space="preserve">Undrilled prospects should be separately </w:t>
      </w:r>
      <w:r w:rsidRPr="00361167">
        <w:t>identified.</w:t>
      </w:r>
    </w:p>
    <w:p w14:paraId="7BB7150A" w14:textId="25E93D2F" w:rsidR="00CF3BDB" w:rsidRDefault="00CF3BDB" w:rsidP="00782124">
      <w:pPr>
        <w:pStyle w:val="Calloutbox"/>
      </w:pPr>
      <w:r>
        <w:t xml:space="preserve">Refer to </w:t>
      </w:r>
      <w:hyperlink r:id="rId29" w:history="1">
        <w:r w:rsidRPr="0042566A">
          <w:rPr>
            <w:rStyle w:val="Hyperlink"/>
          </w:rPr>
          <w:t>NOPTA’s website for a template</w:t>
        </w:r>
      </w:hyperlink>
      <w:r>
        <w:t xml:space="preserve"> to be used for prospective resource reporting.</w:t>
      </w:r>
    </w:p>
    <w:p w14:paraId="0FAE9E7A" w14:textId="23AEF1BF" w:rsidR="00B86287" w:rsidRDefault="00B86287" w:rsidP="00A352DC">
      <w:pPr>
        <w:pStyle w:val="ListParagraph"/>
        <w:numPr>
          <w:ilvl w:val="1"/>
          <w:numId w:val="49"/>
        </w:numPr>
        <w:ind w:left="851" w:hanging="716"/>
      </w:pPr>
      <w:r>
        <w:t>ESRI Shapefile, Geodatabase file or a spreadsheet with the coordinate listing (latitude, longitude and datum) of pool/field should be provided.</w:t>
      </w:r>
    </w:p>
    <w:p w14:paraId="390271C2" w14:textId="7FCE0384" w:rsidR="00B86287" w:rsidRDefault="00B86287" w:rsidP="00A352DC">
      <w:pPr>
        <w:pStyle w:val="ListParagraph"/>
        <w:numPr>
          <w:ilvl w:val="1"/>
          <w:numId w:val="49"/>
        </w:numPr>
        <w:ind w:left="851" w:hanging="716"/>
      </w:pPr>
      <w:r>
        <w:t xml:space="preserve">The anticipated production profile of low and </w:t>
      </w:r>
      <w:proofErr w:type="gramStart"/>
      <w:r w:rsidR="00924C96">
        <w:t xml:space="preserve">best </w:t>
      </w:r>
      <w:r>
        <w:t>case</w:t>
      </w:r>
      <w:proofErr w:type="gramEnd"/>
      <w:r>
        <w:t xml:space="preserve"> contingent resources, with a breakdown into gas, condensate, and oil phases for each level of certainty, should be provided </w:t>
      </w:r>
      <w:r>
        <w:lastRenderedPageBreak/>
        <w:t>and presented graphically and in a tabular form. Tables should be submitted in digital format i.e. comma-separated values. These should provide support for the sales product line in project cash flows. If these estimates differ from resource estimates previously provided to NOPTA, an explanation must be included for the difference.</w:t>
      </w:r>
    </w:p>
    <w:p w14:paraId="30CE0DE4" w14:textId="2D1155E9" w:rsidR="00B86287" w:rsidRDefault="00B86287" w:rsidP="00B86287">
      <w:pPr>
        <w:pStyle w:val="Heading4"/>
      </w:pPr>
      <w:r>
        <w:t>Development concepts</w:t>
      </w:r>
    </w:p>
    <w:p w14:paraId="47F7A563" w14:textId="77777777" w:rsidR="00B86287" w:rsidRPr="00B86287" w:rsidRDefault="00B86287" w:rsidP="00A352DC">
      <w:pPr>
        <w:pStyle w:val="ListParagraph"/>
        <w:numPr>
          <w:ilvl w:val="1"/>
          <w:numId w:val="49"/>
        </w:numPr>
        <w:ind w:left="851" w:hanging="716"/>
      </w:pPr>
      <w:r w:rsidRPr="00B86287">
        <w:t>An application should adequately consider all reasonable development concepts including oil, domestic gas, liquefied natural gas and gas to liquids, as appropriate. This should include:</w:t>
      </w:r>
    </w:p>
    <w:p w14:paraId="0290A89A" w14:textId="2A03CF14" w:rsidR="00B86287" w:rsidRPr="00B86287" w:rsidRDefault="00B86287" w:rsidP="00A352DC">
      <w:pPr>
        <w:pStyle w:val="ListParagraph"/>
        <w:numPr>
          <w:ilvl w:val="2"/>
          <w:numId w:val="18"/>
        </w:numPr>
        <w:ind w:hanging="373"/>
      </w:pPr>
      <w:r w:rsidRPr="00B86287">
        <w:t>a detailed assessment, discussion and comparison of the option(s) including schematics, timeframes and advantages or disadvantages of each.</w:t>
      </w:r>
    </w:p>
    <w:p w14:paraId="52BEE6B5" w14:textId="3341CB2B" w:rsidR="00483370" w:rsidRPr="00B86287" w:rsidRDefault="00B86287" w:rsidP="00A352DC">
      <w:pPr>
        <w:pStyle w:val="ListParagraph"/>
        <w:numPr>
          <w:ilvl w:val="2"/>
          <w:numId w:val="18"/>
        </w:numPr>
        <w:ind w:hanging="373"/>
      </w:pPr>
      <w:r w:rsidRPr="00B86287">
        <w:t>sufficient information across all development options to support an assessment of the technical viability of the concepts. The information provided should be consistent across development concepts.</w:t>
      </w:r>
    </w:p>
    <w:p w14:paraId="6C67E93F" w14:textId="6C00AB46" w:rsidR="00B86287" w:rsidRPr="00B86287" w:rsidRDefault="00B86287" w:rsidP="00A352DC">
      <w:pPr>
        <w:pStyle w:val="ListParagraph"/>
        <w:numPr>
          <w:ilvl w:val="1"/>
          <w:numId w:val="49"/>
        </w:numPr>
        <w:ind w:left="851" w:hanging="716"/>
      </w:pPr>
      <w:r w:rsidRPr="00B86287">
        <w:t xml:space="preserve">All concepts with line of sight to production and potential to become commercially viable should be progressed until a concept select decision has been taken. The </w:t>
      </w:r>
      <w:r w:rsidR="00ED547E">
        <w:t>a</w:t>
      </w:r>
      <w:r w:rsidRPr="00B86287">
        <w:t xml:space="preserve">pplication should provide the </w:t>
      </w:r>
      <w:r w:rsidR="00ED547E">
        <w:t>t</w:t>
      </w:r>
      <w:r w:rsidRPr="00B86287">
        <w:t xml:space="preserve">itleholders’ assessment of the likelihood of each concept proceeding to development. </w:t>
      </w:r>
    </w:p>
    <w:p w14:paraId="696BFBB5" w14:textId="77777777" w:rsidR="00B86287" w:rsidRPr="00B86287" w:rsidRDefault="00B86287" w:rsidP="00A352DC">
      <w:pPr>
        <w:pStyle w:val="ListParagraph"/>
        <w:numPr>
          <w:ilvl w:val="1"/>
          <w:numId w:val="49"/>
        </w:numPr>
        <w:ind w:left="851" w:hanging="716"/>
      </w:pPr>
      <w:r w:rsidRPr="00B86287">
        <w:t>The proposed work program should include activities that support each continuing concept such that the resource would be ready to develop that concept according to the accompanying project management timeline. The project management timeline should demonstrate where a ‘concept select’ decision is expected when competing concepts are being pursued.</w:t>
      </w:r>
    </w:p>
    <w:p w14:paraId="6EA4419E" w14:textId="77777777" w:rsidR="00B86287" w:rsidRPr="00B86287" w:rsidRDefault="00B86287" w:rsidP="00A352DC">
      <w:pPr>
        <w:pStyle w:val="ListParagraph"/>
        <w:numPr>
          <w:ilvl w:val="1"/>
          <w:numId w:val="49"/>
        </w:numPr>
        <w:ind w:left="851" w:hanging="716"/>
      </w:pPr>
      <w:r w:rsidRPr="00B86287">
        <w:t>If a concept select decision has been made, include information on the basis for selecting that option, along with details on all other options which were considered, referencing previous applications where appropriate.</w:t>
      </w:r>
    </w:p>
    <w:p w14:paraId="2E7635B2" w14:textId="224D5276" w:rsidR="00B86287" w:rsidRPr="00B86287" w:rsidRDefault="00B86287" w:rsidP="00A352DC">
      <w:pPr>
        <w:pStyle w:val="ListParagraph"/>
        <w:numPr>
          <w:ilvl w:val="1"/>
          <w:numId w:val="49"/>
        </w:numPr>
        <w:ind w:left="851" w:hanging="716"/>
      </w:pPr>
      <w:r w:rsidRPr="00B86287">
        <w:t xml:space="preserve">NOPTA expects that some concepts will be screened out as being less favourable. These concepts should still be described and reasoning as to why they have been downgraded/dropped provided in the </w:t>
      </w:r>
      <w:r w:rsidR="00ED547E">
        <w:t>a</w:t>
      </w:r>
      <w:r w:rsidRPr="00B86287">
        <w:t>pplication.</w:t>
      </w:r>
    </w:p>
    <w:p w14:paraId="07F6CBB4" w14:textId="52BBD735" w:rsidR="00B86287" w:rsidRDefault="00B86287" w:rsidP="00A352DC">
      <w:pPr>
        <w:pStyle w:val="ListParagraph"/>
        <w:numPr>
          <w:ilvl w:val="1"/>
          <w:numId w:val="49"/>
        </w:numPr>
        <w:ind w:left="851" w:hanging="716"/>
      </w:pPr>
      <w:r w:rsidRPr="00B86287">
        <w:t xml:space="preserve">Provide information on infrastructure components for each field/ shared facilities, and for each concept where appropriate. Include cost estimates, </w:t>
      </w:r>
      <w:r w:rsidR="009D3744" w:rsidRPr="009D3744">
        <w:t xml:space="preserve">consistent with the AACE International Recommended Practice No 17R-97: Cost Estimate Classification System </w:t>
      </w:r>
      <w:r w:rsidRPr="00B86287">
        <w:t>in real units, specifying currency and cost estimate class. These should provide support for the cost estimates in the project cash flows. Provide annual operating costs and basis for assumption.</w:t>
      </w:r>
      <w:r w:rsidR="003B6AAD">
        <w:t xml:space="preserve"> </w:t>
      </w:r>
    </w:p>
    <w:p w14:paraId="2B31F2B2" w14:textId="6AB9767A" w:rsidR="00EE3D29" w:rsidRDefault="00EE3D29" w:rsidP="00D30B71">
      <w:pPr>
        <w:pStyle w:val="Calloutbox"/>
      </w:pPr>
      <w:r>
        <w:t xml:space="preserve">Refer to </w:t>
      </w:r>
      <w:hyperlink r:id="rId30" w:history="1">
        <w:r w:rsidRPr="0042566A">
          <w:rPr>
            <w:rStyle w:val="Hyperlink"/>
          </w:rPr>
          <w:t>NOPTA’s website for a template</w:t>
        </w:r>
      </w:hyperlink>
      <w:r>
        <w:t xml:space="preserve"> to be used.</w:t>
      </w:r>
    </w:p>
    <w:p w14:paraId="21F16A4C" w14:textId="35062DC0" w:rsidR="00B86287" w:rsidRPr="00B86287" w:rsidRDefault="00B86287" w:rsidP="00A352DC">
      <w:pPr>
        <w:pStyle w:val="ListParagraph"/>
        <w:numPr>
          <w:ilvl w:val="1"/>
          <w:numId w:val="49"/>
        </w:numPr>
        <w:ind w:left="851" w:hanging="716"/>
      </w:pPr>
      <w:r w:rsidRPr="00B86287">
        <w:t xml:space="preserve">Third party cost estimates with supporting evidence will be viewed favourably. NOPTA may seek third party advice in relation to the application where the quality and detail of supporting information is considered insufficient for </w:t>
      </w:r>
      <w:r>
        <w:t xml:space="preserve">a </w:t>
      </w:r>
      <w:r w:rsidRPr="00B86287">
        <w:t>qualified reserves evaluator or qualified reserves auditor to clearly understand each project’s basis for the estimation, categori</w:t>
      </w:r>
      <w:r w:rsidR="00867CD4">
        <w:t>s</w:t>
      </w:r>
      <w:r w:rsidRPr="00B86287">
        <w:t>ation</w:t>
      </w:r>
      <w:r w:rsidR="00867CD4">
        <w:t xml:space="preserve"> </w:t>
      </w:r>
      <w:r w:rsidRPr="00B86287">
        <w:t>and classification of recoverable resources quantities.</w:t>
      </w:r>
    </w:p>
    <w:p w14:paraId="45879809" w14:textId="77777777" w:rsidR="00B86287" w:rsidRPr="00B86287" w:rsidRDefault="00B86287" w:rsidP="00A352DC">
      <w:pPr>
        <w:pStyle w:val="ListParagraph"/>
        <w:numPr>
          <w:ilvl w:val="1"/>
          <w:numId w:val="49"/>
        </w:numPr>
        <w:ind w:left="851" w:hanging="716"/>
      </w:pPr>
      <w:r w:rsidRPr="00B86287">
        <w:t xml:space="preserve">Where the applicant refers to integration in a larger project as a development option, provide comprehensive supporting information on the </w:t>
      </w:r>
      <w:proofErr w:type="gramStart"/>
      <w:r w:rsidRPr="00B86287">
        <w:t>project as a whole</w:t>
      </w:r>
      <w:proofErr w:type="gramEnd"/>
      <w:r w:rsidRPr="00B86287">
        <w:t>. This includes information on other fields (whether production licences or retention leases) which are intended to be developed through the same facilities, and the anticipated development path for the project including timeframes for each field. Applicants should provide evidence of preliminary negotiations, if any, with infrastructure owners and current understanding of likely access costs.</w:t>
      </w:r>
    </w:p>
    <w:p w14:paraId="7DE07479" w14:textId="77777777" w:rsidR="00B86287" w:rsidRPr="00B86287" w:rsidRDefault="00B86287" w:rsidP="00A352DC">
      <w:pPr>
        <w:pStyle w:val="ListParagraph"/>
        <w:numPr>
          <w:ilvl w:val="1"/>
          <w:numId w:val="49"/>
        </w:numPr>
        <w:ind w:left="851" w:hanging="716"/>
      </w:pPr>
      <w:r w:rsidRPr="00B86287">
        <w:t>Where the commercial viability is dependent upon securing customers, applicants should provide evidence of efforts made or plans to obtain sales contracts, including any information on approaches by third parties, engagements with potential buyers and reasons for not proceeding.</w:t>
      </w:r>
    </w:p>
    <w:p w14:paraId="28620096" w14:textId="440A7CB5" w:rsidR="00B86287" w:rsidRDefault="00B86287" w:rsidP="00A352DC">
      <w:pPr>
        <w:pStyle w:val="ListParagraph"/>
        <w:numPr>
          <w:ilvl w:val="1"/>
          <w:numId w:val="49"/>
        </w:numPr>
        <w:ind w:left="851" w:hanging="716"/>
      </w:pPr>
      <w:r w:rsidRPr="00B86287">
        <w:lastRenderedPageBreak/>
        <w:t xml:space="preserve">Work program activities to secure access to ullage or a market should be specific, measurable, achievable, and realistic, and identify key critical path timing. Vague, generic and open-ended activities should be avoided as they are not able to be evaluated as completed or performed during the term of the proposed </w:t>
      </w:r>
      <w:r w:rsidR="00867CD4">
        <w:t>r</w:t>
      </w:r>
      <w:r w:rsidRPr="00B86287">
        <w:t xml:space="preserve">etention </w:t>
      </w:r>
      <w:r w:rsidR="00867CD4">
        <w:t>l</w:t>
      </w:r>
      <w:r w:rsidRPr="00B86287">
        <w:t>ease.</w:t>
      </w:r>
    </w:p>
    <w:p w14:paraId="43F756F3" w14:textId="5B8A7C14" w:rsidR="00B86287" w:rsidRDefault="00867CD4" w:rsidP="00867CD4">
      <w:pPr>
        <w:pStyle w:val="Heading4"/>
      </w:pPr>
      <w:r>
        <w:t>Project economics</w:t>
      </w:r>
    </w:p>
    <w:p w14:paraId="269DBDB2" w14:textId="1D69D6B1" w:rsidR="00867CD4" w:rsidRPr="00867CD4" w:rsidRDefault="00867CD4" w:rsidP="00A352DC">
      <w:pPr>
        <w:pStyle w:val="ListParagraph"/>
        <w:numPr>
          <w:ilvl w:val="1"/>
          <w:numId w:val="49"/>
        </w:numPr>
        <w:ind w:left="851" w:hanging="716"/>
      </w:pPr>
      <w:r w:rsidRPr="00867CD4">
        <w:t xml:space="preserve">The application must include cashflows based on current low and </w:t>
      </w:r>
      <w:proofErr w:type="gramStart"/>
      <w:r w:rsidR="00881709">
        <w:t xml:space="preserve">best </w:t>
      </w:r>
      <w:r w:rsidRPr="00867CD4">
        <w:t>case</w:t>
      </w:r>
      <w:proofErr w:type="gramEnd"/>
      <w:r w:rsidRPr="00867CD4">
        <w:t xml:space="preserve"> resource and cost estimates for each concept and state the economic assumptions. Production profiles used in the cashflow should reflect current resource estimates</w:t>
      </w:r>
      <w:r w:rsidR="001D45C1">
        <w:t>.</w:t>
      </w:r>
      <w:r w:rsidRPr="00867CD4">
        <w:t xml:space="preserve"> Cost class estimate must be provided as per the AACE International Recommended Practice No 17R-97: Cost Estimate Classification System.</w:t>
      </w:r>
    </w:p>
    <w:p w14:paraId="0C832850" w14:textId="402A864D" w:rsidR="00867CD4" w:rsidRPr="00867CD4" w:rsidRDefault="00867CD4" w:rsidP="00A352DC">
      <w:pPr>
        <w:pStyle w:val="ListParagraph"/>
        <w:numPr>
          <w:ilvl w:val="1"/>
          <w:numId w:val="49"/>
        </w:numPr>
        <w:ind w:left="851" w:hanging="716"/>
      </w:pPr>
      <w:r w:rsidRPr="00867CD4">
        <w:t xml:space="preserve">If the work program contains activities that are anticipated in the success case to materially change the current forecast cashflow </w:t>
      </w:r>
      <w:r>
        <w:t>i.e.</w:t>
      </w:r>
      <w:r w:rsidRPr="00867CD4">
        <w:t xml:space="preserve"> engineering work to reduce capital costs, geotechnical studies to improve resource estimates), the anticipated cashflow reflecting the expected change should also be provided. Notes accompanying the cashflow should quantify the likelihood of the work program delivering the changes required to make the project commercially viable.</w:t>
      </w:r>
      <w:bookmarkStart w:id="100" w:name="_Hlk80621141"/>
    </w:p>
    <w:p w14:paraId="1EAE45F4" w14:textId="3C9A15A6" w:rsidR="00867CD4" w:rsidRPr="00867CD4" w:rsidRDefault="00867CD4" w:rsidP="00A352DC">
      <w:pPr>
        <w:pStyle w:val="ListParagraph"/>
        <w:numPr>
          <w:ilvl w:val="1"/>
          <w:numId w:val="49"/>
        </w:numPr>
        <w:ind w:left="851" w:hanging="716"/>
      </w:pPr>
      <w:r w:rsidRPr="00867CD4">
        <w:t xml:space="preserve">Where an applicant’s internal economic assessment criteria rely on scenarios based on other levels of probability </w:t>
      </w:r>
      <w:r>
        <w:t>i.e.</w:t>
      </w:r>
      <w:r w:rsidRPr="00867CD4">
        <w:t xml:space="preserve"> 1C/P90 &amp; 3C/P10, cash-flows for these scenarios should also be provided stating the sensitivity assumptions and capital cost class estimates. Minimum economic thresholds used by an applicant to determine commercial viability should be specified and justified.</w:t>
      </w:r>
      <w:bookmarkEnd w:id="100"/>
    </w:p>
    <w:p w14:paraId="1EBE60A8" w14:textId="3D469035" w:rsidR="00867CD4" w:rsidRPr="00867CD4" w:rsidRDefault="00867CD4" w:rsidP="00A352DC">
      <w:pPr>
        <w:pStyle w:val="ListParagraph"/>
        <w:numPr>
          <w:ilvl w:val="1"/>
          <w:numId w:val="49"/>
        </w:numPr>
        <w:ind w:left="851" w:hanging="716"/>
      </w:pPr>
      <w:r w:rsidRPr="00867CD4">
        <w:t>NOPTA will analyse the extent to which there are reasonable grounds for adopting any alternative assumptions and methodologies. Applicants should provide more detailed information to support those parts of the application that are critical to demonstrating to the Joint Authority that the criteria in s</w:t>
      </w:r>
      <w:r>
        <w:t>ection</w:t>
      </w:r>
      <w:r w:rsidR="003476BB">
        <w:t>s</w:t>
      </w:r>
      <w:r w:rsidRPr="00867CD4">
        <w:t xml:space="preserve"> 142, 148 or 154 of the OPGGS Act can be met.</w:t>
      </w:r>
    </w:p>
    <w:p w14:paraId="088EDDA8" w14:textId="77777777" w:rsidR="00867CD4" w:rsidRPr="00867CD4" w:rsidRDefault="00867CD4" w:rsidP="00A352DC">
      <w:pPr>
        <w:pStyle w:val="ListParagraph"/>
        <w:numPr>
          <w:ilvl w:val="1"/>
          <w:numId w:val="49"/>
        </w:numPr>
        <w:ind w:left="851" w:hanging="716"/>
      </w:pPr>
      <w:r w:rsidRPr="00867CD4">
        <w:t>Information on the following assumptions should be included:</w:t>
      </w:r>
    </w:p>
    <w:p w14:paraId="6BDA3A97" w14:textId="19F365D8" w:rsidR="00867CD4" w:rsidRPr="00867CD4" w:rsidRDefault="00867CD4" w:rsidP="00A352DC">
      <w:pPr>
        <w:pStyle w:val="ListParagraph"/>
        <w:numPr>
          <w:ilvl w:val="2"/>
          <w:numId w:val="19"/>
        </w:numPr>
        <w:ind w:hanging="373"/>
      </w:pPr>
      <w:r w:rsidRPr="00867CD4">
        <w:t>Modelling assumptions about decline curves</w:t>
      </w:r>
      <w:r>
        <w:t>.</w:t>
      </w:r>
    </w:p>
    <w:p w14:paraId="2E06946A" w14:textId="1790B1CA" w:rsidR="00867CD4" w:rsidRPr="00867CD4" w:rsidRDefault="00867CD4" w:rsidP="00A352DC">
      <w:pPr>
        <w:pStyle w:val="ListParagraph"/>
        <w:numPr>
          <w:ilvl w:val="2"/>
          <w:numId w:val="19"/>
        </w:numPr>
        <w:ind w:hanging="373"/>
      </w:pPr>
      <w:r w:rsidRPr="00867CD4">
        <w:t>Product conversion rates, fuel and flare percentages, liquids content of gas as necessary. Raw gas profiles must be reconcilable with sales product profiles</w:t>
      </w:r>
      <w:r>
        <w:t>.</w:t>
      </w:r>
    </w:p>
    <w:p w14:paraId="4D786D2A" w14:textId="3BD0C6E1" w:rsidR="00867CD4" w:rsidRPr="00867CD4" w:rsidRDefault="00867CD4" w:rsidP="00A352DC">
      <w:pPr>
        <w:pStyle w:val="ListParagraph"/>
        <w:numPr>
          <w:ilvl w:val="2"/>
          <w:numId w:val="19"/>
        </w:numPr>
        <w:ind w:hanging="373"/>
      </w:pPr>
      <w:r w:rsidRPr="00867CD4">
        <w:t>Basis of product(s) pricing assumptions</w:t>
      </w:r>
      <w:r>
        <w:t>.</w:t>
      </w:r>
    </w:p>
    <w:p w14:paraId="2000C91D" w14:textId="3ED83770" w:rsidR="00867CD4" w:rsidRPr="00867CD4" w:rsidRDefault="00867CD4" w:rsidP="00A352DC">
      <w:pPr>
        <w:pStyle w:val="ListParagraph"/>
        <w:numPr>
          <w:ilvl w:val="2"/>
          <w:numId w:val="19"/>
        </w:numPr>
        <w:ind w:hanging="373"/>
      </w:pPr>
      <w:r w:rsidRPr="00867CD4">
        <w:t xml:space="preserve">Tariff assumptions by component as appropriate </w:t>
      </w:r>
      <w:r>
        <w:t>i.e</w:t>
      </w:r>
      <w:r w:rsidRPr="00867CD4">
        <w:t>. transportation, processing, capacity reservation, capital repayment etc.</w:t>
      </w:r>
    </w:p>
    <w:p w14:paraId="593023BE" w14:textId="63F81205" w:rsidR="00867CD4" w:rsidRPr="00867CD4" w:rsidRDefault="00867CD4" w:rsidP="00A352DC">
      <w:pPr>
        <w:pStyle w:val="ListParagraph"/>
        <w:numPr>
          <w:ilvl w:val="2"/>
          <w:numId w:val="19"/>
        </w:numPr>
        <w:ind w:hanging="373"/>
      </w:pPr>
      <w:r w:rsidRPr="00867CD4">
        <w:t>Depreciation method, lifetimes, and assumptions and formulae for calculation</w:t>
      </w:r>
      <w:r>
        <w:t>.</w:t>
      </w:r>
    </w:p>
    <w:p w14:paraId="26D8116F" w14:textId="5AD0C6EA" w:rsidR="00867CD4" w:rsidRPr="00867CD4" w:rsidRDefault="00867CD4" w:rsidP="00A352DC">
      <w:pPr>
        <w:pStyle w:val="ListParagraph"/>
        <w:numPr>
          <w:ilvl w:val="2"/>
          <w:numId w:val="19"/>
        </w:numPr>
        <w:ind w:hanging="373"/>
      </w:pPr>
      <w:r w:rsidRPr="00867CD4">
        <w:t>Inflation rates, exchange rates and company tax provisions</w:t>
      </w:r>
      <w:r>
        <w:t>.</w:t>
      </w:r>
    </w:p>
    <w:p w14:paraId="4A2187E5" w14:textId="44001C45" w:rsidR="00867CD4" w:rsidRPr="00867CD4" w:rsidRDefault="00867CD4" w:rsidP="00A352DC">
      <w:pPr>
        <w:pStyle w:val="ListParagraph"/>
        <w:numPr>
          <w:ilvl w:val="2"/>
          <w:numId w:val="19"/>
        </w:numPr>
        <w:ind w:hanging="373"/>
      </w:pPr>
      <w:r w:rsidRPr="00867CD4">
        <w:t>PRRT assumptions including GDP factor and long-term bond rate assumptions, anticipated starting base expenses</w:t>
      </w:r>
      <w:r>
        <w:t>.</w:t>
      </w:r>
    </w:p>
    <w:p w14:paraId="03673B5B" w14:textId="7DD62C5C" w:rsidR="00867CD4" w:rsidRPr="00867CD4" w:rsidRDefault="00867CD4" w:rsidP="00A352DC">
      <w:pPr>
        <w:pStyle w:val="ListParagraph"/>
        <w:numPr>
          <w:ilvl w:val="2"/>
          <w:numId w:val="19"/>
        </w:numPr>
        <w:ind w:hanging="373"/>
      </w:pPr>
      <w:r w:rsidRPr="00867CD4">
        <w:t>Discount rate (this should reflect the weighted average cost of capital or the long-term bond rate plus 5%)</w:t>
      </w:r>
      <w:r>
        <w:t>.</w:t>
      </w:r>
    </w:p>
    <w:p w14:paraId="2A5CB966" w14:textId="77777777" w:rsidR="00867CD4" w:rsidRDefault="00867CD4" w:rsidP="00A352DC">
      <w:pPr>
        <w:pStyle w:val="ListParagraph"/>
        <w:numPr>
          <w:ilvl w:val="2"/>
          <w:numId w:val="19"/>
        </w:numPr>
        <w:ind w:hanging="373"/>
      </w:pPr>
      <w:r w:rsidRPr="00867CD4">
        <w:t>Reference date.</w:t>
      </w:r>
    </w:p>
    <w:p w14:paraId="1FA54CB3" w14:textId="754079FE" w:rsidR="00277E9F" w:rsidRDefault="00277E9F" w:rsidP="00277E9F">
      <w:pPr>
        <w:pStyle w:val="Heading3"/>
      </w:pPr>
      <w:bookmarkStart w:id="101" w:name="_Toc215524958"/>
      <w:r>
        <w:t>Application submission timeframes</w:t>
      </w:r>
      <w:bookmarkEnd w:id="101"/>
    </w:p>
    <w:p w14:paraId="7D0938CA" w14:textId="481277B7" w:rsidR="00277E9F" w:rsidRDefault="00277E9F" w:rsidP="00277E9F">
      <w:pPr>
        <w:pStyle w:val="Heading4"/>
      </w:pPr>
      <w:r>
        <w:t>Exploration permit holder</w:t>
      </w:r>
    </w:p>
    <w:p w14:paraId="64D5D128" w14:textId="047D6400" w:rsidR="00277E9F" w:rsidRDefault="00277E9F" w:rsidP="00A352DC">
      <w:pPr>
        <w:pStyle w:val="ListParagraph"/>
        <w:numPr>
          <w:ilvl w:val="1"/>
          <w:numId w:val="49"/>
        </w:numPr>
        <w:ind w:left="851" w:hanging="716"/>
      </w:pPr>
      <w:r w:rsidRPr="00277E9F">
        <w:t>An application for a retention lease by the holder of an exploration permit may be made within the application period</w:t>
      </w:r>
      <w:r>
        <w:t xml:space="preserve">, </w:t>
      </w:r>
      <w:r w:rsidRPr="00277E9F">
        <w:t>which is the period of two years after the day on which the block(s) was declared a location</w:t>
      </w:r>
      <w:r>
        <w:t>.</w:t>
      </w:r>
    </w:p>
    <w:p w14:paraId="493A00EC" w14:textId="05FBAE88" w:rsidR="003B221B" w:rsidRDefault="003B221B" w:rsidP="003B221B">
      <w:pPr>
        <w:pStyle w:val="Calloutbox"/>
      </w:pPr>
      <w:r>
        <w:lastRenderedPageBreak/>
        <w:t xml:space="preserve">Refer to </w:t>
      </w:r>
      <w:r w:rsidRPr="001E6123">
        <w:t>Offshore Petroleum Declaration of Location Guideline</w:t>
      </w:r>
      <w:r>
        <w:t xml:space="preserve"> for further information on the application period.</w:t>
      </w:r>
    </w:p>
    <w:p w14:paraId="7BD116EF" w14:textId="5BC8FDD6" w:rsidR="00277E9F" w:rsidRPr="00277E9F" w:rsidRDefault="00277E9F" w:rsidP="00A352DC">
      <w:pPr>
        <w:pStyle w:val="ListParagraph"/>
        <w:numPr>
          <w:ilvl w:val="1"/>
          <w:numId w:val="49"/>
        </w:numPr>
        <w:ind w:left="851" w:hanging="716"/>
      </w:pPr>
      <w:r w:rsidRPr="00277E9F">
        <w:t>The exploration permit holder should consider the potential legal consequences of the provisions in s</w:t>
      </w:r>
      <w:r w:rsidR="003B221B">
        <w:t>ection</w:t>
      </w:r>
      <w:r w:rsidRPr="00277E9F">
        <w:t xml:space="preserve"> 188</w:t>
      </w:r>
      <w:r w:rsidR="003B221B">
        <w:t xml:space="preserve"> of the OPGGS Act</w:t>
      </w:r>
      <w:r w:rsidRPr="00277E9F">
        <w:t xml:space="preserve"> of not making an application within the application period.</w:t>
      </w:r>
    </w:p>
    <w:p w14:paraId="3EE21633" w14:textId="07878A64" w:rsidR="003B221B" w:rsidRDefault="003B221B" w:rsidP="003B221B">
      <w:pPr>
        <w:pStyle w:val="Heading4"/>
      </w:pPr>
      <w:r>
        <w:t>Retention lease holder</w:t>
      </w:r>
    </w:p>
    <w:p w14:paraId="4EF859CC" w14:textId="7454D172" w:rsidR="003B221B" w:rsidRPr="003B221B" w:rsidRDefault="003B221B" w:rsidP="00A352DC">
      <w:pPr>
        <w:pStyle w:val="ListParagraph"/>
        <w:numPr>
          <w:ilvl w:val="1"/>
          <w:numId w:val="49"/>
        </w:numPr>
        <w:ind w:left="851" w:hanging="716"/>
      </w:pPr>
      <w:r w:rsidRPr="003B221B">
        <w:t>An application for the renewal of a retention lease may be made no less than 180</w:t>
      </w:r>
      <w:r>
        <w:t xml:space="preserve"> </w:t>
      </w:r>
      <w:r w:rsidRPr="003B221B">
        <w:t>days and no more than 12</w:t>
      </w:r>
      <w:r>
        <w:t>-</w:t>
      </w:r>
      <w:r w:rsidRPr="003B221B">
        <w:t>months before the day on which the retention lease is due to expire</w:t>
      </w:r>
      <w:r>
        <w:t xml:space="preserve">. </w:t>
      </w:r>
      <w:r w:rsidRPr="003B221B">
        <w:t>NOPTA has discretion to accept the lodgement of a renewal application less than 180 days before the expiry date, but no later than the expiry date</w:t>
      </w:r>
      <w:r>
        <w:t xml:space="preserve">. </w:t>
      </w:r>
      <w:r w:rsidRPr="003B221B">
        <w:t>Once an application is lodged, the retention lease will continue in force until the renewal is granted, refused or the application lapses</w:t>
      </w:r>
      <w:r>
        <w:t>.</w:t>
      </w:r>
    </w:p>
    <w:p w14:paraId="52C25084" w14:textId="75D4C8CF" w:rsidR="00277E9F" w:rsidRDefault="003B221B" w:rsidP="003B221B">
      <w:pPr>
        <w:pStyle w:val="Heading4"/>
      </w:pPr>
      <w:r>
        <w:t>Production licence holder</w:t>
      </w:r>
    </w:p>
    <w:p w14:paraId="19C5D4E0" w14:textId="6D417204" w:rsidR="003B221B" w:rsidRPr="003B221B" w:rsidRDefault="003B221B" w:rsidP="00A352DC">
      <w:pPr>
        <w:pStyle w:val="ListParagraph"/>
        <w:numPr>
          <w:ilvl w:val="1"/>
          <w:numId w:val="49"/>
        </w:numPr>
        <w:ind w:left="851" w:hanging="716"/>
      </w:pPr>
      <w:r w:rsidRPr="003B221B">
        <w:t xml:space="preserve">Where there is petroleum in a block or blocks held by a production </w:t>
      </w:r>
      <w:proofErr w:type="gramStart"/>
      <w:r w:rsidRPr="003B221B">
        <w:t>licensee</w:t>
      </w:r>
      <w:proofErr w:type="gramEnd"/>
      <w:r w:rsidRPr="003B221B">
        <w:t xml:space="preserve"> but no petroleum recovery operations are taking place in the block or blocks (‘the unused area’), an application for a retention lease over the unused area by the holder of the production licence may be made within five years of:</w:t>
      </w:r>
    </w:p>
    <w:p w14:paraId="558452E4" w14:textId="02BFF87F" w:rsidR="003B221B" w:rsidRPr="003B221B" w:rsidRDefault="003B221B" w:rsidP="00A352DC">
      <w:pPr>
        <w:pStyle w:val="ListParagraph"/>
        <w:numPr>
          <w:ilvl w:val="2"/>
          <w:numId w:val="20"/>
        </w:numPr>
        <w:ind w:hanging="373"/>
      </w:pPr>
      <w:r w:rsidRPr="003B221B">
        <w:t>the day on which the production licence was granted or</w:t>
      </w:r>
    </w:p>
    <w:p w14:paraId="506CD389" w14:textId="005E01F9" w:rsidR="003B221B" w:rsidRPr="003B221B" w:rsidRDefault="003B221B" w:rsidP="00A352DC">
      <w:pPr>
        <w:pStyle w:val="ListParagraph"/>
        <w:numPr>
          <w:ilvl w:val="2"/>
          <w:numId w:val="20"/>
        </w:numPr>
        <w:ind w:hanging="373"/>
      </w:pPr>
      <w:r w:rsidRPr="003B221B">
        <w:t xml:space="preserve">if </w:t>
      </w:r>
      <w:r w:rsidR="008C11CB">
        <w:t>recovery</w:t>
      </w:r>
      <w:r w:rsidR="00890A02">
        <w:t xml:space="preserve"> of </w:t>
      </w:r>
      <w:r w:rsidRPr="003B221B">
        <w:t xml:space="preserve">petroleum operations </w:t>
      </w:r>
      <w:proofErr w:type="gramStart"/>
      <w:r w:rsidRPr="003B221B">
        <w:t>have</w:t>
      </w:r>
      <w:proofErr w:type="gramEnd"/>
      <w:r w:rsidRPr="003B221B">
        <w:t xml:space="preserve"> been carried on under the licence in the unused area, five years from the last day on which such operations occurred</w:t>
      </w:r>
      <w:r>
        <w:t>.</w:t>
      </w:r>
    </w:p>
    <w:p w14:paraId="79FC1F62" w14:textId="65CF7FD1" w:rsidR="003B221B" w:rsidRPr="003B221B" w:rsidRDefault="003B221B" w:rsidP="00A352DC">
      <w:pPr>
        <w:pStyle w:val="ListParagraph"/>
        <w:numPr>
          <w:ilvl w:val="1"/>
          <w:numId w:val="49"/>
        </w:numPr>
        <w:ind w:left="851" w:hanging="716"/>
      </w:pPr>
      <w:r w:rsidRPr="003B221B">
        <w:t>The production licensee should consider the potential legal consequences of the provisions in s</w:t>
      </w:r>
      <w:r>
        <w:t>ection</w:t>
      </w:r>
      <w:r w:rsidRPr="003B221B">
        <w:t xml:space="preserve"> 166</w:t>
      </w:r>
      <w:r>
        <w:t xml:space="preserve"> of the OPGGS Act</w:t>
      </w:r>
      <w:r w:rsidRPr="003B221B">
        <w:t xml:space="preserve"> of not making an application within the application period, which includes grounds for cancellation of the licence.</w:t>
      </w:r>
    </w:p>
    <w:p w14:paraId="4BAE6BD7" w14:textId="284173A3" w:rsidR="003B221B" w:rsidRDefault="003B221B" w:rsidP="003B221B">
      <w:pPr>
        <w:pStyle w:val="Heading3"/>
      </w:pPr>
      <w:bookmarkStart w:id="102" w:name="_Variation_of_a"/>
      <w:bookmarkStart w:id="103" w:name="_Attachment_A:_Flowchart"/>
      <w:bookmarkStart w:id="104" w:name="_Attachment_B:_Suggested"/>
      <w:bookmarkStart w:id="105" w:name="_Attachment_1:_Good"/>
      <w:bookmarkStart w:id="106" w:name="_Toc81487674"/>
      <w:bookmarkStart w:id="107" w:name="_Toc83042961"/>
      <w:bookmarkStart w:id="108" w:name="_Toc215524959"/>
      <w:bookmarkStart w:id="109" w:name="_Toc83395013"/>
      <w:bookmarkStart w:id="110" w:name="_Toc90044297"/>
      <w:bookmarkEnd w:id="80"/>
      <w:bookmarkEnd w:id="81"/>
      <w:bookmarkEnd w:id="82"/>
      <w:bookmarkEnd w:id="83"/>
      <w:bookmarkEnd w:id="102"/>
      <w:bookmarkEnd w:id="103"/>
      <w:bookmarkEnd w:id="104"/>
      <w:bookmarkEnd w:id="105"/>
      <w:bookmarkEnd w:id="106"/>
      <w:bookmarkEnd w:id="107"/>
      <w:r>
        <w:t>Application assessment</w:t>
      </w:r>
      <w:bookmarkEnd w:id="108"/>
    </w:p>
    <w:p w14:paraId="3E71B26B" w14:textId="708D9205" w:rsidR="001341ED" w:rsidRPr="004C7669" w:rsidRDefault="001341ED" w:rsidP="00A352DC">
      <w:pPr>
        <w:pStyle w:val="ListParagraph"/>
        <w:numPr>
          <w:ilvl w:val="1"/>
          <w:numId w:val="49"/>
        </w:numPr>
        <w:ind w:left="851" w:hanging="716"/>
      </w:pPr>
      <w:r w:rsidRPr="004C7669">
        <w:t xml:space="preserve">In deciding whether to offer to offer to grant or renew a retention lease to an applicant, the Joint Authority must have regard to sections </w:t>
      </w:r>
      <w:r w:rsidR="0084657B" w:rsidRPr="004C7669">
        <w:t>142</w:t>
      </w:r>
      <w:r w:rsidR="00B43196" w:rsidRPr="004C7669">
        <w:t>, 148</w:t>
      </w:r>
      <w:r w:rsidR="0084657B" w:rsidRPr="004C7669">
        <w:t xml:space="preserve"> or 154 </w:t>
      </w:r>
      <w:r w:rsidRPr="004C7669">
        <w:t>of the OPGGS Act. In addition, the Joint Authority must have regard to</w:t>
      </w:r>
      <w:r w:rsidR="00A85C8A" w:rsidRPr="004C7669">
        <w:t xml:space="preserve"> any other matters prescribed by the regulations.</w:t>
      </w:r>
    </w:p>
    <w:p w14:paraId="049EAB42" w14:textId="6626797A" w:rsidR="001341ED" w:rsidRPr="001341ED" w:rsidRDefault="001341ED" w:rsidP="001341ED">
      <w:pPr>
        <w:pBdr>
          <w:top w:val="single" w:sz="4" w:space="6" w:color="E7E6E6"/>
          <w:left w:val="single" w:sz="4" w:space="4" w:color="E7E6E6"/>
          <w:bottom w:val="single" w:sz="4" w:space="6" w:color="E7E6E6"/>
          <w:right w:val="single" w:sz="4" w:space="4" w:color="E7E6E6"/>
        </w:pBdr>
        <w:shd w:val="clear" w:color="auto" w:fill="E7E6E6"/>
        <w:spacing w:before="0" w:after="0"/>
        <w:textAlignment w:val="baseline"/>
        <w:rPr>
          <w:rFonts w:ascii="Aptos" w:eastAsia="Times New Roman" w:hAnsi="Aptos" w:cs="Times New Roman"/>
          <w:sz w:val="22"/>
          <w:lang w:eastAsia="en-AU"/>
        </w:rPr>
      </w:pPr>
      <w:r w:rsidRPr="004C7669">
        <w:rPr>
          <w:rFonts w:ascii="Aptos" w:eastAsia="Times New Roman" w:hAnsi="Aptos" w:cs="Times New Roman"/>
          <w:szCs w:val="20"/>
          <w:shd w:val="clear" w:color="auto" w:fill="E7E6E6"/>
          <w:lang w:eastAsia="en-AU"/>
        </w:rPr>
        <w:t xml:space="preserve">Refer to </w:t>
      </w:r>
      <w:hyperlink r:id="rId31" w:tgtFrame="_blank" w:history="1">
        <w:r w:rsidRPr="004C7669">
          <w:rPr>
            <w:rFonts w:ascii="Aptos" w:eastAsia="Times New Roman" w:hAnsi="Aptos" w:cs="Times New Roman"/>
            <w:color w:val="0000FF"/>
            <w:szCs w:val="20"/>
            <w:shd w:val="clear" w:color="auto" w:fill="E7E6E6"/>
            <w:lang w:eastAsia="en-AU"/>
          </w:rPr>
          <w:t>Guideline: Applicant suitability</w:t>
        </w:r>
      </w:hyperlink>
      <w:r w:rsidRPr="004C7669">
        <w:rPr>
          <w:rFonts w:ascii="Aptos" w:eastAsia="Times New Roman" w:hAnsi="Aptos" w:cs="Times New Roman"/>
          <w:szCs w:val="20"/>
          <w:shd w:val="clear" w:color="auto" w:fill="E7E6E6"/>
          <w:lang w:eastAsia="en-AU"/>
        </w:rPr>
        <w:t>.</w:t>
      </w:r>
    </w:p>
    <w:p w14:paraId="3F0DD18A" w14:textId="0B3ACE58" w:rsidR="002B3771" w:rsidRPr="00B435AD" w:rsidRDefault="002B3771" w:rsidP="00A352DC">
      <w:pPr>
        <w:pStyle w:val="ListParagraph"/>
        <w:numPr>
          <w:ilvl w:val="1"/>
          <w:numId w:val="49"/>
        </w:numPr>
        <w:ind w:left="851" w:hanging="716"/>
      </w:pPr>
      <w:r w:rsidRPr="00B435AD">
        <w:t>NOPTA will assess each application on its merits consistent with the objectives of the OPGGS Act and this guideline.</w:t>
      </w:r>
    </w:p>
    <w:p w14:paraId="1ADC49D6" w14:textId="6CE7D712" w:rsidR="002B3771" w:rsidRPr="002B3771" w:rsidRDefault="002B3771" w:rsidP="002B3771">
      <w:pPr>
        <w:pStyle w:val="Calloutbox"/>
      </w:pPr>
      <w:r w:rsidRPr="002B3771">
        <w:t xml:space="preserve">For assessment timeframes see Application Assessment Timeframes available on </w:t>
      </w:r>
      <w:hyperlink r:id="rId32" w:history="1">
        <w:r w:rsidRPr="001D38E1">
          <w:rPr>
            <w:rStyle w:val="Hyperlink"/>
          </w:rPr>
          <w:t>NOPTA’s website</w:t>
        </w:r>
      </w:hyperlink>
      <w:r w:rsidRPr="002B3771">
        <w:t>.</w:t>
      </w:r>
    </w:p>
    <w:p w14:paraId="100959BB" w14:textId="38FC556A" w:rsidR="002B3771" w:rsidRPr="002B3771" w:rsidRDefault="002B3771" w:rsidP="00A352DC">
      <w:pPr>
        <w:pStyle w:val="ListParagraph"/>
        <w:numPr>
          <w:ilvl w:val="1"/>
          <w:numId w:val="49"/>
        </w:numPr>
        <w:ind w:left="851" w:hanging="716"/>
      </w:pPr>
      <w:r w:rsidRPr="002B3771">
        <w:t xml:space="preserve">NOPTA will recommend </w:t>
      </w:r>
      <w:r w:rsidR="001341ED">
        <w:t xml:space="preserve">to </w:t>
      </w:r>
      <w:r w:rsidRPr="002B3771">
        <w:t xml:space="preserve">the Joint Authority </w:t>
      </w:r>
      <w:r w:rsidR="001341ED">
        <w:t xml:space="preserve">to </w:t>
      </w:r>
      <w:r w:rsidRPr="002B3771">
        <w:t>either offer to grant or renew</w:t>
      </w:r>
      <w:r>
        <w:t xml:space="preserve"> </w:t>
      </w:r>
      <w:r w:rsidRPr="002B3771">
        <w:t>or issue a notice of intent to grant or renew, a retention lease.</w:t>
      </w:r>
    </w:p>
    <w:p w14:paraId="3CAF595A" w14:textId="77777777" w:rsidR="00FD7563" w:rsidRDefault="002B3771" w:rsidP="00A352DC">
      <w:pPr>
        <w:pStyle w:val="ListParagraph"/>
        <w:numPr>
          <w:ilvl w:val="1"/>
          <w:numId w:val="49"/>
        </w:numPr>
        <w:ind w:left="851" w:hanging="716"/>
      </w:pPr>
      <w:r w:rsidRPr="002B3771">
        <w:t xml:space="preserve">NOPTA may </w:t>
      </w:r>
      <w:r w:rsidR="001341ED">
        <w:t xml:space="preserve">also </w:t>
      </w:r>
      <w:r w:rsidRPr="002B3771">
        <w:t>recommend conditions to be placed on the lease by the Joint Authority.</w:t>
      </w:r>
    </w:p>
    <w:p w14:paraId="51C41D3F" w14:textId="528DADD7" w:rsidR="002B3771" w:rsidRPr="002B3771" w:rsidRDefault="002B3771" w:rsidP="00A352DC">
      <w:pPr>
        <w:pStyle w:val="ListParagraph"/>
        <w:numPr>
          <w:ilvl w:val="2"/>
          <w:numId w:val="49"/>
        </w:numPr>
        <w:ind w:hanging="373"/>
      </w:pPr>
      <w:r w:rsidRPr="002B3771">
        <w:t xml:space="preserve">NOPTA </w:t>
      </w:r>
      <w:r w:rsidR="007C6AEA">
        <w:t>may</w:t>
      </w:r>
      <w:r w:rsidRPr="002B3771">
        <w:t xml:space="preserve"> consult with applicants before it recommends</w:t>
      </w:r>
      <w:r w:rsidR="007C6AEA">
        <w:t xml:space="preserve"> to</w:t>
      </w:r>
      <w:r w:rsidRPr="002B3771">
        <w:t xml:space="preserve"> the Joint Authority </w:t>
      </w:r>
      <w:r w:rsidR="007C6AEA">
        <w:t xml:space="preserve">that </w:t>
      </w:r>
      <w:r w:rsidRPr="002B3771">
        <w:t xml:space="preserve">significant changes </w:t>
      </w:r>
      <w:r w:rsidR="007C6AEA">
        <w:t xml:space="preserve">should be made </w:t>
      </w:r>
      <w:r w:rsidRPr="002B3771">
        <w:t>to an applicant’s proposed work program or significant additional conditions to the grant of the retention lease.</w:t>
      </w:r>
    </w:p>
    <w:p w14:paraId="4BEA4ADD" w14:textId="77777777" w:rsidR="001341ED" w:rsidRDefault="002B3771" w:rsidP="00A352DC">
      <w:pPr>
        <w:pStyle w:val="ListParagraph"/>
        <w:numPr>
          <w:ilvl w:val="1"/>
          <w:numId w:val="49"/>
        </w:numPr>
        <w:ind w:left="851" w:hanging="716"/>
      </w:pPr>
      <w:r w:rsidRPr="002B3771">
        <w:t>NOPTA may seek and/or receive submissions from third parties and take these into account in its analysis of a retention lease application.</w:t>
      </w:r>
    </w:p>
    <w:p w14:paraId="5F3448AA" w14:textId="2FBA6CAA" w:rsidR="002B3771" w:rsidRPr="002B3771" w:rsidRDefault="001341ED" w:rsidP="001341ED">
      <w:pPr>
        <w:pStyle w:val="Calloutbox"/>
      </w:pPr>
      <w:r>
        <w:t xml:space="preserve">Refer to </w:t>
      </w:r>
      <w:r w:rsidRPr="00F15CC4">
        <w:t xml:space="preserve">section </w:t>
      </w:r>
      <w:r w:rsidR="001711F6">
        <w:fldChar w:fldCharType="begin"/>
      </w:r>
      <w:r w:rsidR="001711F6">
        <w:instrText xml:space="preserve"> REF _Ref183680234 \r \h </w:instrText>
      </w:r>
      <w:r w:rsidR="001711F6">
        <w:fldChar w:fldCharType="separate"/>
      </w:r>
      <w:r w:rsidR="009A338D">
        <w:t>2</w:t>
      </w:r>
      <w:r w:rsidR="001711F6">
        <w:fldChar w:fldCharType="end"/>
      </w:r>
      <w:r w:rsidRPr="00F15CC4">
        <w:t xml:space="preserve"> of this guideline for</w:t>
      </w:r>
      <w:r w:rsidR="002B3771" w:rsidRPr="002B3771">
        <w:t xml:space="preserve"> information on third party submissions and advice</w:t>
      </w:r>
      <w:r>
        <w:t>.</w:t>
      </w:r>
    </w:p>
    <w:p w14:paraId="4072B4DB" w14:textId="4C0231BC" w:rsidR="001341ED" w:rsidRDefault="001341ED" w:rsidP="00A352DC">
      <w:pPr>
        <w:pStyle w:val="ListParagraph"/>
        <w:numPr>
          <w:ilvl w:val="1"/>
          <w:numId w:val="49"/>
        </w:numPr>
        <w:ind w:left="851" w:hanging="716"/>
      </w:pPr>
      <w:r>
        <w:lastRenderedPageBreak/>
        <w:t>While t</w:t>
      </w:r>
      <w:r w:rsidR="002B3771" w:rsidRPr="002B3771">
        <w:t xml:space="preserve">he Joint Authority </w:t>
      </w:r>
      <w:r>
        <w:t xml:space="preserve">considers </w:t>
      </w:r>
      <w:r w:rsidR="002B3771" w:rsidRPr="002B3771">
        <w:t xml:space="preserve">NOPTA’s advice </w:t>
      </w:r>
      <w:r>
        <w:t>when</w:t>
      </w:r>
      <w:r w:rsidR="002B3771" w:rsidRPr="002B3771">
        <w:t xml:space="preserve"> making </w:t>
      </w:r>
      <w:r>
        <w:t>its</w:t>
      </w:r>
      <w:r w:rsidR="002B3771" w:rsidRPr="002B3771">
        <w:t xml:space="preserve"> decision</w:t>
      </w:r>
      <w:r>
        <w:t>, the Joint Authority does not have to accept the advice and/or recommendations and may decide another course of action.</w:t>
      </w:r>
    </w:p>
    <w:p w14:paraId="23027810" w14:textId="77777777" w:rsidR="007C6AEA" w:rsidRDefault="002B3771" w:rsidP="00A352DC">
      <w:pPr>
        <w:pStyle w:val="ListParagraph"/>
        <w:numPr>
          <w:ilvl w:val="2"/>
          <w:numId w:val="49"/>
        </w:numPr>
        <w:ind w:hanging="373"/>
      </w:pPr>
      <w:r w:rsidRPr="007C6AEA">
        <w:t>NOPTA will communicate the Joint Authority</w:t>
      </w:r>
      <w:r w:rsidR="007C6AEA">
        <w:t>’s</w:t>
      </w:r>
      <w:r w:rsidRPr="007C6AEA">
        <w:t xml:space="preserve"> decision to the applicant</w:t>
      </w:r>
      <w:r w:rsidR="007C6AEA">
        <w:t>.</w:t>
      </w:r>
    </w:p>
    <w:p w14:paraId="26DFCB7C" w14:textId="68E4133B" w:rsidR="002B3771" w:rsidRPr="007C6AEA" w:rsidRDefault="007C6AEA" w:rsidP="00A352DC">
      <w:pPr>
        <w:pStyle w:val="ListParagraph"/>
        <w:numPr>
          <w:ilvl w:val="1"/>
          <w:numId w:val="49"/>
        </w:numPr>
        <w:ind w:left="851" w:hanging="716"/>
      </w:pPr>
      <w:r>
        <w:t>I</w:t>
      </w:r>
      <w:r w:rsidR="002B3771" w:rsidRPr="007C6AEA">
        <w:t xml:space="preserve">f </w:t>
      </w:r>
      <w:r>
        <w:t xml:space="preserve">the Joint Authority decides to make </w:t>
      </w:r>
      <w:r w:rsidR="002B3771" w:rsidRPr="007C6AEA">
        <w:t xml:space="preserve">an offer to grant or renew </w:t>
      </w:r>
      <w:r>
        <w:t>to the application, the applicant must accept this offer within the period specified in section 260 of the OPGGS Act.</w:t>
      </w:r>
    </w:p>
    <w:p w14:paraId="1F6161E8" w14:textId="77777777" w:rsidR="007C6AEA" w:rsidRDefault="002B3771" w:rsidP="00A352DC">
      <w:pPr>
        <w:pStyle w:val="ListParagraph"/>
        <w:numPr>
          <w:ilvl w:val="1"/>
          <w:numId w:val="49"/>
        </w:numPr>
        <w:ind w:left="851" w:hanging="716"/>
      </w:pPr>
      <w:r w:rsidRPr="007C6AEA">
        <w:t xml:space="preserve">If the Joint Authority is satisfied that an application does not meet the </w:t>
      </w:r>
      <w:r w:rsidR="007C6AEA" w:rsidRPr="007C6AEA">
        <w:t>c</w:t>
      </w:r>
      <w:r w:rsidR="007C6AEA">
        <w:t>riteria</w:t>
      </w:r>
      <w:r w:rsidRPr="007C6AEA">
        <w:t xml:space="preserve"> for </w:t>
      </w:r>
      <w:r w:rsidR="007C6AEA">
        <w:t xml:space="preserve">an offer to </w:t>
      </w:r>
      <w:r w:rsidRPr="007C6AEA">
        <w:t>grant or renew</w:t>
      </w:r>
      <w:r w:rsidR="007C6AEA">
        <w:t xml:space="preserve">, the Joint Authority </w:t>
      </w:r>
      <w:r w:rsidRPr="007C6AEA">
        <w:t>must refuse to grant or renew the lease.</w:t>
      </w:r>
    </w:p>
    <w:p w14:paraId="35D5DF41" w14:textId="2A445FEA" w:rsidR="007C6AEA" w:rsidRPr="000E3C58" w:rsidRDefault="007C6AEA" w:rsidP="000E3C58">
      <w:pPr>
        <w:pStyle w:val="Heading3"/>
      </w:pPr>
      <w:bookmarkStart w:id="111" w:name="_Toc215524960"/>
      <w:r w:rsidRPr="000E3C58">
        <w:t>Offer to grant or renew</w:t>
      </w:r>
      <w:bookmarkEnd w:id="111"/>
    </w:p>
    <w:p w14:paraId="68E28ADD" w14:textId="77777777" w:rsidR="007C6AEA" w:rsidRPr="007B311D" w:rsidRDefault="007C6AEA" w:rsidP="000E3C58">
      <w:pPr>
        <w:pStyle w:val="Heading4"/>
        <w:rPr>
          <w:lang w:eastAsia="en-AU"/>
        </w:rPr>
      </w:pPr>
      <w:bookmarkStart w:id="112" w:name="_Toc90303843"/>
      <w:r>
        <w:rPr>
          <w:lang w:eastAsia="en-AU"/>
        </w:rPr>
        <w:t>Exploration p</w:t>
      </w:r>
      <w:r w:rsidRPr="00D33493">
        <w:rPr>
          <w:lang w:eastAsia="en-AU"/>
        </w:rPr>
        <w:t xml:space="preserve">ermit </w:t>
      </w:r>
      <w:r>
        <w:rPr>
          <w:lang w:eastAsia="en-AU"/>
        </w:rPr>
        <w:t>h</w:t>
      </w:r>
      <w:r w:rsidRPr="00D33493">
        <w:rPr>
          <w:lang w:eastAsia="en-AU"/>
        </w:rPr>
        <w:t>older</w:t>
      </w:r>
      <w:bookmarkEnd w:id="112"/>
    </w:p>
    <w:p w14:paraId="55F640B6" w14:textId="76106586" w:rsidR="007C6AEA" w:rsidRPr="000E3C58" w:rsidRDefault="007C6AEA" w:rsidP="00A352DC">
      <w:pPr>
        <w:pStyle w:val="ListParagraph"/>
        <w:numPr>
          <w:ilvl w:val="1"/>
          <w:numId w:val="49"/>
        </w:numPr>
        <w:ind w:left="851" w:hanging="716"/>
      </w:pPr>
      <w:r w:rsidRPr="000E3C58">
        <w:t>The Joint Authority must offer the applicant a petroleum retention lease if the Joint Authority is</w:t>
      </w:r>
      <w:r w:rsidR="000E3C58">
        <w:t xml:space="preserve"> satisfied of </w:t>
      </w:r>
      <w:proofErr w:type="gramStart"/>
      <w:r w:rsidR="000E3C58">
        <w:t>all of</w:t>
      </w:r>
      <w:proofErr w:type="gramEnd"/>
      <w:r w:rsidR="000E3C58">
        <w:t xml:space="preserve"> the following</w:t>
      </w:r>
      <w:r w:rsidRPr="000E3C58">
        <w:t>:</w:t>
      </w:r>
    </w:p>
    <w:p w14:paraId="631D6CB1" w14:textId="23831C16" w:rsidR="007C6AEA" w:rsidRPr="000E3C58" w:rsidRDefault="000E3C58" w:rsidP="00A352DC">
      <w:pPr>
        <w:pStyle w:val="ListParagraph"/>
        <w:numPr>
          <w:ilvl w:val="2"/>
          <w:numId w:val="49"/>
        </w:numPr>
        <w:ind w:hanging="373"/>
      </w:pPr>
      <w:r>
        <w:t xml:space="preserve">that </w:t>
      </w:r>
      <w:r w:rsidR="007C6AEA" w:rsidRPr="000E3C58">
        <w:t>the area comprised in the block, or any one or more of the blocks, specified in the application contains petroleum</w:t>
      </w:r>
      <w:r w:rsidR="00F517BB">
        <w:t>.</w:t>
      </w:r>
    </w:p>
    <w:p w14:paraId="7E539639" w14:textId="77777777" w:rsidR="00E04F7D" w:rsidRDefault="000E3C58" w:rsidP="00A352DC">
      <w:pPr>
        <w:pStyle w:val="ListParagraph"/>
        <w:numPr>
          <w:ilvl w:val="2"/>
          <w:numId w:val="49"/>
        </w:numPr>
        <w:ind w:hanging="373"/>
      </w:pPr>
      <w:r>
        <w:t xml:space="preserve">that </w:t>
      </w:r>
      <w:r w:rsidR="007C6AEA" w:rsidRPr="000E3C58">
        <w:t>the recovery of petroleum from that area is</w:t>
      </w:r>
      <w:r w:rsidR="00E04F7D">
        <w:t>:</w:t>
      </w:r>
    </w:p>
    <w:p w14:paraId="7ADFB5B0" w14:textId="3107D6C7" w:rsidR="007C6AEA" w:rsidRPr="000E3C58" w:rsidRDefault="007C6AEA" w:rsidP="00A352DC">
      <w:pPr>
        <w:pStyle w:val="ListParagraph"/>
        <w:numPr>
          <w:ilvl w:val="3"/>
          <w:numId w:val="23"/>
        </w:numPr>
        <w:ind w:hanging="452"/>
      </w:pPr>
      <w:r w:rsidRPr="000E3C58">
        <w:t xml:space="preserve"> not, at the time of the application, commercially viable</w:t>
      </w:r>
      <w:r w:rsidR="00136A4F">
        <w:t>; and</w:t>
      </w:r>
    </w:p>
    <w:p w14:paraId="734A16A6" w14:textId="77D933B5" w:rsidR="007C6AEA" w:rsidRPr="000E3C58" w:rsidRDefault="007C6AEA" w:rsidP="00A352DC">
      <w:pPr>
        <w:pStyle w:val="ListParagraph"/>
        <w:numPr>
          <w:ilvl w:val="3"/>
          <w:numId w:val="23"/>
        </w:numPr>
        <w:ind w:hanging="452"/>
      </w:pPr>
      <w:r w:rsidRPr="000E3C58">
        <w:t>likely to become commercially viable within 15</w:t>
      </w:r>
      <w:r w:rsidR="000556B6">
        <w:t xml:space="preserve"> </w:t>
      </w:r>
      <w:r w:rsidRPr="000E3C58">
        <w:t>years after that time</w:t>
      </w:r>
      <w:r w:rsidR="00F517BB">
        <w:t>.</w:t>
      </w:r>
    </w:p>
    <w:p w14:paraId="7C53C5ED" w14:textId="14B149D7" w:rsidR="007C6AEA" w:rsidRPr="000E3C58" w:rsidRDefault="000E3C58" w:rsidP="00A352DC">
      <w:pPr>
        <w:pStyle w:val="ListParagraph"/>
        <w:numPr>
          <w:ilvl w:val="2"/>
          <w:numId w:val="49"/>
        </w:numPr>
        <w:ind w:hanging="373"/>
      </w:pPr>
      <w:r>
        <w:t xml:space="preserve">that </w:t>
      </w:r>
      <w:r w:rsidR="007C6AEA" w:rsidRPr="000E3C58">
        <w:t>the technical advice and financial resources available to the applicant are sufficient to carry out the operations and works that will be authorised by the lease, and discharge obligations that will be imposed under the OPGGS Act, or a legislative instrument under the OPGGS Act, in relation to the lease</w:t>
      </w:r>
      <w:r w:rsidR="008C43D1">
        <w:t>.</w:t>
      </w:r>
    </w:p>
    <w:p w14:paraId="34DD1D65" w14:textId="77777777" w:rsidR="007C6AEA" w:rsidRPr="000E3C58" w:rsidRDefault="007C6AEA" w:rsidP="00A352DC">
      <w:pPr>
        <w:pStyle w:val="ListParagraph"/>
        <w:numPr>
          <w:ilvl w:val="2"/>
          <w:numId w:val="49"/>
        </w:numPr>
        <w:ind w:hanging="373"/>
      </w:pPr>
      <w:r w:rsidRPr="000E3C58">
        <w:t>of any other matters prescribed by the regulations.</w:t>
      </w:r>
    </w:p>
    <w:p w14:paraId="4F4D969F" w14:textId="77777777" w:rsidR="000E3C58" w:rsidRDefault="000E3C58" w:rsidP="000E3C58">
      <w:pPr>
        <w:pStyle w:val="Heading4"/>
        <w:rPr>
          <w:rFonts w:asciiTheme="minorHAnsi" w:hAnsiTheme="minorHAnsi" w:cstheme="minorHAnsi"/>
          <w:color w:val="auto"/>
          <w:sz w:val="22"/>
          <w:szCs w:val="22"/>
        </w:rPr>
      </w:pPr>
      <w:bookmarkStart w:id="113" w:name="_Toc83808932"/>
      <w:bookmarkStart w:id="114" w:name="_Toc90303845"/>
      <w:bookmarkStart w:id="115" w:name="_Toc90303844"/>
      <w:r>
        <w:rPr>
          <w:lang w:eastAsia="en-AU"/>
        </w:rPr>
        <w:t>R</w:t>
      </w:r>
      <w:r w:rsidRPr="00D33493">
        <w:rPr>
          <w:lang w:eastAsia="en-AU"/>
        </w:rPr>
        <w:t xml:space="preserve">etention </w:t>
      </w:r>
      <w:r>
        <w:rPr>
          <w:lang w:eastAsia="en-AU"/>
        </w:rPr>
        <w:t>l</w:t>
      </w:r>
      <w:r w:rsidRPr="00D33493">
        <w:rPr>
          <w:lang w:eastAsia="en-AU"/>
        </w:rPr>
        <w:t xml:space="preserve">ease </w:t>
      </w:r>
      <w:r>
        <w:rPr>
          <w:lang w:eastAsia="en-AU"/>
        </w:rPr>
        <w:t>holder</w:t>
      </w:r>
      <w:bookmarkEnd w:id="113"/>
      <w:bookmarkEnd w:id="114"/>
    </w:p>
    <w:p w14:paraId="6E984393" w14:textId="2EAE8F2D" w:rsidR="000E3C58" w:rsidRPr="000E3C58" w:rsidRDefault="000E3C58" w:rsidP="00A352DC">
      <w:pPr>
        <w:pStyle w:val="ListParagraph"/>
        <w:numPr>
          <w:ilvl w:val="1"/>
          <w:numId w:val="49"/>
        </w:numPr>
        <w:ind w:left="851" w:hanging="716"/>
      </w:pPr>
      <w:r w:rsidRPr="000E3C58">
        <w:t xml:space="preserve">In deciding whether to offer the applicant the renewal of a retention lease, the Joint Authority must be satisfied </w:t>
      </w:r>
      <w:r>
        <w:t xml:space="preserve">of </w:t>
      </w:r>
      <w:proofErr w:type="gramStart"/>
      <w:r>
        <w:t>all of</w:t>
      </w:r>
      <w:proofErr w:type="gramEnd"/>
      <w:r>
        <w:t xml:space="preserve"> the following:</w:t>
      </w:r>
    </w:p>
    <w:p w14:paraId="43A252B0" w14:textId="77777777" w:rsidR="000E3C58" w:rsidRDefault="000E3C58" w:rsidP="00A352DC">
      <w:pPr>
        <w:pStyle w:val="ListParagraph"/>
        <w:numPr>
          <w:ilvl w:val="2"/>
          <w:numId w:val="49"/>
        </w:numPr>
        <w:ind w:hanging="373"/>
      </w:pPr>
      <w:r w:rsidRPr="000E3C58">
        <w:t>that the recovery of petroleum from the lease area:</w:t>
      </w:r>
    </w:p>
    <w:p w14:paraId="6569D7F3" w14:textId="7E9E5209" w:rsidR="000E3C58" w:rsidRPr="000E3C58" w:rsidRDefault="000E3C58" w:rsidP="00A352DC">
      <w:pPr>
        <w:pStyle w:val="ListParagraph"/>
        <w:numPr>
          <w:ilvl w:val="3"/>
          <w:numId w:val="16"/>
        </w:numPr>
        <w:ind w:hanging="452"/>
      </w:pPr>
      <w:r w:rsidRPr="000E3C58">
        <w:t>is not, at the time of the application, commercially viable</w:t>
      </w:r>
      <w:r w:rsidR="0079434A">
        <w:t>; and</w:t>
      </w:r>
    </w:p>
    <w:p w14:paraId="288E663C" w14:textId="123356A5" w:rsidR="000E3C58" w:rsidRPr="000E3C58" w:rsidRDefault="000E3C58" w:rsidP="00A352DC">
      <w:pPr>
        <w:pStyle w:val="ListParagraph"/>
        <w:numPr>
          <w:ilvl w:val="3"/>
          <w:numId w:val="16"/>
        </w:numPr>
        <w:ind w:hanging="452"/>
      </w:pPr>
      <w:r w:rsidRPr="000E3C58">
        <w:t>is likely to become commercially viable within 15</w:t>
      </w:r>
      <w:r w:rsidR="00423359">
        <w:t xml:space="preserve"> </w:t>
      </w:r>
      <w:r w:rsidRPr="000E3C58">
        <w:t>years after that time</w:t>
      </w:r>
      <w:r w:rsidR="006D6421">
        <w:t>.</w:t>
      </w:r>
    </w:p>
    <w:p w14:paraId="79F4E748" w14:textId="568FC0B2" w:rsidR="000E3C58" w:rsidRPr="000E3C58" w:rsidRDefault="000E3C58" w:rsidP="00A352DC">
      <w:pPr>
        <w:pStyle w:val="ListParagraph"/>
        <w:numPr>
          <w:ilvl w:val="2"/>
          <w:numId w:val="49"/>
        </w:numPr>
        <w:ind w:hanging="373"/>
      </w:pPr>
      <w:r w:rsidRPr="000E3C58">
        <w:t xml:space="preserve">compliance with the conditions on the lease, </w:t>
      </w:r>
      <w:r w:rsidR="009B25FC">
        <w:t>c</w:t>
      </w:r>
      <w:r w:rsidRPr="000E3C58">
        <w:t>hapter</w:t>
      </w:r>
      <w:r w:rsidR="00BE2ECD">
        <w:t>s</w:t>
      </w:r>
      <w:r w:rsidRPr="000E3C58">
        <w:t xml:space="preserve"> 2,</w:t>
      </w:r>
      <w:r w:rsidRPr="000E3C58" w:rsidDel="00E63FEA">
        <w:t xml:space="preserve"> </w:t>
      </w:r>
      <w:r w:rsidRPr="000E3C58">
        <w:t>4,5A, 6 and Part 7.1 of the OPGGS Act and the regulations</w:t>
      </w:r>
      <w:r w:rsidR="006D6421">
        <w:t>.</w:t>
      </w:r>
    </w:p>
    <w:p w14:paraId="4359AD0B" w14:textId="63E054D0" w:rsidR="000E3C58" w:rsidRPr="001125B5" w:rsidRDefault="000E3C58" w:rsidP="00A352DC">
      <w:pPr>
        <w:pStyle w:val="ListParagraph"/>
        <w:numPr>
          <w:ilvl w:val="2"/>
          <w:numId w:val="49"/>
        </w:numPr>
        <w:ind w:hanging="373"/>
      </w:pPr>
      <w:r w:rsidRPr="001125B5">
        <w:t>the technical advice and financial resources available to the applicant</w:t>
      </w:r>
      <w:r w:rsidR="00120E5D" w:rsidRPr="001125B5">
        <w:t xml:space="preserve"> are sufficient to carry out the operations and works that will be authorised by the lease, and discharge obligations that will be imposed under the OPGGS Act, or a legislative instrument under the OPGGS Act, in relation to the lease</w:t>
      </w:r>
      <w:r w:rsidR="006D6421">
        <w:t>.</w:t>
      </w:r>
    </w:p>
    <w:p w14:paraId="62504A72" w14:textId="77777777" w:rsidR="000E3C58" w:rsidRPr="000E3C58" w:rsidRDefault="000E3C58" w:rsidP="00A352DC">
      <w:pPr>
        <w:pStyle w:val="ListParagraph"/>
        <w:numPr>
          <w:ilvl w:val="2"/>
          <w:numId w:val="49"/>
        </w:numPr>
        <w:ind w:hanging="373"/>
      </w:pPr>
      <w:r w:rsidRPr="000E3C58">
        <w:t>any other matters prescribed by the regulations.</w:t>
      </w:r>
    </w:p>
    <w:p w14:paraId="3D44F43F" w14:textId="0CE5A14E" w:rsidR="000E3C58" w:rsidRPr="000E3C58" w:rsidRDefault="000E3C58" w:rsidP="00A352DC">
      <w:pPr>
        <w:pStyle w:val="ListParagraph"/>
        <w:numPr>
          <w:ilvl w:val="1"/>
          <w:numId w:val="49"/>
        </w:numPr>
        <w:ind w:left="851" w:hanging="716"/>
      </w:pPr>
      <w:r w:rsidRPr="000E3C58">
        <w:t xml:space="preserve">If </w:t>
      </w:r>
      <w:proofErr w:type="gramStart"/>
      <w:r w:rsidRPr="000E3C58">
        <w:t>all of</w:t>
      </w:r>
      <w:proofErr w:type="gramEnd"/>
      <w:r w:rsidRPr="000E3C58">
        <w:t xml:space="preserve"> the criteria are met, the Joint Authority must offer to renew the lease</w:t>
      </w:r>
      <w:r>
        <w:t xml:space="preserve">. </w:t>
      </w:r>
      <w:r w:rsidRPr="000E3C58">
        <w:t xml:space="preserve">If there has been non-compliance with lease conditions, </w:t>
      </w:r>
      <w:r w:rsidR="00712FE7">
        <w:t>c</w:t>
      </w:r>
      <w:r w:rsidRPr="000E3C58">
        <w:t>hapter</w:t>
      </w:r>
      <w:r w:rsidR="00712FE7">
        <w:t>s</w:t>
      </w:r>
      <w:r w:rsidRPr="000E3C58">
        <w:t xml:space="preserve"> 2,</w:t>
      </w:r>
      <w:r w:rsidRPr="000E3C58" w:rsidDel="00712FE7">
        <w:t xml:space="preserve"> </w:t>
      </w:r>
      <w:r w:rsidRPr="000E3C58">
        <w:t>4,</w:t>
      </w:r>
      <w:r w:rsidRPr="000E3C58" w:rsidDel="00712FE7">
        <w:t xml:space="preserve"> </w:t>
      </w:r>
      <w:r w:rsidRPr="000E3C58">
        <w:t>5A,</w:t>
      </w:r>
      <w:r w:rsidRPr="000E3C58" w:rsidDel="00712FE7">
        <w:t xml:space="preserve"> </w:t>
      </w:r>
      <w:r w:rsidRPr="000E3C58">
        <w:t xml:space="preserve">6 and/or Part 7.1 of the OPGGS Act, and/or the regulations, the Joint Authority may offer to renew the lease if </w:t>
      </w:r>
      <w:r>
        <w:t xml:space="preserve">it is </w:t>
      </w:r>
      <w:r w:rsidRPr="000E3C58">
        <w:t>satisfied there are sufficient grounds to warrant doing so</w:t>
      </w:r>
      <w:r>
        <w:t>.</w:t>
      </w:r>
    </w:p>
    <w:p w14:paraId="21BD6EC1" w14:textId="77777777" w:rsidR="007C6AEA" w:rsidRPr="00D33493" w:rsidRDefault="007C6AEA" w:rsidP="000E3C58">
      <w:pPr>
        <w:pStyle w:val="Heading4"/>
        <w:rPr>
          <w:lang w:eastAsia="en-AU"/>
        </w:rPr>
      </w:pPr>
      <w:r>
        <w:rPr>
          <w:lang w:eastAsia="en-AU"/>
        </w:rPr>
        <w:lastRenderedPageBreak/>
        <w:t>Production l</w:t>
      </w:r>
      <w:r w:rsidRPr="00D33493">
        <w:rPr>
          <w:lang w:eastAsia="en-AU"/>
        </w:rPr>
        <w:t xml:space="preserve">icence </w:t>
      </w:r>
      <w:r>
        <w:rPr>
          <w:lang w:eastAsia="en-AU"/>
        </w:rPr>
        <w:t>h</w:t>
      </w:r>
      <w:r w:rsidRPr="00D33493">
        <w:rPr>
          <w:lang w:eastAsia="en-AU"/>
        </w:rPr>
        <w:t>older</w:t>
      </w:r>
      <w:bookmarkEnd w:id="115"/>
      <w:r w:rsidRPr="00D33493">
        <w:rPr>
          <w:lang w:eastAsia="en-AU"/>
        </w:rPr>
        <w:t xml:space="preserve"> </w:t>
      </w:r>
    </w:p>
    <w:p w14:paraId="7B4EAB64" w14:textId="063805DB" w:rsidR="007C6AEA" w:rsidRPr="000E3C58" w:rsidRDefault="007C6AEA" w:rsidP="00A352DC">
      <w:pPr>
        <w:pStyle w:val="ListParagraph"/>
        <w:numPr>
          <w:ilvl w:val="1"/>
          <w:numId w:val="49"/>
        </w:numPr>
        <w:ind w:left="851" w:hanging="716"/>
      </w:pPr>
      <w:r w:rsidRPr="000E3C58">
        <w:t xml:space="preserve">The Joint Authority must offer the applicant a petroleum retention lease if the Joint Authority is satisfied </w:t>
      </w:r>
      <w:r w:rsidR="000E3C58">
        <w:t xml:space="preserve">of </w:t>
      </w:r>
      <w:proofErr w:type="gramStart"/>
      <w:r w:rsidR="000E3C58">
        <w:t>all of</w:t>
      </w:r>
      <w:proofErr w:type="gramEnd"/>
      <w:r w:rsidR="000E3C58">
        <w:t xml:space="preserve"> the following:</w:t>
      </w:r>
    </w:p>
    <w:p w14:paraId="14120DE6" w14:textId="77777777" w:rsidR="007C6AEA" w:rsidRPr="000E3C58" w:rsidRDefault="007C6AEA" w:rsidP="00A352DC">
      <w:pPr>
        <w:pStyle w:val="ListParagraph"/>
        <w:numPr>
          <w:ilvl w:val="2"/>
          <w:numId w:val="49"/>
        </w:numPr>
        <w:ind w:hanging="373"/>
      </w:pPr>
      <w:r w:rsidRPr="000E3C58">
        <w:t>that recovery of petroleum from the unused area:</w:t>
      </w:r>
    </w:p>
    <w:p w14:paraId="6D225FDD" w14:textId="3D75BC15" w:rsidR="00007775" w:rsidRDefault="007C6AEA" w:rsidP="00EE3E49">
      <w:pPr>
        <w:pStyle w:val="ListParagraph"/>
        <w:numPr>
          <w:ilvl w:val="0"/>
          <w:numId w:val="52"/>
        </w:numPr>
      </w:pPr>
      <w:r w:rsidRPr="000E3C58">
        <w:t>is not, at the time of the application, commercially viable</w:t>
      </w:r>
      <w:r w:rsidR="00EE3E49">
        <w:t>; and</w:t>
      </w:r>
    </w:p>
    <w:p w14:paraId="42CB2A6D" w14:textId="4277130B" w:rsidR="007C6AEA" w:rsidRPr="000E3C58" w:rsidRDefault="007C6AEA" w:rsidP="00A352DC">
      <w:pPr>
        <w:pStyle w:val="ListParagraph"/>
        <w:numPr>
          <w:ilvl w:val="0"/>
          <w:numId w:val="52"/>
        </w:numPr>
      </w:pPr>
      <w:r w:rsidRPr="000E3C58">
        <w:t>is likely to become commercially viable within the period of 15</w:t>
      </w:r>
      <w:r w:rsidR="00423359">
        <w:t xml:space="preserve"> </w:t>
      </w:r>
      <w:r w:rsidRPr="000E3C58">
        <w:t>years after that time</w:t>
      </w:r>
      <w:r w:rsidR="001F680D">
        <w:t>.</w:t>
      </w:r>
    </w:p>
    <w:p w14:paraId="07276A3F" w14:textId="5120DFA1" w:rsidR="007C6AEA" w:rsidRPr="000E3C58" w:rsidRDefault="007C6AEA" w:rsidP="00A352DC">
      <w:pPr>
        <w:pStyle w:val="ListParagraph"/>
        <w:numPr>
          <w:ilvl w:val="2"/>
          <w:numId w:val="49"/>
        </w:numPr>
        <w:ind w:hanging="373"/>
      </w:pPr>
      <w:r w:rsidRPr="000E3C58">
        <w:t>that the technical advice and financial resources available to the applicant are sufficient to carry out the operations and works that will be authorised by the lease, and discharge obligations that will be imposed under the OPGGS Act, or a legislative instrument under the OPGGS Act, in relation to the lease</w:t>
      </w:r>
      <w:r w:rsidR="001F680D">
        <w:t>.</w:t>
      </w:r>
    </w:p>
    <w:p w14:paraId="0E23B3C7" w14:textId="77777777" w:rsidR="007C6AEA" w:rsidRPr="000E3C58" w:rsidRDefault="007C6AEA" w:rsidP="00A352DC">
      <w:pPr>
        <w:pStyle w:val="ListParagraph"/>
        <w:numPr>
          <w:ilvl w:val="2"/>
          <w:numId w:val="49"/>
        </w:numPr>
        <w:ind w:hanging="373"/>
      </w:pPr>
      <w:r w:rsidRPr="000E3C58">
        <w:t>of any other matters prescribed by the regulations.</w:t>
      </w:r>
    </w:p>
    <w:p w14:paraId="1665ADD0" w14:textId="77777777" w:rsidR="000E3C58" w:rsidRDefault="000E3C58" w:rsidP="000E3C58">
      <w:pPr>
        <w:pStyle w:val="Heading3"/>
      </w:pPr>
      <w:bookmarkStart w:id="116" w:name="_Toc215524961"/>
      <w:r>
        <w:t>Refusal to grant or renew</w:t>
      </w:r>
      <w:bookmarkEnd w:id="116"/>
    </w:p>
    <w:p w14:paraId="231B7EE6" w14:textId="2A21544B" w:rsidR="000E3C58" w:rsidRPr="000E3C58" w:rsidRDefault="00E406FB" w:rsidP="00A352DC">
      <w:pPr>
        <w:pStyle w:val="ListParagraph"/>
        <w:numPr>
          <w:ilvl w:val="1"/>
          <w:numId w:val="49"/>
        </w:numPr>
        <w:ind w:left="851" w:hanging="716"/>
      </w:pPr>
      <w:r>
        <w:t>Where the Joint Authority intends to refuse to grant or renew a retention lease, consultation procedures apply under section 262 of the OPGGS Act</w:t>
      </w:r>
      <w:r w:rsidR="76D30E9E">
        <w:t>.</w:t>
      </w:r>
    </w:p>
    <w:p w14:paraId="034CDC36" w14:textId="77777777" w:rsidR="000E3C58" w:rsidRPr="00B11F2F" w:rsidRDefault="000E3C58" w:rsidP="000E3C58">
      <w:pPr>
        <w:pStyle w:val="Heading4"/>
      </w:pPr>
      <w:bookmarkStart w:id="117" w:name="_Toc90303847"/>
      <w:r>
        <w:t>Exploration permit holder</w:t>
      </w:r>
      <w:bookmarkEnd w:id="117"/>
    </w:p>
    <w:p w14:paraId="36A8AD47" w14:textId="30A3282E" w:rsidR="000E3C58" w:rsidRPr="000E3C58" w:rsidRDefault="000E3C58" w:rsidP="00A352DC">
      <w:pPr>
        <w:pStyle w:val="ListParagraph"/>
        <w:numPr>
          <w:ilvl w:val="1"/>
          <w:numId w:val="49"/>
        </w:numPr>
        <w:ind w:left="851" w:hanging="716"/>
      </w:pPr>
      <w:r w:rsidRPr="000E3C58">
        <w:t>The Joint Authority must refuse to grant a retention lease if it is not satisfied with the technical advice and financial resources available to the applicant</w:t>
      </w:r>
      <w:r w:rsidR="00E406FB">
        <w:t>.</w:t>
      </w:r>
    </w:p>
    <w:p w14:paraId="000C5657" w14:textId="116A93E5" w:rsidR="000E3C58" w:rsidRPr="000E3C58" w:rsidRDefault="000E3C58" w:rsidP="00A352DC">
      <w:pPr>
        <w:pStyle w:val="ListParagraph"/>
        <w:numPr>
          <w:ilvl w:val="1"/>
          <w:numId w:val="49"/>
        </w:numPr>
        <w:ind w:left="851" w:hanging="716"/>
      </w:pPr>
      <w:r w:rsidRPr="000E3C58">
        <w:t>If the Joint Authority is not satisfied that the criteria specified in s</w:t>
      </w:r>
      <w:r w:rsidR="00E406FB">
        <w:t>ection</w:t>
      </w:r>
      <w:r w:rsidRPr="000E3C58">
        <w:t xml:space="preserve"> 142</w:t>
      </w:r>
      <w:r w:rsidR="00E406FB">
        <w:t xml:space="preserve"> of the OPGGS Act</w:t>
      </w:r>
      <w:r w:rsidRPr="000E3C58">
        <w:t xml:space="preserve"> have been met for any of the blocks within the application, the Joint Authority must refuse to grant a petroleum retention lease in respect of those block(s) for which the criteria </w:t>
      </w:r>
      <w:r w:rsidR="00E406FB">
        <w:t>have not been met.</w:t>
      </w:r>
    </w:p>
    <w:p w14:paraId="7458EE0A" w14:textId="77DA349A" w:rsidR="000E3C58" w:rsidRPr="000E3C58" w:rsidRDefault="000E3C58" w:rsidP="00A352DC">
      <w:pPr>
        <w:pStyle w:val="ListParagraph"/>
        <w:numPr>
          <w:ilvl w:val="1"/>
          <w:numId w:val="49"/>
        </w:numPr>
        <w:ind w:left="851" w:hanging="716"/>
      </w:pPr>
      <w:r w:rsidRPr="000E3C58">
        <w:t xml:space="preserve">If the Joint Authority is not satisfied of the matters (if any) prescribed by the regulations, the Joint Authority may also, by written notice given to the applicant, refuse to grant a </w:t>
      </w:r>
      <w:r w:rsidR="00E406FB">
        <w:t>P</w:t>
      </w:r>
      <w:r w:rsidRPr="000E3C58">
        <w:t xml:space="preserve">etroleum </w:t>
      </w:r>
      <w:r w:rsidR="00E406FB">
        <w:t>R</w:t>
      </w:r>
      <w:r w:rsidRPr="000E3C58">
        <w:t xml:space="preserve">etention </w:t>
      </w:r>
      <w:r w:rsidR="00E406FB">
        <w:t>L</w:t>
      </w:r>
      <w:r w:rsidRPr="000E3C58">
        <w:t>ease to the applicant</w:t>
      </w:r>
      <w:r w:rsidR="00E406FB">
        <w:t>.</w:t>
      </w:r>
    </w:p>
    <w:p w14:paraId="5213EA34" w14:textId="77777777" w:rsidR="00E406FB" w:rsidRDefault="000E3C58" w:rsidP="00A352DC">
      <w:pPr>
        <w:pStyle w:val="ListParagraph"/>
        <w:numPr>
          <w:ilvl w:val="1"/>
          <w:numId w:val="49"/>
        </w:numPr>
        <w:ind w:left="851" w:hanging="716"/>
      </w:pPr>
      <w:r w:rsidRPr="000E3C58">
        <w:t>If the Joint Authority refuses to grant an application for a retention lease for a block(s) constituting a location because it is not satisfied that</w:t>
      </w:r>
    </w:p>
    <w:p w14:paraId="7D5E845A" w14:textId="77777777" w:rsidR="00C46ECD" w:rsidRDefault="000E3C58" w:rsidP="00A352DC">
      <w:pPr>
        <w:pStyle w:val="ListParagraph"/>
        <w:numPr>
          <w:ilvl w:val="2"/>
          <w:numId w:val="49"/>
        </w:numPr>
        <w:ind w:hanging="373"/>
      </w:pPr>
      <w:r w:rsidRPr="000E3C58">
        <w:t>the block(s) contains petroleum</w:t>
      </w:r>
      <w:r w:rsidR="00E406FB">
        <w:t xml:space="preserve"> </w:t>
      </w:r>
      <w:r w:rsidRPr="000E3C58">
        <w:t>or</w:t>
      </w:r>
    </w:p>
    <w:p w14:paraId="487E1138" w14:textId="5FFF440E" w:rsidR="00E406FB" w:rsidRDefault="000E3C58" w:rsidP="00A352DC">
      <w:pPr>
        <w:pStyle w:val="ListParagraph"/>
        <w:numPr>
          <w:ilvl w:val="2"/>
          <w:numId w:val="49"/>
        </w:numPr>
        <w:ind w:hanging="373"/>
      </w:pPr>
      <w:r w:rsidRPr="000E3C58">
        <w:t>that recovery of petroleum from the</w:t>
      </w:r>
      <w:r w:rsidR="00E406FB">
        <w:t xml:space="preserve"> </w:t>
      </w:r>
      <w:r w:rsidRPr="000E3C58">
        <w:t>block(s) is likely to become commercially viable within 15</w:t>
      </w:r>
      <w:r w:rsidR="000556B6">
        <w:t xml:space="preserve"> </w:t>
      </w:r>
      <w:r w:rsidRPr="000E3C58">
        <w:t>years</w:t>
      </w:r>
      <w:r w:rsidR="00EB24D4">
        <w:t>.</w:t>
      </w:r>
    </w:p>
    <w:p w14:paraId="12B0FCCF" w14:textId="04D623C5" w:rsidR="000E3C58" w:rsidRPr="000E3C58" w:rsidRDefault="000E3C58" w:rsidP="00E406FB">
      <w:pPr>
        <w:ind w:left="851"/>
      </w:pPr>
      <w:r w:rsidRPr="000E3C58">
        <w:t xml:space="preserve">the declaration of a location over that block(s) must be revoked by the Joint Authority, by a notice published in the </w:t>
      </w:r>
      <w:r w:rsidR="00E406FB">
        <w:t xml:space="preserve">Australian Government </w:t>
      </w:r>
      <w:r w:rsidRPr="000E3C58">
        <w:t>Gazette</w:t>
      </w:r>
      <w:r w:rsidR="00E406FB">
        <w:t xml:space="preserve">. </w:t>
      </w:r>
      <w:r w:rsidRPr="000E3C58">
        <w:t>If the applicant then wants to apply for a petroleum production licence in relation to the block(s), it must re-nominate the block(s) for declaration as a location before it applies for the petroleum production licence.</w:t>
      </w:r>
    </w:p>
    <w:p w14:paraId="2ADF462D" w14:textId="77777777" w:rsidR="000E3C58" w:rsidRPr="000E3C58" w:rsidRDefault="000E3C58" w:rsidP="00A352DC">
      <w:pPr>
        <w:pStyle w:val="ListParagraph"/>
        <w:numPr>
          <w:ilvl w:val="1"/>
          <w:numId w:val="49"/>
        </w:numPr>
        <w:ind w:left="851" w:hanging="716"/>
      </w:pPr>
      <w:r w:rsidRPr="000E3C58">
        <w:t>If the Joint Authority refuses to grant an application for a retention lease for a block(s) the permittee may wish to consider what continuing rights it may be entitled to in relation to that block(s) under the exploration permit.</w:t>
      </w:r>
    </w:p>
    <w:p w14:paraId="5293EFEF" w14:textId="150455BF" w:rsidR="000E3C58" w:rsidRPr="000E3C58" w:rsidRDefault="000E3C58" w:rsidP="00A352DC">
      <w:pPr>
        <w:pStyle w:val="ListParagraph"/>
        <w:numPr>
          <w:ilvl w:val="1"/>
          <w:numId w:val="49"/>
        </w:numPr>
        <w:ind w:left="851" w:hanging="716"/>
      </w:pPr>
      <w:r w:rsidRPr="000E3C58">
        <w:t xml:space="preserve">If the Joint Authority refuses to grant a retention lease for block(s) included in the application on the basis that </w:t>
      </w:r>
      <w:r w:rsidR="00E406FB">
        <w:t xml:space="preserve">it has formed the view that </w:t>
      </w:r>
      <w:r w:rsidRPr="000E3C58">
        <w:t>the block(s) is commercially viable at the time of application, the applicant has 12</w:t>
      </w:r>
      <w:r w:rsidR="00975B6C">
        <w:t xml:space="preserve"> </w:t>
      </w:r>
      <w:r w:rsidRPr="000E3C58">
        <w:t xml:space="preserve">months from the day on which notice of </w:t>
      </w:r>
      <w:r w:rsidR="00E406FB">
        <w:t xml:space="preserve">the </w:t>
      </w:r>
      <w:r w:rsidRPr="000E3C58">
        <w:t>is give</w:t>
      </w:r>
      <w:r w:rsidR="00E406FB">
        <w:t>n</w:t>
      </w:r>
      <w:r w:rsidRPr="000E3C58">
        <w:t xml:space="preserve"> or until the end of the application period specified in s</w:t>
      </w:r>
      <w:r w:rsidR="00E406FB">
        <w:t>ection</w:t>
      </w:r>
      <w:r w:rsidRPr="000E3C58">
        <w:t xml:space="preserve"> 169(1)</w:t>
      </w:r>
      <w:r w:rsidR="00E406FB">
        <w:t xml:space="preserve"> of the OPGGS Act</w:t>
      </w:r>
      <w:r w:rsidRPr="000E3C58">
        <w:t xml:space="preserve"> (whichever ends last), to apply for a production licence</w:t>
      </w:r>
      <w:r w:rsidR="00E406FB">
        <w:t>.</w:t>
      </w:r>
    </w:p>
    <w:p w14:paraId="10687786" w14:textId="3FABF69B" w:rsidR="000E3C58" w:rsidRPr="000E3C58" w:rsidRDefault="000E3C58" w:rsidP="00A352DC">
      <w:pPr>
        <w:pStyle w:val="ListParagraph"/>
        <w:numPr>
          <w:ilvl w:val="1"/>
          <w:numId w:val="49"/>
        </w:numPr>
        <w:ind w:left="851" w:hanging="716"/>
      </w:pPr>
      <w:r w:rsidRPr="000E3C58">
        <w:t xml:space="preserve">The exploration permit holder should consider the potential legal consequences of the provisions in section 188 </w:t>
      </w:r>
      <w:r w:rsidR="00E406FB">
        <w:t xml:space="preserve">of the OPGGS Act </w:t>
      </w:r>
      <w:r w:rsidRPr="000E3C58">
        <w:t>of not making an application, under s</w:t>
      </w:r>
      <w:r w:rsidR="00E406FB">
        <w:t>ection</w:t>
      </w:r>
      <w:r w:rsidRPr="000E3C58">
        <w:t xml:space="preserve"> 168</w:t>
      </w:r>
      <w:r w:rsidR="00E406FB">
        <w:t xml:space="preserve"> of the OPGGS Act</w:t>
      </w:r>
      <w:r w:rsidRPr="000E3C58">
        <w:t>, within the application period.</w:t>
      </w:r>
    </w:p>
    <w:p w14:paraId="037B15C4" w14:textId="77777777" w:rsidR="00E406FB" w:rsidRPr="00B11F2F" w:rsidRDefault="00E406FB" w:rsidP="00E406FB">
      <w:pPr>
        <w:pStyle w:val="Heading4"/>
      </w:pPr>
      <w:bookmarkStart w:id="118" w:name="_Toc90303849"/>
      <w:bookmarkStart w:id="119" w:name="_Toc90303848"/>
      <w:r w:rsidRPr="00311717">
        <w:lastRenderedPageBreak/>
        <w:t>Re</w:t>
      </w:r>
      <w:r>
        <w:t>tention lease holder</w:t>
      </w:r>
      <w:bookmarkEnd w:id="118"/>
    </w:p>
    <w:p w14:paraId="30971D4A" w14:textId="05F807BE" w:rsidR="00E406FB" w:rsidRDefault="00E406FB" w:rsidP="00A352DC">
      <w:pPr>
        <w:pStyle w:val="ListParagraph"/>
        <w:numPr>
          <w:ilvl w:val="1"/>
          <w:numId w:val="49"/>
        </w:numPr>
        <w:ind w:left="851" w:hanging="716"/>
      </w:pPr>
      <w:r>
        <w:t>For renewal applications made under section 153 of the OPGGS Act, section 155 of the OPGGS Act provides that the Joint Authority must refuse to renew a retention lease if</w:t>
      </w:r>
      <w:r w:rsidR="00006839">
        <w:t>:</w:t>
      </w:r>
    </w:p>
    <w:p w14:paraId="7BB33DBA" w14:textId="423926E3" w:rsidR="00E406FB" w:rsidRPr="000E3C58" w:rsidRDefault="00006839" w:rsidP="00A352DC">
      <w:pPr>
        <w:pStyle w:val="ListParagraph"/>
        <w:numPr>
          <w:ilvl w:val="2"/>
          <w:numId w:val="24"/>
        </w:numPr>
        <w:ind w:hanging="373"/>
      </w:pPr>
      <w:r>
        <w:t xml:space="preserve">The Joint Authority is not satisfied as to the </w:t>
      </w:r>
      <w:r w:rsidR="00E406FB" w:rsidRPr="000E3C58">
        <w:t>sufficiency of the technical advice and financial resources available to the applicant</w:t>
      </w:r>
      <w:r>
        <w:t>.</w:t>
      </w:r>
    </w:p>
    <w:p w14:paraId="26540195" w14:textId="6BC4F392" w:rsidR="00E406FB" w:rsidRPr="000E3C58" w:rsidRDefault="00E406FB" w:rsidP="00A352DC">
      <w:pPr>
        <w:pStyle w:val="ListParagraph"/>
        <w:numPr>
          <w:ilvl w:val="2"/>
          <w:numId w:val="24"/>
        </w:numPr>
        <w:ind w:hanging="373"/>
      </w:pPr>
      <w:r w:rsidRPr="000E3C58">
        <w:t>There has been non-compliance with lease conditions, the provisions of Chapter 2, 4, 5A or 6 or Part 7.1 of the OPGGS Act and/or the provisions of the regulations and if the Joint Authority is not satisfied that sufficient grounds exist to warrant the renewal</w:t>
      </w:r>
      <w:r w:rsidR="00315293">
        <w:t>.</w:t>
      </w:r>
    </w:p>
    <w:p w14:paraId="7FCD7217" w14:textId="625A4685" w:rsidR="00E406FB" w:rsidRPr="000E3C58" w:rsidRDefault="00E406FB" w:rsidP="00A352DC">
      <w:pPr>
        <w:pStyle w:val="ListParagraph"/>
        <w:numPr>
          <w:ilvl w:val="2"/>
          <w:numId w:val="24"/>
        </w:numPr>
        <w:ind w:hanging="373"/>
      </w:pPr>
      <w:r w:rsidRPr="000E3C58">
        <w:t>The Joint Authority is satisfied that the criteria in s</w:t>
      </w:r>
      <w:r w:rsidR="00006839">
        <w:t>ection</w:t>
      </w:r>
      <w:r w:rsidRPr="000E3C58">
        <w:t xml:space="preserve"> 155</w:t>
      </w:r>
      <w:r w:rsidR="00006839">
        <w:t xml:space="preserve"> of the OPGGS Act</w:t>
      </w:r>
      <w:r w:rsidRPr="000E3C58">
        <w:t xml:space="preserve"> have not been met in the application i.e. the recovery of petroleum is currently commercially viable, or the recovery of petroleum is not likely to be commercially viable within 15</w:t>
      </w:r>
      <w:r w:rsidR="00975B6C">
        <w:t xml:space="preserve"> </w:t>
      </w:r>
      <w:r w:rsidRPr="000E3C58">
        <w:t>years</w:t>
      </w:r>
      <w:r w:rsidR="00006839">
        <w:t>.</w:t>
      </w:r>
    </w:p>
    <w:p w14:paraId="079EC8B5" w14:textId="074B39BE" w:rsidR="00E406FB" w:rsidRPr="000E3C58" w:rsidRDefault="00E406FB" w:rsidP="00A352DC">
      <w:pPr>
        <w:pStyle w:val="ListParagraph"/>
        <w:numPr>
          <w:ilvl w:val="1"/>
          <w:numId w:val="49"/>
        </w:numPr>
        <w:ind w:left="851" w:hanging="716"/>
      </w:pPr>
      <w:r w:rsidRPr="000E3C58">
        <w:t>The Joint Authority may also, by written notice given to the applicant, refuse to renew the lease if the Joint Authority is not satisfied of the matters (if any) prescribed by the regulations</w:t>
      </w:r>
      <w:r w:rsidR="00006839">
        <w:t>.</w:t>
      </w:r>
    </w:p>
    <w:p w14:paraId="4D386EDE" w14:textId="3301286D" w:rsidR="00E406FB" w:rsidRPr="000E3C58" w:rsidRDefault="00E406FB" w:rsidP="00A352DC">
      <w:pPr>
        <w:pStyle w:val="ListParagraph"/>
        <w:numPr>
          <w:ilvl w:val="1"/>
          <w:numId w:val="49"/>
        </w:numPr>
        <w:ind w:left="851" w:hanging="716"/>
      </w:pPr>
      <w:r w:rsidRPr="000E3C58">
        <w:t xml:space="preserve">If the expiry date of the retention lease has passed and the titleholder applies for a production licence within the </w:t>
      </w:r>
      <w:proofErr w:type="gramStart"/>
      <w:r w:rsidRPr="000E3C58">
        <w:t>12</w:t>
      </w:r>
      <w:r w:rsidR="004564F7">
        <w:t xml:space="preserve"> </w:t>
      </w:r>
      <w:r w:rsidRPr="000E3C58">
        <w:t>month</w:t>
      </w:r>
      <w:proofErr w:type="gramEnd"/>
      <w:r w:rsidRPr="000E3C58">
        <w:t xml:space="preserve"> period specified in the notice, the lease continues in force until the production licence application is granted, refused or lapses</w:t>
      </w:r>
      <w:r w:rsidR="00006839">
        <w:t>.</w:t>
      </w:r>
    </w:p>
    <w:p w14:paraId="09021098" w14:textId="05C95064" w:rsidR="00E406FB" w:rsidRPr="000E3C58" w:rsidRDefault="00E406FB" w:rsidP="00A352DC">
      <w:pPr>
        <w:pStyle w:val="ListParagraph"/>
        <w:numPr>
          <w:ilvl w:val="1"/>
          <w:numId w:val="49"/>
        </w:numPr>
        <w:ind w:left="851" w:hanging="716"/>
      </w:pPr>
      <w:r w:rsidRPr="000E3C58">
        <w:t xml:space="preserve">If the expiry date of the retention lease has passed and an application for a production licence is not made within the </w:t>
      </w:r>
      <w:proofErr w:type="gramStart"/>
      <w:r w:rsidRPr="000E3C58">
        <w:t>12</w:t>
      </w:r>
      <w:r w:rsidR="00975B6C">
        <w:t xml:space="preserve"> </w:t>
      </w:r>
      <w:r w:rsidRPr="000E3C58">
        <w:t>month</w:t>
      </w:r>
      <w:proofErr w:type="gramEnd"/>
      <w:r w:rsidRPr="000E3C58">
        <w:t xml:space="preserve"> period specified in the notice, the retention lease will </w:t>
      </w:r>
      <w:proofErr w:type="gramStart"/>
      <w:r w:rsidRPr="000E3C58">
        <w:t>cease</w:t>
      </w:r>
      <w:proofErr w:type="gramEnd"/>
      <w:r w:rsidRPr="000E3C58">
        <w:t xml:space="preserve"> and the block(s) covered by the retention lease will revert to vacant acreage at the end of the </w:t>
      </w:r>
      <w:proofErr w:type="gramStart"/>
      <w:r w:rsidRPr="000E3C58">
        <w:t>12</w:t>
      </w:r>
      <w:r w:rsidR="004564F7">
        <w:t xml:space="preserve"> </w:t>
      </w:r>
      <w:r w:rsidRPr="000E3C58">
        <w:t>month</w:t>
      </w:r>
      <w:proofErr w:type="gramEnd"/>
      <w:r w:rsidRPr="000E3C58">
        <w:t xml:space="preserve"> period</w:t>
      </w:r>
      <w:r w:rsidR="00006839">
        <w:t>.</w:t>
      </w:r>
    </w:p>
    <w:p w14:paraId="12BDFF0A" w14:textId="77777777" w:rsidR="000E3C58" w:rsidRPr="00B11F2F" w:rsidRDefault="000E3C58" w:rsidP="000E3C58">
      <w:pPr>
        <w:pStyle w:val="Heading4"/>
      </w:pPr>
      <w:r>
        <w:t>P</w:t>
      </w:r>
      <w:r w:rsidRPr="00311717">
        <w:t xml:space="preserve">roduction </w:t>
      </w:r>
      <w:r>
        <w:t>l</w:t>
      </w:r>
      <w:r w:rsidRPr="00311717">
        <w:t>icence</w:t>
      </w:r>
      <w:r>
        <w:t xml:space="preserve"> holder</w:t>
      </w:r>
      <w:bookmarkEnd w:id="119"/>
    </w:p>
    <w:p w14:paraId="1DEDCE52" w14:textId="42D7637C" w:rsidR="000E3C58" w:rsidRPr="000E3C58" w:rsidRDefault="000E3C58" w:rsidP="00A352DC">
      <w:pPr>
        <w:pStyle w:val="ListParagraph"/>
        <w:numPr>
          <w:ilvl w:val="1"/>
          <w:numId w:val="49"/>
        </w:numPr>
        <w:ind w:left="851" w:hanging="716"/>
      </w:pPr>
      <w:r w:rsidRPr="000E3C58">
        <w:t>Where an application under s</w:t>
      </w:r>
      <w:r w:rsidR="00006839">
        <w:t>ection</w:t>
      </w:r>
      <w:r w:rsidRPr="000E3C58">
        <w:t xml:space="preserve"> 147</w:t>
      </w:r>
      <w:r w:rsidR="00006839">
        <w:t xml:space="preserve"> of the OPG</w:t>
      </w:r>
      <w:r w:rsidR="00B21951">
        <w:t>GS</w:t>
      </w:r>
      <w:r w:rsidR="00006839">
        <w:t xml:space="preserve"> Act</w:t>
      </w:r>
      <w:r w:rsidRPr="000E3C58">
        <w:t xml:space="preserve"> has been made, s</w:t>
      </w:r>
      <w:r w:rsidR="00006839">
        <w:t>ection</w:t>
      </w:r>
      <w:r w:rsidRPr="000E3C58">
        <w:t xml:space="preserve"> 149 of the OPGGS Act provides that the Joint Authority must refuse to grant a retention lease if:</w:t>
      </w:r>
    </w:p>
    <w:p w14:paraId="4710CF4B" w14:textId="3BAEE197" w:rsidR="000E3C58" w:rsidRPr="000E3C58" w:rsidRDefault="000E3C58" w:rsidP="00A352DC">
      <w:pPr>
        <w:pStyle w:val="ListParagraph"/>
        <w:numPr>
          <w:ilvl w:val="2"/>
          <w:numId w:val="25"/>
        </w:numPr>
        <w:ind w:hanging="373"/>
      </w:pPr>
      <w:r w:rsidRPr="000E3C58">
        <w:t>The Joint Authority is not satisfied as to the sufficiency of the technical advice and financial resources available to the applicant</w:t>
      </w:r>
      <w:r w:rsidR="00006839">
        <w:t>.</w:t>
      </w:r>
    </w:p>
    <w:p w14:paraId="6AED503A" w14:textId="6C516D2B" w:rsidR="000E3C58" w:rsidRPr="000E3C58" w:rsidRDefault="000E3C58" w:rsidP="00A352DC">
      <w:pPr>
        <w:pStyle w:val="ListParagraph"/>
        <w:numPr>
          <w:ilvl w:val="2"/>
          <w:numId w:val="25"/>
        </w:numPr>
        <w:ind w:hanging="373"/>
      </w:pPr>
      <w:r w:rsidRPr="000E3C58">
        <w:t>The Joint Authority is satisfied the criteria specified in s</w:t>
      </w:r>
      <w:r w:rsidR="00006839">
        <w:t>ection</w:t>
      </w:r>
      <w:r w:rsidRPr="000E3C58">
        <w:t xml:space="preserve"> 148 </w:t>
      </w:r>
      <w:r w:rsidR="00006839">
        <w:t xml:space="preserve">of the OPGGS Act </w:t>
      </w:r>
      <w:r w:rsidRPr="000E3C58">
        <w:t>have not been met in the application i.e. if the block(s) does not contain petroleum</w:t>
      </w:r>
      <w:r w:rsidR="00006839">
        <w:t xml:space="preserve"> </w:t>
      </w:r>
      <w:r w:rsidRPr="000E3C58">
        <w:t>or the recovery of petroleum is currently commercially viable or the recovery of petroleum is not likely to be commercially viable within 15</w:t>
      </w:r>
      <w:r w:rsidR="00486ED1">
        <w:t xml:space="preserve"> </w:t>
      </w:r>
      <w:r w:rsidRPr="000E3C58">
        <w:t>years</w:t>
      </w:r>
      <w:r w:rsidR="00006839">
        <w:t>.</w:t>
      </w:r>
    </w:p>
    <w:p w14:paraId="2D2BB510" w14:textId="53675B6B" w:rsidR="000E3C58" w:rsidRPr="005568F1" w:rsidRDefault="000E3C58" w:rsidP="00A352DC">
      <w:pPr>
        <w:pStyle w:val="ListParagraph"/>
        <w:numPr>
          <w:ilvl w:val="1"/>
          <w:numId w:val="49"/>
        </w:numPr>
        <w:ind w:left="851" w:hanging="716"/>
      </w:pPr>
      <w:r w:rsidRPr="005568F1">
        <w:t xml:space="preserve">If the Joint Authority is not satisfied of the matters (if any) prescribed by the regulations for the purposes of </w:t>
      </w:r>
      <w:r w:rsidR="00154C09">
        <w:t>section</w:t>
      </w:r>
      <w:r w:rsidRPr="005568F1">
        <w:t xml:space="preserve"> 148(d)</w:t>
      </w:r>
      <w:r w:rsidR="00006839" w:rsidRPr="005568F1">
        <w:t xml:space="preserve"> of the OPGGS Act</w:t>
      </w:r>
      <w:r w:rsidRPr="005568F1">
        <w:t>, the Joint Authority may also, by written notice given to the applicant, refuse to grant a petroleum retention lease to the applicant.</w:t>
      </w:r>
    </w:p>
    <w:p w14:paraId="6221A0EA" w14:textId="361054DD" w:rsidR="000E3C58" w:rsidRPr="000E3C58" w:rsidRDefault="000E3C58" w:rsidP="00A352DC">
      <w:pPr>
        <w:pStyle w:val="ListParagraph"/>
        <w:numPr>
          <w:ilvl w:val="1"/>
          <w:numId w:val="49"/>
        </w:numPr>
        <w:ind w:left="851" w:hanging="716"/>
      </w:pPr>
      <w:r w:rsidRPr="000E3C58">
        <w:t>If the Joint Authority refuses to grant an application for a production licence for a block(s), the licensee should consider what continuing rights it may be entitled to in relation to that block(s) under the production licence.</w:t>
      </w:r>
    </w:p>
    <w:p w14:paraId="15B9172C" w14:textId="6FE8ECF4" w:rsidR="003B221B" w:rsidRDefault="00006839" w:rsidP="00A352DC">
      <w:pPr>
        <w:pStyle w:val="Heading2"/>
        <w:numPr>
          <w:ilvl w:val="0"/>
          <w:numId w:val="49"/>
        </w:numPr>
      </w:pPr>
      <w:bookmarkStart w:id="120" w:name="_Toc215524962"/>
      <w:r>
        <w:lastRenderedPageBreak/>
        <w:t>Retention lease conditions and administration</w:t>
      </w:r>
      <w:bookmarkEnd w:id="120"/>
    </w:p>
    <w:p w14:paraId="7862DA4C" w14:textId="16DFAD00" w:rsidR="00ED5CA6" w:rsidRPr="00C86231" w:rsidRDefault="00ED5CA6" w:rsidP="00A352DC">
      <w:pPr>
        <w:pStyle w:val="ListParagraph"/>
        <w:numPr>
          <w:ilvl w:val="1"/>
          <w:numId w:val="49"/>
        </w:numPr>
        <w:ind w:left="851" w:hanging="716"/>
      </w:pPr>
      <w:r w:rsidRPr="00C86231">
        <w:t xml:space="preserve">Titleholders are expected to ensure that all obligations under the OPGGS Act, </w:t>
      </w:r>
      <w:hyperlink r:id="rId33" w:tooltip="Link to Act" w:history="1">
        <w:r w:rsidRPr="00C86231">
          <w:rPr>
            <w:i/>
            <w:iCs/>
          </w:rPr>
          <w:t>Offshore Petroleum and Greenhouse Gas (Regulatory Levies) Act 2003</w:t>
        </w:r>
      </w:hyperlink>
      <w:r w:rsidRPr="00C86231">
        <w:t xml:space="preserve"> (OPGGS Levies), the associated regulations, any directions and title conditions are met at all times.</w:t>
      </w:r>
    </w:p>
    <w:p w14:paraId="035D8FD2" w14:textId="249E14B7" w:rsidR="00ED5CA6" w:rsidRDefault="00ED5CA6" w:rsidP="00A352DC">
      <w:pPr>
        <w:pStyle w:val="ListParagraph"/>
        <w:numPr>
          <w:ilvl w:val="1"/>
          <w:numId w:val="49"/>
        </w:numPr>
        <w:ind w:left="851" w:hanging="716"/>
      </w:pPr>
      <w:r w:rsidRPr="00C86231">
        <w:t xml:space="preserve">Titleholders must comply with the data management and reporting requirements of the </w:t>
      </w:r>
      <w:hyperlink r:id="rId34" w:tooltip="Link to regulations" w:history="1">
        <w:r w:rsidRPr="00646442">
          <w:rPr>
            <w:i/>
            <w:iCs/>
          </w:rPr>
          <w:t>Offshore Petroleum and Greenhouse Gas Storage (Resource Management and Administration) Regulations 2011</w:t>
        </w:r>
      </w:hyperlink>
      <w:r w:rsidRPr="00C86231">
        <w:t xml:space="preserve"> (RMA </w:t>
      </w:r>
      <w:r w:rsidR="00505D56">
        <w:t>R</w:t>
      </w:r>
      <w:r w:rsidRPr="00C86231">
        <w:t>egulations).</w:t>
      </w:r>
    </w:p>
    <w:p w14:paraId="58187E1C" w14:textId="77777777" w:rsidR="00ED5CA6" w:rsidRDefault="00ED5CA6" w:rsidP="00ED5CA6">
      <w:pPr>
        <w:pStyle w:val="Heading3"/>
      </w:pPr>
      <w:bookmarkStart w:id="121" w:name="_Toc215524963"/>
      <w:bookmarkStart w:id="122" w:name="_Toc176522485"/>
      <w:r w:rsidRPr="00992054">
        <w:t>Annual reporting</w:t>
      </w:r>
      <w:bookmarkEnd w:id="121"/>
    </w:p>
    <w:bookmarkEnd w:id="122"/>
    <w:p w14:paraId="77BF2459" w14:textId="50E1216A" w:rsidR="00ED5CA6" w:rsidRPr="00ED5CA6" w:rsidRDefault="00ED5CA6" w:rsidP="00A352DC">
      <w:pPr>
        <w:pStyle w:val="ListParagraph"/>
        <w:numPr>
          <w:ilvl w:val="1"/>
          <w:numId w:val="49"/>
        </w:numPr>
        <w:ind w:left="851" w:hanging="716"/>
      </w:pPr>
      <w:r w:rsidRPr="00ED5CA6">
        <w:t>Titleholders must provide an</w:t>
      </w:r>
      <w:r>
        <w:t xml:space="preserve"> A</w:t>
      </w:r>
      <w:r w:rsidRPr="00ED5CA6">
        <w:t xml:space="preserve">nnual </w:t>
      </w:r>
      <w:r>
        <w:t>T</w:t>
      </w:r>
      <w:r w:rsidRPr="00ED5CA6">
        <w:t xml:space="preserve">itle </w:t>
      </w:r>
      <w:r>
        <w:t>A</w:t>
      </w:r>
      <w:r w:rsidRPr="00ED5CA6">
        <w:t xml:space="preserve">ssessment </w:t>
      </w:r>
      <w:r>
        <w:t>R</w:t>
      </w:r>
      <w:r w:rsidRPr="00ED5CA6">
        <w:t xml:space="preserve">eport to NOPTA within 30 days after the day on which the year of the term ends. The information that must be provided is detailed in section 3.07 of the RMA </w:t>
      </w:r>
      <w:r w:rsidR="00505D56">
        <w:t>R</w:t>
      </w:r>
      <w:r w:rsidRPr="00ED5CA6">
        <w:t>egulations and includes</w:t>
      </w:r>
      <w:r>
        <w:t xml:space="preserve">, </w:t>
      </w:r>
      <w:r w:rsidRPr="00ED5CA6">
        <w:t>but is not limited to</w:t>
      </w:r>
      <w:r>
        <w:t>,</w:t>
      </w:r>
      <w:r w:rsidRPr="00ED5CA6">
        <w:t xml:space="preserve"> for all work, evaluations and studies carried out in relation to the lease area the results of the work, evaluation and studies.</w:t>
      </w:r>
    </w:p>
    <w:p w14:paraId="7AE253C1" w14:textId="5BFDE4F9" w:rsidR="00ED5CA6" w:rsidRPr="00C86231" w:rsidRDefault="00ED5CA6" w:rsidP="00A352DC">
      <w:pPr>
        <w:pStyle w:val="ListParagraph"/>
        <w:numPr>
          <w:ilvl w:val="1"/>
          <w:numId w:val="49"/>
        </w:numPr>
        <w:ind w:left="851" w:hanging="716"/>
      </w:pPr>
      <w:r w:rsidRPr="00C86231">
        <w:t>In the Annual Titles Assessment Report, the titleholder is expected to demonstrate how any activity undertaken is in accordance with the project schedule provided and the impact that it has had on the commercial viability of the project</w:t>
      </w:r>
      <w:r w:rsidR="006B3554">
        <w:t xml:space="preserve"> (3.07</w:t>
      </w:r>
      <w:r w:rsidR="002263CC">
        <w:t>(1)(b))</w:t>
      </w:r>
      <w:r w:rsidRPr="00C86231">
        <w:t>.</w:t>
      </w:r>
    </w:p>
    <w:p w14:paraId="55B4DD1C" w14:textId="2C331895" w:rsidR="00ED5CA6" w:rsidRPr="00C86231" w:rsidRDefault="00ED5CA6" w:rsidP="00A352DC">
      <w:pPr>
        <w:pStyle w:val="ListParagraph"/>
        <w:numPr>
          <w:ilvl w:val="1"/>
          <w:numId w:val="49"/>
        </w:numPr>
        <w:ind w:left="851" w:hanging="716"/>
      </w:pPr>
      <w:r w:rsidRPr="00C86231">
        <w:t>The Joint Authority expects titleholders to report to NOPTA on pathways to Final Investment Decisions (FID), where FID is not taken prior to a production licence being granted.</w:t>
      </w:r>
    </w:p>
    <w:p w14:paraId="57B402D5" w14:textId="60A3D83B" w:rsidR="00ED5CA6" w:rsidRPr="00C86231" w:rsidRDefault="00ED5CA6" w:rsidP="00A352DC">
      <w:pPr>
        <w:pStyle w:val="ListParagraph"/>
        <w:numPr>
          <w:ilvl w:val="1"/>
          <w:numId w:val="49"/>
        </w:numPr>
        <w:ind w:left="851" w:hanging="716"/>
      </w:pPr>
      <w:r w:rsidRPr="00C86231">
        <w:t>NOPTA monitors compliance with work programs and additional conditions through mechanisms such as the Annual Titles Assessment Report. NOPTA will advise the Joint Authority on any non-compliance issues as appropriate.</w:t>
      </w:r>
    </w:p>
    <w:p w14:paraId="414BF849" w14:textId="0241D003" w:rsidR="00695A2C" w:rsidRPr="00B435AD" w:rsidRDefault="00ED5CA6" w:rsidP="00A352DC">
      <w:pPr>
        <w:pStyle w:val="ListParagraph"/>
        <w:numPr>
          <w:ilvl w:val="1"/>
          <w:numId w:val="49"/>
        </w:numPr>
        <w:ind w:left="851" w:hanging="716"/>
      </w:pPr>
      <w:r w:rsidRPr="00C86231">
        <w:t>Failure to submit an annual report is grounds for cancellation of the title under the OPGGS Act.</w:t>
      </w:r>
    </w:p>
    <w:p w14:paraId="39224C8A" w14:textId="41774D2A" w:rsidR="00695A2C" w:rsidRPr="00C86231" w:rsidRDefault="008E4190" w:rsidP="00B77EA6">
      <w:pPr>
        <w:pStyle w:val="Calloutbox"/>
      </w:pPr>
      <w:r>
        <w:t>Refer to</w:t>
      </w:r>
      <w:r w:rsidR="00695A2C">
        <w:t xml:space="preserve"> </w:t>
      </w:r>
      <w:hyperlink r:id="rId35" w:history="1">
        <w:r w:rsidR="00656F82" w:rsidRPr="00656F82">
          <w:rPr>
            <w:rStyle w:val="Hyperlink"/>
          </w:rPr>
          <w:t>Annual Title Assessment Reports</w:t>
        </w:r>
      </w:hyperlink>
      <w:r w:rsidR="00695A2C">
        <w:t>.</w:t>
      </w:r>
    </w:p>
    <w:p w14:paraId="64C08674" w14:textId="2A3BBD20" w:rsidR="006E7203" w:rsidRPr="00465405" w:rsidRDefault="006E7203" w:rsidP="006E7203">
      <w:pPr>
        <w:pStyle w:val="Heading3"/>
      </w:pPr>
      <w:bookmarkStart w:id="123" w:name="_Toc90303855"/>
      <w:bookmarkStart w:id="124" w:name="_Toc215524964"/>
      <w:r w:rsidRPr="00311717">
        <w:t>Re-evaluation of commercial viability</w:t>
      </w:r>
      <w:bookmarkEnd w:id="123"/>
      <w:bookmarkEnd w:id="124"/>
    </w:p>
    <w:p w14:paraId="48F2F9B7" w14:textId="47AA38E8" w:rsidR="006E7203" w:rsidRPr="006E7203" w:rsidRDefault="006E7203" w:rsidP="00A352DC">
      <w:pPr>
        <w:pStyle w:val="ListParagraph"/>
        <w:numPr>
          <w:ilvl w:val="1"/>
          <w:numId w:val="49"/>
        </w:numPr>
        <w:ind w:left="851" w:hanging="716"/>
      </w:pPr>
      <w:r w:rsidRPr="006E7203">
        <w:t>During the term of a retention lease, the Joint Authority</w:t>
      </w:r>
      <w:r w:rsidR="00232165">
        <w:t xml:space="preserve"> and/or the Titles Administrator</w:t>
      </w:r>
      <w:r w:rsidRPr="006E7203">
        <w:t xml:space="preserve"> may have reason to believe that the commercial status of the retention lease has changed since the grant or renewal of the title, such that the development of petroleum resources in the lease area may have become commercially viable or is unlikely to become commercially viable within 15</w:t>
      </w:r>
      <w:r w:rsidR="000556B6">
        <w:t xml:space="preserve"> </w:t>
      </w:r>
      <w:r w:rsidRPr="006E7203">
        <w:t>years.</w:t>
      </w:r>
    </w:p>
    <w:p w14:paraId="2C62B8B3" w14:textId="0C6642E0" w:rsidR="006E7203" w:rsidRPr="006E7203" w:rsidRDefault="00DD60FD" w:rsidP="00A352DC">
      <w:pPr>
        <w:pStyle w:val="ListParagraph"/>
        <w:numPr>
          <w:ilvl w:val="1"/>
          <w:numId w:val="49"/>
        </w:numPr>
        <w:ind w:left="851" w:hanging="716"/>
      </w:pPr>
      <w:r>
        <w:t>In accordance with section 136(5) of the OPGGS Act, a</w:t>
      </w:r>
      <w:r w:rsidR="006E7203" w:rsidRPr="006E7203">
        <w:t xml:space="preserve">ll retention leases are subject to a </w:t>
      </w:r>
      <w:r w:rsidR="008928D8">
        <w:t xml:space="preserve">statutory </w:t>
      </w:r>
      <w:r w:rsidR="006E7203" w:rsidRPr="006E7203">
        <w:t xml:space="preserve">condition that if </w:t>
      </w:r>
      <w:r w:rsidR="00D30E4D">
        <w:t>the Titles Administrator</w:t>
      </w:r>
      <w:r w:rsidR="006E7203" w:rsidRPr="006E7203">
        <w:t xml:space="preserve"> gives the lessee a written notice requesting the lessee to re-evaluate the commercial viability of petroleum production in the lease area and report the results to </w:t>
      </w:r>
      <w:r w:rsidR="0040287C">
        <w:t>NOPTA</w:t>
      </w:r>
      <w:r w:rsidR="006E7203" w:rsidRPr="006E7203">
        <w:t>, the lessee must comply with the request within 90 days</w:t>
      </w:r>
      <w:r w:rsidR="006E7203">
        <w:t xml:space="preserve"> </w:t>
      </w:r>
      <w:r w:rsidR="006E7203" w:rsidRPr="006E7203">
        <w:t>or a longer period allowed by NOPTA, if the lessee requests a longer period in writing within the 90 day period</w:t>
      </w:r>
      <w:r w:rsidR="006E7203">
        <w:t>.</w:t>
      </w:r>
    </w:p>
    <w:p w14:paraId="12088B0B" w14:textId="470868B7" w:rsidR="00C2552B" w:rsidRDefault="00C2552B" w:rsidP="00A352DC">
      <w:pPr>
        <w:pStyle w:val="ListParagraph"/>
        <w:numPr>
          <w:ilvl w:val="1"/>
          <w:numId w:val="49"/>
        </w:numPr>
        <w:ind w:left="851" w:hanging="716"/>
      </w:pPr>
      <w:r>
        <w:t>Retention leases that have been renewed twice or more will usually be subject to a commerciality review in the third and each subsequent term (if granted) to ensure resources are being developed in a timely and efficient manner.</w:t>
      </w:r>
    </w:p>
    <w:p w14:paraId="62546EFC" w14:textId="54A31AB8" w:rsidR="006E7203" w:rsidRPr="00C86231" w:rsidRDefault="006E7203" w:rsidP="00A352DC">
      <w:pPr>
        <w:pStyle w:val="ListParagraph"/>
        <w:numPr>
          <w:ilvl w:val="1"/>
          <w:numId w:val="49"/>
        </w:numPr>
        <w:ind w:left="851" w:hanging="716"/>
      </w:pPr>
      <w:r w:rsidRPr="00C86231">
        <w:t>Only one re-evaluation can be requested per lease term.</w:t>
      </w:r>
    </w:p>
    <w:p w14:paraId="5C32B015" w14:textId="0CB54350" w:rsidR="006E7203" w:rsidRPr="001125B5" w:rsidRDefault="006E7203" w:rsidP="00A352DC">
      <w:pPr>
        <w:pStyle w:val="ListParagraph"/>
        <w:numPr>
          <w:ilvl w:val="1"/>
          <w:numId w:val="49"/>
        </w:numPr>
        <w:ind w:left="851" w:hanging="716"/>
      </w:pPr>
      <w:r w:rsidRPr="001125B5">
        <w:t xml:space="preserve">NOPTA will undertake </w:t>
      </w:r>
      <w:r w:rsidR="003D78FD" w:rsidRPr="001125B5">
        <w:t>a</w:t>
      </w:r>
      <w:r w:rsidR="00C02EFD" w:rsidRPr="001125B5">
        <w:t>n</w:t>
      </w:r>
      <w:r w:rsidR="003D78FD" w:rsidRPr="001125B5">
        <w:t xml:space="preserve"> </w:t>
      </w:r>
      <w:r w:rsidR="00C02EFD" w:rsidRPr="001125B5">
        <w:t xml:space="preserve">ongoing </w:t>
      </w:r>
      <w:r w:rsidR="00811B3F" w:rsidRPr="001125B5">
        <w:t xml:space="preserve">program </w:t>
      </w:r>
      <w:r w:rsidR="008A1DA5" w:rsidRPr="001125B5">
        <w:t>to</w:t>
      </w:r>
      <w:r w:rsidR="00811B3F" w:rsidRPr="001125B5">
        <w:t xml:space="preserve"> </w:t>
      </w:r>
      <w:r w:rsidRPr="001125B5">
        <w:t>re-evaluat</w:t>
      </w:r>
      <w:r w:rsidR="008A1DA5" w:rsidRPr="001125B5">
        <w:t>e</w:t>
      </w:r>
      <w:r w:rsidRPr="001125B5">
        <w:t xml:space="preserve"> commercial viability</w:t>
      </w:r>
      <w:r w:rsidR="008A1DA5" w:rsidRPr="001125B5">
        <w:t xml:space="preserve"> of retention leases</w:t>
      </w:r>
      <w:r w:rsidR="00A93394" w:rsidRPr="001125B5">
        <w:t xml:space="preserve">. </w:t>
      </w:r>
      <w:r w:rsidRPr="001125B5">
        <w:t>A range of factors may be considered in determining</w:t>
      </w:r>
      <w:r w:rsidR="00252A17" w:rsidRPr="001125B5">
        <w:t xml:space="preserve"> if a</w:t>
      </w:r>
      <w:r w:rsidRPr="001125B5">
        <w:t xml:space="preserve"> retention lease </w:t>
      </w:r>
      <w:r w:rsidR="00252A17" w:rsidRPr="001125B5">
        <w:t xml:space="preserve">will </w:t>
      </w:r>
      <w:r w:rsidRPr="001125B5">
        <w:t xml:space="preserve">be subject to a re-evaluation of commercial viability </w:t>
      </w:r>
      <w:r w:rsidR="00572289" w:rsidRPr="001125B5">
        <w:t>including</w:t>
      </w:r>
      <w:r w:rsidRPr="001125B5">
        <w:t>:</w:t>
      </w:r>
    </w:p>
    <w:p w14:paraId="1F99FD1B" w14:textId="7584CB5B" w:rsidR="006E7203" w:rsidRPr="001125B5" w:rsidRDefault="006E7203" w:rsidP="00A352DC">
      <w:pPr>
        <w:pStyle w:val="ListParagraph"/>
        <w:numPr>
          <w:ilvl w:val="2"/>
          <w:numId w:val="27"/>
        </w:numPr>
        <w:ind w:hanging="373"/>
      </w:pPr>
      <w:r w:rsidRPr="001125B5">
        <w:lastRenderedPageBreak/>
        <w:t>opportunities within the domestic gas market</w:t>
      </w:r>
      <w:r w:rsidR="00F355AB">
        <w:t>.</w:t>
      </w:r>
    </w:p>
    <w:p w14:paraId="718FC8BA" w14:textId="027A6929" w:rsidR="006E7203" w:rsidRPr="001125B5" w:rsidRDefault="006E7203" w:rsidP="00A352DC">
      <w:pPr>
        <w:pStyle w:val="ListParagraph"/>
        <w:numPr>
          <w:ilvl w:val="2"/>
          <w:numId w:val="27"/>
        </w:numPr>
        <w:ind w:hanging="373"/>
      </w:pPr>
      <w:r w:rsidRPr="001125B5">
        <w:t>the availability of ullage within existing infrastructure</w:t>
      </w:r>
      <w:r w:rsidR="00F355AB">
        <w:t>.</w:t>
      </w:r>
    </w:p>
    <w:p w14:paraId="34147232" w14:textId="2D20EA31" w:rsidR="006E7203" w:rsidRPr="001125B5" w:rsidRDefault="006E7203" w:rsidP="00A352DC">
      <w:pPr>
        <w:pStyle w:val="ListParagraph"/>
        <w:numPr>
          <w:ilvl w:val="2"/>
          <w:numId w:val="27"/>
        </w:numPr>
        <w:ind w:hanging="373"/>
      </w:pPr>
      <w:r w:rsidRPr="001125B5">
        <w:t>opportunities for the coordinated development of resources across retention leases in specific regions and basins</w:t>
      </w:r>
      <w:r w:rsidR="00F355AB">
        <w:t>.</w:t>
      </w:r>
    </w:p>
    <w:p w14:paraId="0F6DADED" w14:textId="08F2D471" w:rsidR="006E7203" w:rsidRPr="001125B5" w:rsidRDefault="006E7203" w:rsidP="00A352DC">
      <w:pPr>
        <w:pStyle w:val="ListParagraph"/>
        <w:numPr>
          <w:ilvl w:val="2"/>
          <w:numId w:val="27"/>
        </w:numPr>
        <w:ind w:hanging="373"/>
      </w:pPr>
      <w:r w:rsidRPr="001125B5">
        <w:t>how many times a retention lease has been renewed.</w:t>
      </w:r>
    </w:p>
    <w:p w14:paraId="3BD38DA2" w14:textId="2526F04B" w:rsidR="00DD60FD" w:rsidRDefault="006E7203" w:rsidP="00A352DC">
      <w:pPr>
        <w:pStyle w:val="ListParagraph"/>
        <w:numPr>
          <w:ilvl w:val="1"/>
          <w:numId w:val="49"/>
        </w:numPr>
        <w:ind w:left="851" w:hanging="716"/>
      </w:pPr>
      <w:r w:rsidRPr="00C86231">
        <w:t>NOPTA may also seek and/or receive third party submissions or</w:t>
      </w:r>
      <w:r w:rsidRPr="006E7203">
        <w:t xml:space="preserve"> advice relating to the commercialisation of petroleum resources which are or may be the subject of a retention lease application or renewal</w:t>
      </w:r>
      <w:r w:rsidR="00DD60FD">
        <w:t>.</w:t>
      </w:r>
    </w:p>
    <w:p w14:paraId="61D1D75A" w14:textId="17F99679" w:rsidR="006E7203" w:rsidRPr="006E7203" w:rsidRDefault="006E7203" w:rsidP="00A352DC">
      <w:pPr>
        <w:pStyle w:val="ListParagraph"/>
        <w:numPr>
          <w:ilvl w:val="1"/>
          <w:numId w:val="49"/>
        </w:numPr>
        <w:ind w:left="851" w:hanging="716"/>
      </w:pPr>
      <w:r w:rsidRPr="006E7203">
        <w:t xml:space="preserve">A request for re-evaluation may require the lessee to carry out additional work </w:t>
      </w:r>
      <w:r w:rsidR="006720A6">
        <w:t>under the OPGGS Act (</w:t>
      </w:r>
      <w:r w:rsidR="00D5056E">
        <w:t>ss 136(5)(a)</w:t>
      </w:r>
      <w:r w:rsidR="006720A6">
        <w:t>)</w:t>
      </w:r>
      <w:r w:rsidR="00D5056E">
        <w:t xml:space="preserve"> </w:t>
      </w:r>
      <w:r w:rsidRPr="006E7203">
        <w:t xml:space="preserve">to that required by the lease conditions. This additional work </w:t>
      </w:r>
      <w:r w:rsidR="00F347FE">
        <w:t>may include any activity</w:t>
      </w:r>
      <w:r w:rsidR="008F2FF2">
        <w:t xml:space="preserve"> except </w:t>
      </w:r>
      <w:r w:rsidRPr="006E7203">
        <w:t>the drilling of a well.</w:t>
      </w:r>
    </w:p>
    <w:p w14:paraId="4A3F817E" w14:textId="098C9C09" w:rsidR="006E7203" w:rsidRPr="006E7203" w:rsidRDefault="006E7203" w:rsidP="00A352DC">
      <w:pPr>
        <w:pStyle w:val="ListParagraph"/>
        <w:numPr>
          <w:ilvl w:val="1"/>
          <w:numId w:val="49"/>
        </w:numPr>
        <w:ind w:left="851" w:hanging="716"/>
      </w:pPr>
      <w:r w:rsidRPr="006E7203">
        <w:t>If activities to be undertaken as part of a re-evaluation</w:t>
      </w:r>
      <w:r w:rsidR="00DD60FD" w:rsidDel="00345F73">
        <w:t xml:space="preserve">, </w:t>
      </w:r>
      <w:r w:rsidRPr="006E7203">
        <w:t>cannot be undertaken and evaluated within 90 days, the lessee should discuss this with NOPTA and request a longer period in writing, which may be granted at NOPTA’s discretion</w:t>
      </w:r>
      <w:r w:rsidR="00DD60FD">
        <w:t>.</w:t>
      </w:r>
    </w:p>
    <w:p w14:paraId="0157AAE6" w14:textId="3C4BC9B7" w:rsidR="006E7203" w:rsidRPr="006E7203" w:rsidRDefault="006E7203" w:rsidP="00A352DC">
      <w:pPr>
        <w:pStyle w:val="ListParagraph"/>
        <w:numPr>
          <w:ilvl w:val="1"/>
          <w:numId w:val="49"/>
        </w:numPr>
        <w:ind w:left="851" w:hanging="716"/>
      </w:pPr>
      <w:r w:rsidRPr="006E7203">
        <w:t>Following an assessment, NOPTA will advise the Joint Authority of the results of the applicant’s re-evaluation</w:t>
      </w:r>
      <w:r w:rsidR="00DD60FD">
        <w:t xml:space="preserve">. </w:t>
      </w:r>
    </w:p>
    <w:p w14:paraId="016DA37A" w14:textId="036138CE" w:rsidR="006E7203" w:rsidRDefault="006E7203" w:rsidP="00A352DC">
      <w:pPr>
        <w:pStyle w:val="ListParagraph"/>
        <w:numPr>
          <w:ilvl w:val="1"/>
          <w:numId w:val="49"/>
        </w:numPr>
        <w:ind w:left="851" w:hanging="716"/>
      </w:pPr>
      <w:proofErr w:type="gramStart"/>
      <w:r w:rsidRPr="006E7203">
        <w:t>On the basis of</w:t>
      </w:r>
      <w:proofErr w:type="gramEnd"/>
      <w:r w:rsidRPr="006E7203">
        <w:t xml:space="preserve"> the results of the re-evaluation, the Joint Authority may form the opinion that the recovery of petroleum is commercially viable. If so, the Joint Authority may seek to revoke the retention lease</w:t>
      </w:r>
      <w:r w:rsidR="00DD60FD">
        <w:t>.</w:t>
      </w:r>
    </w:p>
    <w:p w14:paraId="0C2A968E" w14:textId="4FC23A90" w:rsidR="00DD60FD" w:rsidRDefault="00DD60FD" w:rsidP="00DD60FD">
      <w:pPr>
        <w:pStyle w:val="Heading3"/>
      </w:pPr>
      <w:bookmarkStart w:id="125" w:name="_Toc215524965"/>
      <w:r>
        <w:t>Revocation</w:t>
      </w:r>
      <w:bookmarkEnd w:id="125"/>
    </w:p>
    <w:p w14:paraId="35B66785" w14:textId="65449A51" w:rsidR="00F575C6" w:rsidRPr="00F575C6" w:rsidRDefault="00F575C6" w:rsidP="00A352DC">
      <w:pPr>
        <w:pStyle w:val="ListParagraph"/>
        <w:numPr>
          <w:ilvl w:val="1"/>
          <w:numId w:val="49"/>
        </w:numPr>
        <w:ind w:left="851" w:hanging="716"/>
      </w:pPr>
      <w:bookmarkStart w:id="126" w:name="_Hlk178852098"/>
      <w:r w:rsidRPr="00F575C6">
        <w:t>If</w:t>
      </w:r>
      <w:r>
        <w:t xml:space="preserve"> </w:t>
      </w:r>
      <w:r w:rsidRPr="00F575C6">
        <w:t xml:space="preserve">after </w:t>
      </w:r>
      <w:r>
        <w:t xml:space="preserve">a </w:t>
      </w:r>
      <w:r w:rsidRPr="00F575C6">
        <w:t>re-evaluation</w:t>
      </w:r>
      <w:r>
        <w:t>,</w:t>
      </w:r>
      <w:r w:rsidRPr="00F575C6">
        <w:t xml:space="preserve"> the Joint Authority forms the opinion that the recovery of petroleum is commercially viable</w:t>
      </w:r>
      <w:r>
        <w:t xml:space="preserve">, </w:t>
      </w:r>
      <w:r w:rsidRPr="00F575C6">
        <w:t>it may:</w:t>
      </w:r>
    </w:p>
    <w:p w14:paraId="31AE23B9" w14:textId="756B0131" w:rsidR="00F575C6" w:rsidRPr="00F575C6" w:rsidRDefault="00F575C6" w:rsidP="00A352DC">
      <w:pPr>
        <w:pStyle w:val="ListParagraph"/>
        <w:numPr>
          <w:ilvl w:val="2"/>
          <w:numId w:val="30"/>
        </w:numPr>
        <w:ind w:hanging="373"/>
      </w:pPr>
      <w:r w:rsidRPr="00F575C6">
        <w:t>notify the lessee in writing, and any other parties that it thinks appropriate, of its intention to revoke the lease</w:t>
      </w:r>
      <w:r w:rsidR="00A677B9">
        <w:t>.</w:t>
      </w:r>
    </w:p>
    <w:p w14:paraId="009D3D50" w14:textId="6513E8B2" w:rsidR="00F575C6" w:rsidRPr="00F575C6" w:rsidRDefault="00F575C6" w:rsidP="00A352DC">
      <w:pPr>
        <w:pStyle w:val="ListParagraph"/>
        <w:numPr>
          <w:ilvl w:val="2"/>
          <w:numId w:val="30"/>
        </w:numPr>
        <w:ind w:hanging="373"/>
      </w:pPr>
      <w:r w:rsidRPr="00F575C6">
        <w:t>give the lessee, and other notified interested parties, at least 30 days to make a submission on the proposed revocation</w:t>
      </w:r>
      <w:r>
        <w:t>.</w:t>
      </w:r>
    </w:p>
    <w:p w14:paraId="2B45D605" w14:textId="4C9A8039" w:rsidR="00F575C6" w:rsidRPr="00F575C6" w:rsidRDefault="00F575C6" w:rsidP="00A352DC">
      <w:pPr>
        <w:pStyle w:val="ListParagraph"/>
        <w:numPr>
          <w:ilvl w:val="1"/>
          <w:numId w:val="49"/>
        </w:numPr>
        <w:ind w:left="851" w:hanging="716"/>
      </w:pPr>
      <w:r w:rsidRPr="00F575C6">
        <w:t>After considering any submissions, if the Joint Authority still decides to revoke the retention lease, it must do so by written notice to the lessee</w:t>
      </w:r>
      <w:r>
        <w:t>.</w:t>
      </w:r>
    </w:p>
    <w:p w14:paraId="31303AE3" w14:textId="078ED05D" w:rsidR="00F575C6" w:rsidRPr="00F575C6" w:rsidRDefault="00F575C6" w:rsidP="00A352DC">
      <w:pPr>
        <w:pStyle w:val="ListParagraph"/>
        <w:numPr>
          <w:ilvl w:val="1"/>
          <w:numId w:val="49"/>
        </w:numPr>
        <w:ind w:left="851" w:hanging="716"/>
      </w:pPr>
      <w:r w:rsidRPr="00F575C6">
        <w:t>If the lessee is given a notice to revoke the lease under s</w:t>
      </w:r>
      <w:r>
        <w:t>ection</w:t>
      </w:r>
      <w:r w:rsidR="0064104F">
        <w:t xml:space="preserve"> </w:t>
      </w:r>
      <w:r w:rsidRPr="00F575C6">
        <w:t xml:space="preserve">158(1) </w:t>
      </w:r>
      <w:r>
        <w:t xml:space="preserve">of the OPGGS Act, </w:t>
      </w:r>
      <w:r w:rsidRPr="00F575C6">
        <w:t>the lessee has 12</w:t>
      </w:r>
      <w:r w:rsidR="002C1492">
        <w:t xml:space="preserve"> </w:t>
      </w:r>
      <w:r w:rsidRPr="00F575C6">
        <w:t>months from the day of the notice of revocation to apply for a production licence over the block(s) that were the subject of the retention lease. If an application for a production licence is not made within this period, the revocation of the lease takes effect 12</w:t>
      </w:r>
      <w:r w:rsidR="002C1492">
        <w:t xml:space="preserve"> </w:t>
      </w:r>
      <w:r w:rsidRPr="00F575C6">
        <w:t xml:space="preserve">months after the date of service of the notice. If an application for a production licence is made within the </w:t>
      </w:r>
      <w:proofErr w:type="gramStart"/>
      <w:r w:rsidRPr="00F575C6">
        <w:t>12</w:t>
      </w:r>
      <w:r w:rsidR="002C1492">
        <w:t xml:space="preserve"> </w:t>
      </w:r>
      <w:r w:rsidRPr="00F575C6">
        <w:t>month</w:t>
      </w:r>
      <w:proofErr w:type="gramEnd"/>
      <w:r w:rsidRPr="00F575C6">
        <w:t xml:space="preserve"> period, the revocation will take effect on</w:t>
      </w:r>
      <w:r>
        <w:t xml:space="preserve"> the date</w:t>
      </w:r>
      <w:r w:rsidRPr="00F575C6">
        <w:t>:</w:t>
      </w:r>
    </w:p>
    <w:p w14:paraId="224FD6DE" w14:textId="7A588774" w:rsidR="00F575C6" w:rsidRPr="00F575C6" w:rsidRDefault="00F575C6" w:rsidP="00A352DC">
      <w:pPr>
        <w:pStyle w:val="ListParagraph"/>
        <w:numPr>
          <w:ilvl w:val="2"/>
          <w:numId w:val="31"/>
        </w:numPr>
        <w:ind w:hanging="373"/>
      </w:pPr>
      <w:r w:rsidRPr="00F575C6">
        <w:t>of grant of a production licence</w:t>
      </w:r>
      <w:r w:rsidR="00993854">
        <w:t>.</w:t>
      </w:r>
    </w:p>
    <w:p w14:paraId="6BF2CDE9" w14:textId="315166D3" w:rsidR="00F575C6" w:rsidRPr="00F575C6" w:rsidRDefault="00F575C6" w:rsidP="00A352DC">
      <w:pPr>
        <w:pStyle w:val="ListParagraph"/>
        <w:numPr>
          <w:ilvl w:val="2"/>
          <w:numId w:val="31"/>
        </w:numPr>
        <w:ind w:hanging="373"/>
      </w:pPr>
      <w:r w:rsidRPr="00F575C6">
        <w:t>of refusal of a production licence</w:t>
      </w:r>
      <w:r w:rsidR="00993854">
        <w:t>.</w:t>
      </w:r>
    </w:p>
    <w:p w14:paraId="5CD2623C" w14:textId="5BAC7482" w:rsidR="00F575C6" w:rsidRPr="00F575C6" w:rsidRDefault="00F575C6" w:rsidP="00A352DC">
      <w:pPr>
        <w:pStyle w:val="ListParagraph"/>
        <w:numPr>
          <w:ilvl w:val="2"/>
          <w:numId w:val="31"/>
        </w:numPr>
        <w:ind w:hanging="373"/>
      </w:pPr>
      <w:r w:rsidRPr="00F575C6">
        <w:t>when the application lapses</w:t>
      </w:r>
      <w:r>
        <w:t>.</w:t>
      </w:r>
    </w:p>
    <w:p w14:paraId="3E727A63" w14:textId="01FE8A27" w:rsidR="00006839" w:rsidRDefault="00F575C6" w:rsidP="00A352DC">
      <w:pPr>
        <w:pStyle w:val="ListParagraph"/>
        <w:numPr>
          <w:ilvl w:val="1"/>
          <w:numId w:val="49"/>
        </w:numPr>
        <w:ind w:left="851" w:hanging="716"/>
      </w:pPr>
      <w:r w:rsidRPr="0011311A">
        <w:t>If the revocation takes effect and no production licence has been granted, the block(s) making up the retention lease revert to vacant acreag</w:t>
      </w:r>
      <w:bookmarkEnd w:id="126"/>
      <w:r>
        <w:t>e.</w:t>
      </w:r>
    </w:p>
    <w:p w14:paraId="2951CC12" w14:textId="2F02976F" w:rsidR="00ED3942" w:rsidRDefault="00ED3942" w:rsidP="00F575C6">
      <w:pPr>
        <w:pStyle w:val="Heading3"/>
      </w:pPr>
      <w:bookmarkStart w:id="127" w:name="_Toc215524966"/>
      <w:r>
        <w:t>Conditions</w:t>
      </w:r>
      <w:bookmarkEnd w:id="127"/>
    </w:p>
    <w:p w14:paraId="6085635F" w14:textId="77777777" w:rsidR="00561B5F" w:rsidRDefault="00561B5F" w:rsidP="00A352DC">
      <w:pPr>
        <w:pStyle w:val="ListParagraph"/>
        <w:numPr>
          <w:ilvl w:val="1"/>
          <w:numId w:val="49"/>
        </w:numPr>
        <w:ind w:left="851" w:hanging="716"/>
      </w:pPr>
      <w:r w:rsidRPr="006071CA">
        <w:t>Failure to meet a condition (including a work program requirement) within the agreed timeframe will result in the lessee being in breach of its obligations under the OPGGS Act.</w:t>
      </w:r>
    </w:p>
    <w:p w14:paraId="7DEB30E6" w14:textId="4C1C0FE0" w:rsidR="001B2FA7" w:rsidRPr="001125B5" w:rsidRDefault="00FB6B98" w:rsidP="00A352DC">
      <w:pPr>
        <w:pStyle w:val="ListParagraph"/>
        <w:numPr>
          <w:ilvl w:val="1"/>
          <w:numId w:val="49"/>
        </w:numPr>
        <w:ind w:left="851" w:hanging="716"/>
      </w:pPr>
      <w:r w:rsidRPr="001125B5">
        <w:t xml:space="preserve">The Joint Authority </w:t>
      </w:r>
      <w:r w:rsidR="00CE47E7" w:rsidRPr="001125B5">
        <w:t xml:space="preserve">may require a draft </w:t>
      </w:r>
      <w:r w:rsidR="001B2FA7" w:rsidRPr="001125B5">
        <w:t xml:space="preserve">Field Development Plan (FDP) </w:t>
      </w:r>
      <w:r w:rsidR="00CE47E7" w:rsidRPr="001125B5">
        <w:t>as a</w:t>
      </w:r>
      <w:r w:rsidR="001B2FA7" w:rsidRPr="001125B5">
        <w:t xml:space="preserve"> condition</w:t>
      </w:r>
      <w:r w:rsidR="00561B5F" w:rsidRPr="001125B5">
        <w:t xml:space="preserve"> applied to </w:t>
      </w:r>
      <w:r w:rsidR="001B2FA7" w:rsidRPr="001125B5">
        <w:t>retention lease</w:t>
      </w:r>
      <w:r w:rsidR="0040644B" w:rsidRPr="001125B5">
        <w:t>s</w:t>
      </w:r>
      <w:r w:rsidR="00CE47E7" w:rsidRPr="001125B5">
        <w:t>, depending on the maturity of the development</w:t>
      </w:r>
      <w:r w:rsidR="001B2FA7" w:rsidRPr="001125B5">
        <w:t xml:space="preserve">. Indicative timing of </w:t>
      </w:r>
      <w:r w:rsidR="001B2FA7" w:rsidRPr="001125B5">
        <w:lastRenderedPageBreak/>
        <w:t>submission of the final F</w:t>
      </w:r>
      <w:r w:rsidR="00525C63" w:rsidRPr="001125B5">
        <w:t xml:space="preserve">ield </w:t>
      </w:r>
      <w:r w:rsidR="001B2FA7" w:rsidRPr="001125B5">
        <w:t>D</w:t>
      </w:r>
      <w:r w:rsidR="00525C63" w:rsidRPr="001125B5">
        <w:t xml:space="preserve">evelopment </w:t>
      </w:r>
      <w:r w:rsidR="001B2FA7" w:rsidRPr="001125B5">
        <w:t>P</w:t>
      </w:r>
      <w:r w:rsidR="00525C63" w:rsidRPr="001125B5">
        <w:t>lan (FDP)</w:t>
      </w:r>
      <w:r w:rsidR="001B2FA7" w:rsidRPr="001125B5">
        <w:t xml:space="preserve"> to NOPTA for consideration by the Joint Authority</w:t>
      </w:r>
      <w:r w:rsidR="00525C63" w:rsidRPr="001125B5">
        <w:t>,</w:t>
      </w:r>
      <w:r w:rsidR="001B2FA7" w:rsidRPr="001125B5">
        <w:t xml:space="preserve"> should also be presented.</w:t>
      </w:r>
    </w:p>
    <w:p w14:paraId="36FAAC46" w14:textId="506E0F67" w:rsidR="00F575C6" w:rsidRPr="003B6C64" w:rsidRDefault="00F575C6" w:rsidP="00C55215">
      <w:pPr>
        <w:pStyle w:val="Heading4"/>
      </w:pPr>
      <w:r w:rsidRPr="00311717">
        <w:t>Variation of conditions</w:t>
      </w:r>
    </w:p>
    <w:p w14:paraId="7793E365" w14:textId="407F4FA2" w:rsidR="00F575C6" w:rsidRPr="002F0D4C" w:rsidRDefault="00F575C6" w:rsidP="00A352DC">
      <w:pPr>
        <w:pStyle w:val="ListParagraph"/>
        <w:numPr>
          <w:ilvl w:val="1"/>
          <w:numId w:val="49"/>
        </w:numPr>
        <w:ind w:left="851" w:hanging="716"/>
      </w:pPr>
      <w:r w:rsidRPr="002F0D4C">
        <w:t>If a lessee considers there are valid reasons to request a change to any conditions of a retention lease, the lessee may request that the Joint Authority vary those conditions</w:t>
      </w:r>
      <w:r w:rsidR="007A0BB5" w:rsidRPr="002F0D4C">
        <w:t>.</w:t>
      </w:r>
    </w:p>
    <w:p w14:paraId="7F877FAA" w14:textId="77777777" w:rsidR="00F575C6" w:rsidRDefault="00F575C6" w:rsidP="00A352DC">
      <w:pPr>
        <w:pStyle w:val="ListParagraph"/>
        <w:numPr>
          <w:ilvl w:val="1"/>
          <w:numId w:val="49"/>
        </w:numPr>
        <w:ind w:left="851" w:hanging="716"/>
      </w:pPr>
      <w:r w:rsidRPr="00F575C6">
        <w:t>The time taken to consider the application will depend primarily on the complexity of the variation proposed and the information provided by the applicant in support of the application.</w:t>
      </w:r>
    </w:p>
    <w:p w14:paraId="15A97F66" w14:textId="77777777" w:rsidR="00DE17CA" w:rsidRPr="000169CA" w:rsidRDefault="00DE17CA" w:rsidP="00A352DC">
      <w:pPr>
        <w:pStyle w:val="ListParagraph"/>
        <w:numPr>
          <w:ilvl w:val="1"/>
          <w:numId w:val="49"/>
        </w:numPr>
        <w:ind w:left="851" w:hanging="716"/>
      </w:pPr>
      <w:r w:rsidRPr="000169CA">
        <w:t>Titleholders may apply to vary any of the conditions to which the lease is subject. In submitting a variation application titleholders should note that:</w:t>
      </w:r>
    </w:p>
    <w:p w14:paraId="22892D8B" w14:textId="77777777" w:rsidR="00DE17CA" w:rsidRPr="000169CA" w:rsidRDefault="00DE17CA" w:rsidP="00A352DC">
      <w:pPr>
        <w:pStyle w:val="ListParagraph"/>
        <w:numPr>
          <w:ilvl w:val="2"/>
          <w:numId w:val="33"/>
        </w:numPr>
        <w:ind w:hanging="373"/>
      </w:pPr>
      <w:r w:rsidRPr="000169CA">
        <w:t>Proposed work program activities to be varied into the lease should only include work that will be undertaken within the lease area. Any work, studies or reprocessing proposed outside the lease area must be clearly differentiated.</w:t>
      </w:r>
    </w:p>
    <w:p w14:paraId="03A4FDE6" w14:textId="080A6329" w:rsidR="00DE17CA" w:rsidRPr="000169CA" w:rsidRDefault="00DE17CA" w:rsidP="00A352DC">
      <w:pPr>
        <w:pStyle w:val="ListParagraph"/>
        <w:numPr>
          <w:ilvl w:val="1"/>
          <w:numId w:val="49"/>
        </w:numPr>
        <w:ind w:left="851" w:hanging="716"/>
      </w:pPr>
      <w:r w:rsidRPr="000169CA">
        <w:t xml:space="preserve">A </w:t>
      </w:r>
      <w:r w:rsidR="00914B57" w:rsidRPr="000169CA">
        <w:t>titleholder</w:t>
      </w:r>
      <w:r w:rsidRPr="000169CA">
        <w:t xml:space="preserve"> may apply to replace a work program activity with an equivalent work program activity. The Joint Authority will generally only agree to a variation if the proposed replacement work program activity meets or exceeds the objective of the original work program commitment and will better address the barriers to commercialisation.</w:t>
      </w:r>
    </w:p>
    <w:p w14:paraId="6BAD1035" w14:textId="60CC2F21" w:rsidR="00DE17CA" w:rsidRPr="000169CA" w:rsidRDefault="00DE17CA" w:rsidP="00A352DC">
      <w:pPr>
        <w:pStyle w:val="ListParagraph"/>
        <w:numPr>
          <w:ilvl w:val="1"/>
          <w:numId w:val="49"/>
        </w:numPr>
        <w:ind w:left="851" w:hanging="716"/>
      </w:pPr>
      <w:r w:rsidRPr="000169CA">
        <w:t xml:space="preserve">An </w:t>
      </w:r>
      <w:r w:rsidR="00914B57" w:rsidRPr="000169CA">
        <w:t>application</w:t>
      </w:r>
      <w:r w:rsidRPr="000169CA">
        <w:t xml:space="preserve"> should be supported by:</w:t>
      </w:r>
    </w:p>
    <w:p w14:paraId="6953AF2C" w14:textId="6DE8621B" w:rsidR="00DE17CA" w:rsidRPr="000169CA" w:rsidRDefault="00DE17CA" w:rsidP="00A352DC">
      <w:pPr>
        <w:pStyle w:val="ListParagraph"/>
        <w:numPr>
          <w:ilvl w:val="2"/>
          <w:numId w:val="34"/>
        </w:numPr>
        <w:ind w:hanging="373"/>
      </w:pPr>
      <w:r w:rsidRPr="000169CA">
        <w:t>technical evidence as to why the work program should be varied</w:t>
      </w:r>
      <w:r w:rsidR="00B26FBF">
        <w:t>.</w:t>
      </w:r>
    </w:p>
    <w:p w14:paraId="4A7416CE" w14:textId="07089588" w:rsidR="00DE17CA" w:rsidRPr="000169CA" w:rsidRDefault="00DE17CA" w:rsidP="00A352DC">
      <w:pPr>
        <w:pStyle w:val="ListParagraph"/>
        <w:numPr>
          <w:ilvl w:val="2"/>
          <w:numId w:val="34"/>
        </w:numPr>
        <w:ind w:hanging="373"/>
      </w:pPr>
      <w:r w:rsidRPr="000169CA">
        <w:t>a detailed outline of the proposed new activities</w:t>
      </w:r>
      <w:r w:rsidR="00B26FBF">
        <w:t>.</w:t>
      </w:r>
    </w:p>
    <w:p w14:paraId="629BC549" w14:textId="6F5D2F49" w:rsidR="00DE17CA" w:rsidRPr="000169CA" w:rsidRDefault="00DE17CA" w:rsidP="00A352DC">
      <w:pPr>
        <w:pStyle w:val="ListParagraph"/>
        <w:numPr>
          <w:ilvl w:val="2"/>
          <w:numId w:val="34"/>
        </w:numPr>
        <w:ind w:hanging="373"/>
      </w:pPr>
      <w:r w:rsidRPr="000169CA">
        <w:t>an updated project schedule/ timeline showing the proposed schedule for the forward work program and the critical path/decision points</w:t>
      </w:r>
      <w:r w:rsidR="00B26FBF">
        <w:t>.</w:t>
      </w:r>
    </w:p>
    <w:p w14:paraId="0CEC634E" w14:textId="77777777" w:rsidR="00DE17CA" w:rsidRPr="002F0D4C" w:rsidRDefault="00DE17CA" w:rsidP="00A352DC">
      <w:pPr>
        <w:pStyle w:val="ListParagraph"/>
        <w:numPr>
          <w:ilvl w:val="2"/>
          <w:numId w:val="34"/>
        </w:numPr>
        <w:ind w:hanging="373"/>
      </w:pPr>
      <w:r w:rsidRPr="002F0D4C">
        <w:t>evidence detailing how the proposed activity will better address the barriers to commercialisation that the current work program.</w:t>
      </w:r>
    </w:p>
    <w:p w14:paraId="6ABDFDA6" w14:textId="19A70C85" w:rsidR="00DE17CA" w:rsidRDefault="00DE17CA" w:rsidP="00C55215">
      <w:pPr>
        <w:pStyle w:val="Heading3"/>
      </w:pPr>
      <w:bookmarkStart w:id="128" w:name="_Toc215524967"/>
      <w:r>
        <w:t>Technical advice and financial resources available</w:t>
      </w:r>
      <w:bookmarkEnd w:id="128"/>
    </w:p>
    <w:p w14:paraId="3CEC0B1C" w14:textId="15B8B295" w:rsidR="007A0BB5" w:rsidRPr="002F0D4C" w:rsidRDefault="00F575C6" w:rsidP="00A352DC">
      <w:pPr>
        <w:pStyle w:val="ListParagraph"/>
        <w:numPr>
          <w:ilvl w:val="1"/>
          <w:numId w:val="49"/>
        </w:numPr>
        <w:ind w:left="851" w:hanging="716"/>
      </w:pPr>
      <w:r w:rsidRPr="002F0D4C">
        <w:t>Applicants should include with their application any relevant information to demonstrate sufficient technical advice and financial resources are available.</w:t>
      </w:r>
    </w:p>
    <w:p w14:paraId="55C05C99" w14:textId="32B9E2A4" w:rsidR="00F575C6" w:rsidRPr="002F0D4C" w:rsidRDefault="00F575C6" w:rsidP="00A352DC">
      <w:pPr>
        <w:pStyle w:val="ListParagraph"/>
        <w:numPr>
          <w:ilvl w:val="1"/>
          <w:numId w:val="49"/>
        </w:numPr>
        <w:ind w:left="851" w:hanging="716"/>
      </w:pPr>
      <w:r w:rsidRPr="002F0D4C">
        <w:t xml:space="preserve">When determining whether an applicant has sufficient financial resources and technical advice for the purpose of </w:t>
      </w:r>
      <w:proofErr w:type="gramStart"/>
      <w:r w:rsidRPr="002F0D4C">
        <w:t>making a decision</w:t>
      </w:r>
      <w:proofErr w:type="gramEnd"/>
      <w:r w:rsidRPr="002F0D4C">
        <w:t xml:space="preserve"> on</w:t>
      </w:r>
      <w:r w:rsidR="00DE17CA" w:rsidRPr="002F0D4C">
        <w:t xml:space="preserve"> its</w:t>
      </w:r>
      <w:r w:rsidRPr="002F0D4C">
        <w:t xml:space="preserve"> application, the Joint Authority may consider:</w:t>
      </w:r>
    </w:p>
    <w:p w14:paraId="4FAD4853" w14:textId="73887BFA" w:rsidR="00F575C6" w:rsidRPr="00F575C6" w:rsidRDefault="00DE17CA" w:rsidP="00A352DC">
      <w:pPr>
        <w:pStyle w:val="ListParagraph"/>
        <w:numPr>
          <w:ilvl w:val="2"/>
          <w:numId w:val="35"/>
        </w:numPr>
        <w:ind w:hanging="373"/>
      </w:pPr>
      <w:r>
        <w:t>W</w:t>
      </w:r>
      <w:r w:rsidR="00F575C6" w:rsidRPr="00F575C6">
        <w:t>hether there has been any material change in the financial resources and technical advice available to the applicant since the title was granted or last renewed</w:t>
      </w:r>
      <w:r>
        <w:t>.</w:t>
      </w:r>
    </w:p>
    <w:p w14:paraId="45BC83D3" w14:textId="78050472" w:rsidR="00F575C6" w:rsidRDefault="00DE17CA" w:rsidP="00A352DC">
      <w:pPr>
        <w:pStyle w:val="ListParagraph"/>
        <w:numPr>
          <w:ilvl w:val="2"/>
          <w:numId w:val="35"/>
        </w:numPr>
        <w:ind w:hanging="373"/>
      </w:pPr>
      <w:r>
        <w:t>T</w:t>
      </w:r>
      <w:r w:rsidR="00F575C6" w:rsidRPr="00F575C6">
        <w:t>he impact of the application on the overall work program commitments.</w:t>
      </w:r>
    </w:p>
    <w:p w14:paraId="00FA5C43" w14:textId="71C0258D" w:rsidR="00DE17CA" w:rsidRPr="00F575C6" w:rsidRDefault="00DE17CA" w:rsidP="00DE17CA">
      <w:pPr>
        <w:pStyle w:val="Calloutbox"/>
      </w:pPr>
      <w:r w:rsidRPr="00F575C6">
        <w:t xml:space="preserve">Refer to the </w:t>
      </w:r>
      <w:hyperlink r:id="rId36" w:history="1">
        <w:r w:rsidRPr="00E37752">
          <w:rPr>
            <w:rStyle w:val="Hyperlink"/>
          </w:rPr>
          <w:t>Factsheet: Financial Resources</w:t>
        </w:r>
      </w:hyperlink>
      <w:r w:rsidRPr="00F575C6">
        <w:t xml:space="preserve"> and the </w:t>
      </w:r>
      <w:hyperlink r:id="rId37">
        <w:r w:rsidR="000773F3" w:rsidRPr="00CD0DF4">
          <w:rPr>
            <w:color w:val="15659B" w:themeColor="accent4"/>
            <w:u w:val="single"/>
          </w:rPr>
          <w:t>Guideline: Applicant Suitability</w:t>
        </w:r>
      </w:hyperlink>
      <w:r w:rsidRPr="00F575C6">
        <w:t xml:space="preserve"> for further details on application submissions requirements, assessments and decision making against these criteria.</w:t>
      </w:r>
    </w:p>
    <w:p w14:paraId="1680379F" w14:textId="2B58A421" w:rsidR="00DE17CA" w:rsidRPr="00DE17CA" w:rsidRDefault="00DE17CA" w:rsidP="00DE17CA">
      <w:pPr>
        <w:pStyle w:val="Heading3"/>
      </w:pPr>
      <w:bookmarkStart w:id="129" w:name="_Toc81487648"/>
      <w:bookmarkStart w:id="130" w:name="_Toc83042930"/>
      <w:bookmarkStart w:id="131" w:name="_Toc83395043"/>
      <w:bookmarkStart w:id="132" w:name="_Toc90044327"/>
      <w:bookmarkStart w:id="133" w:name="_Toc173153870"/>
      <w:bookmarkStart w:id="134" w:name="_Toc176522489"/>
      <w:bookmarkStart w:id="135" w:name="_Toc215524968"/>
      <w:r w:rsidRPr="00DE17CA">
        <w:t>Exemptions</w:t>
      </w:r>
      <w:bookmarkEnd w:id="129"/>
      <w:bookmarkEnd w:id="130"/>
      <w:bookmarkEnd w:id="131"/>
      <w:bookmarkEnd w:id="132"/>
      <w:bookmarkEnd w:id="133"/>
      <w:bookmarkEnd w:id="134"/>
      <w:bookmarkEnd w:id="135"/>
    </w:p>
    <w:p w14:paraId="25340E85" w14:textId="6A651FC7" w:rsidR="00DE17CA" w:rsidRPr="002F0D4C" w:rsidRDefault="00DE17CA" w:rsidP="00A352DC">
      <w:pPr>
        <w:pStyle w:val="ListParagraph"/>
        <w:numPr>
          <w:ilvl w:val="1"/>
          <w:numId w:val="49"/>
        </w:numPr>
        <w:ind w:left="851" w:hanging="716"/>
      </w:pPr>
      <w:r w:rsidRPr="00C90DC2">
        <w:t xml:space="preserve">A titleholder may apply to be exempt from compliance with a work program condition. An </w:t>
      </w:r>
      <w:r w:rsidRPr="002F0D4C">
        <w:t>exemption application may only be made on exceptional technical or force majeure grounds.</w:t>
      </w:r>
    </w:p>
    <w:p w14:paraId="034DE15E" w14:textId="183F1A81" w:rsidR="000613EF" w:rsidRDefault="00DE17CA" w:rsidP="00961728">
      <w:pPr>
        <w:pStyle w:val="ListParagraph"/>
        <w:numPr>
          <w:ilvl w:val="1"/>
          <w:numId w:val="49"/>
        </w:numPr>
        <w:ind w:left="851" w:hanging="716"/>
      </w:pPr>
      <w:r w:rsidRPr="002F0D4C">
        <w:t>Commercial circumstances will not be considered as grounds for an exemption.</w:t>
      </w:r>
      <w:r w:rsidR="007C0A8E">
        <w:t xml:space="preserve"> </w:t>
      </w:r>
      <w:r w:rsidR="00BD778F" w:rsidRPr="00EE213D">
        <w:t>Such circumstances and risks may include, but are not limited to:</w:t>
      </w:r>
    </w:p>
    <w:p w14:paraId="5DCB9755" w14:textId="62D2BAB1" w:rsidR="00BD778F" w:rsidRPr="001B0C86" w:rsidRDefault="00BD778F" w:rsidP="000613EF">
      <w:pPr>
        <w:pStyle w:val="ListParagraph"/>
        <w:numPr>
          <w:ilvl w:val="2"/>
          <w:numId w:val="53"/>
        </w:numPr>
        <w:ind w:hanging="373"/>
      </w:pPr>
      <w:r w:rsidRPr="001B0C86">
        <w:t>avoidable delays in receiving processed/reprocessed data from contractors</w:t>
      </w:r>
      <w:r w:rsidR="00572D4C">
        <w:t>.</w:t>
      </w:r>
    </w:p>
    <w:p w14:paraId="66797CF5" w14:textId="4950F450" w:rsidR="00BD778F" w:rsidRPr="001B0C86" w:rsidRDefault="00BD778F" w:rsidP="004237F5">
      <w:pPr>
        <w:pStyle w:val="ListParagraph"/>
        <w:numPr>
          <w:ilvl w:val="2"/>
          <w:numId w:val="53"/>
        </w:numPr>
        <w:ind w:hanging="373"/>
      </w:pPr>
      <w:r w:rsidRPr="001B0C86">
        <w:t>failure to mature a drillable prospect</w:t>
      </w:r>
      <w:r w:rsidR="00572D4C">
        <w:t>.</w:t>
      </w:r>
    </w:p>
    <w:p w14:paraId="5DBBB51E" w14:textId="41B97D00" w:rsidR="00BD778F" w:rsidRPr="001B0C86" w:rsidRDefault="00BD778F" w:rsidP="004237F5">
      <w:pPr>
        <w:pStyle w:val="ListParagraph"/>
        <w:numPr>
          <w:ilvl w:val="2"/>
          <w:numId w:val="53"/>
        </w:numPr>
        <w:ind w:hanging="373"/>
      </w:pPr>
      <w:r w:rsidRPr="001B0C86">
        <w:t>changes in oil price</w:t>
      </w:r>
      <w:r w:rsidR="00572D4C">
        <w:t>.</w:t>
      </w:r>
    </w:p>
    <w:p w14:paraId="0520323E" w14:textId="03FD3DF9" w:rsidR="00BD778F" w:rsidRPr="001B0C86" w:rsidRDefault="00BD778F" w:rsidP="004237F5">
      <w:pPr>
        <w:pStyle w:val="ListParagraph"/>
        <w:numPr>
          <w:ilvl w:val="2"/>
          <w:numId w:val="53"/>
        </w:numPr>
        <w:ind w:hanging="373"/>
      </w:pPr>
      <w:r w:rsidRPr="001B0C86">
        <w:lastRenderedPageBreak/>
        <w:t>difficulty attracting a farm-in partner</w:t>
      </w:r>
      <w:r w:rsidR="00572D4C">
        <w:t>.</w:t>
      </w:r>
    </w:p>
    <w:p w14:paraId="3F342F0B" w14:textId="253F2C2F" w:rsidR="00BD778F" w:rsidRPr="001B0C86" w:rsidRDefault="00BD778F" w:rsidP="004237F5">
      <w:pPr>
        <w:pStyle w:val="ListParagraph"/>
        <w:numPr>
          <w:ilvl w:val="2"/>
          <w:numId w:val="53"/>
        </w:numPr>
        <w:ind w:hanging="373"/>
      </w:pPr>
      <w:r w:rsidRPr="001B0C86">
        <w:t>avoidable delays in contracting a drilling rig/seismic vessel</w:t>
      </w:r>
      <w:r w:rsidR="00572D4C">
        <w:t>.</w:t>
      </w:r>
    </w:p>
    <w:p w14:paraId="4FFD8D84" w14:textId="038EDFCB" w:rsidR="00BD778F" w:rsidRPr="001B0C86" w:rsidRDefault="00BD778F" w:rsidP="004237F5">
      <w:pPr>
        <w:pStyle w:val="ListParagraph"/>
        <w:numPr>
          <w:ilvl w:val="2"/>
          <w:numId w:val="53"/>
        </w:numPr>
        <w:ind w:hanging="373"/>
      </w:pPr>
      <w:r w:rsidRPr="001B0C86">
        <w:t>difficulty in raising capital</w:t>
      </w:r>
      <w:r w:rsidR="00572D4C">
        <w:t>.</w:t>
      </w:r>
    </w:p>
    <w:p w14:paraId="4D2AD698" w14:textId="1B2C249F" w:rsidR="00BD778F" w:rsidRPr="001B0C86" w:rsidRDefault="00BD778F" w:rsidP="004237F5">
      <w:pPr>
        <w:pStyle w:val="ListParagraph"/>
        <w:numPr>
          <w:ilvl w:val="2"/>
          <w:numId w:val="53"/>
        </w:numPr>
        <w:ind w:hanging="373"/>
      </w:pPr>
      <w:r w:rsidRPr="001B0C86">
        <w:t>disappointing exploration</w:t>
      </w:r>
      <w:r w:rsidR="00101291">
        <w:t>/development</w:t>
      </w:r>
      <w:r w:rsidRPr="001B0C86">
        <w:t xml:space="preserve"> results</w:t>
      </w:r>
      <w:r w:rsidR="00572D4C">
        <w:t>.</w:t>
      </w:r>
    </w:p>
    <w:p w14:paraId="7F7776A8" w14:textId="0785B23F" w:rsidR="00BD778F" w:rsidRDefault="00BD778F" w:rsidP="004237F5">
      <w:pPr>
        <w:pStyle w:val="ListParagraph"/>
        <w:numPr>
          <w:ilvl w:val="2"/>
          <w:numId w:val="53"/>
        </w:numPr>
        <w:ind w:hanging="373"/>
      </w:pPr>
      <w:r w:rsidRPr="001B0C86">
        <w:t>the need to wait for the results of work undertaken outside the permit area</w:t>
      </w:r>
      <w:r w:rsidR="00572D4C">
        <w:t>.</w:t>
      </w:r>
    </w:p>
    <w:p w14:paraId="4A4AD058" w14:textId="68609224" w:rsidR="00DE17CA" w:rsidRPr="00C90DC2" w:rsidRDefault="00DE17CA" w:rsidP="00A352DC">
      <w:pPr>
        <w:pStyle w:val="ListParagraph"/>
        <w:numPr>
          <w:ilvl w:val="1"/>
          <w:numId w:val="49"/>
        </w:numPr>
        <w:ind w:left="851" w:hanging="716"/>
      </w:pPr>
      <w:r w:rsidRPr="00C90DC2">
        <w:t>In deciding whether to exempt a titleholder from compliance with a work program condition, the Joint Authority will consider if the:</w:t>
      </w:r>
    </w:p>
    <w:p w14:paraId="332790AB" w14:textId="30D1302B" w:rsidR="00DE17CA" w:rsidRPr="00C90DC2" w:rsidRDefault="00DE17CA" w:rsidP="00A352DC">
      <w:pPr>
        <w:pStyle w:val="ListParagraph"/>
        <w:numPr>
          <w:ilvl w:val="2"/>
          <w:numId w:val="36"/>
        </w:numPr>
        <w:ind w:hanging="373"/>
      </w:pPr>
      <w:r w:rsidRPr="00C90DC2">
        <w:t xml:space="preserve">Titleholder has demonstrated a significant effort to identify and assess the </w:t>
      </w:r>
      <w:r w:rsidR="006218A0" w:rsidRPr="00C90DC2">
        <w:t>commercial potential of the lease area</w:t>
      </w:r>
      <w:r w:rsidRPr="00C90DC2">
        <w:t xml:space="preserve"> and has provided substantial and compelling documentary evidence.</w:t>
      </w:r>
    </w:p>
    <w:p w14:paraId="0FE5BBA7" w14:textId="74F724F7" w:rsidR="00DE17CA" w:rsidRPr="00C90DC2" w:rsidRDefault="00DE17CA" w:rsidP="00A352DC">
      <w:pPr>
        <w:pStyle w:val="ListParagraph"/>
        <w:numPr>
          <w:ilvl w:val="2"/>
          <w:numId w:val="36"/>
        </w:numPr>
        <w:ind w:hanging="373"/>
      </w:pPr>
      <w:r w:rsidRPr="00C90DC2">
        <w:t>Objective of the original work program commitment has been met.</w:t>
      </w:r>
    </w:p>
    <w:p w14:paraId="5EB4EECA" w14:textId="52977029" w:rsidR="00DE17CA" w:rsidRPr="00C90DC2" w:rsidRDefault="00DE17CA" w:rsidP="00A352DC">
      <w:pPr>
        <w:pStyle w:val="ListParagraph"/>
        <w:numPr>
          <w:ilvl w:val="1"/>
          <w:numId w:val="49"/>
        </w:numPr>
        <w:ind w:left="851" w:hanging="716"/>
      </w:pPr>
      <w:r w:rsidRPr="00C90DC2">
        <w:t>The Joint Authority will not exempt a titleholder from an activity if another activity in the lease term is reliant on that work being undertaken.</w:t>
      </w:r>
      <w:bookmarkStart w:id="136" w:name="_Toc81487649"/>
    </w:p>
    <w:p w14:paraId="5E3999F1" w14:textId="4C7EA7B9" w:rsidR="00DE17CA" w:rsidRPr="00992054" w:rsidRDefault="00DE17CA" w:rsidP="00DE17CA">
      <w:pPr>
        <w:keepNext/>
        <w:keepLines/>
        <w:spacing w:before="240"/>
        <w:ind w:left="630" w:hanging="488"/>
        <w:outlineLvl w:val="2"/>
        <w:rPr>
          <w:rFonts w:ascii="Aptos SemiBold" w:eastAsia="MS Gothic" w:hAnsi="Aptos SemiBold"/>
          <w:color w:val="15659B"/>
          <w:sz w:val="40"/>
          <w:szCs w:val="40"/>
        </w:rPr>
      </w:pPr>
      <w:bookmarkStart w:id="137" w:name="_Toc83042931"/>
      <w:bookmarkStart w:id="138" w:name="_Toc83395044"/>
      <w:bookmarkStart w:id="139" w:name="_Toc90044328"/>
      <w:bookmarkStart w:id="140" w:name="_Toc173153871"/>
      <w:bookmarkStart w:id="141" w:name="_Toc176522490"/>
      <w:bookmarkStart w:id="142" w:name="_Toc215524969"/>
      <w:r w:rsidRPr="00992054">
        <w:rPr>
          <w:rFonts w:ascii="Aptos SemiBold" w:eastAsia="MS Gothic" w:hAnsi="Aptos SemiBold"/>
          <w:color w:val="15659B"/>
          <w:sz w:val="40"/>
          <w:szCs w:val="40"/>
        </w:rPr>
        <w:t>Surrenders</w:t>
      </w:r>
      <w:bookmarkEnd w:id="136"/>
      <w:bookmarkEnd w:id="137"/>
      <w:bookmarkEnd w:id="138"/>
      <w:bookmarkEnd w:id="139"/>
      <w:bookmarkEnd w:id="140"/>
      <w:bookmarkEnd w:id="141"/>
      <w:bookmarkEnd w:id="142"/>
    </w:p>
    <w:p w14:paraId="2727A384" w14:textId="49D1872C" w:rsidR="006218A0" w:rsidRPr="006218A0" w:rsidRDefault="006218A0" w:rsidP="00A352DC">
      <w:pPr>
        <w:pStyle w:val="ListParagraph"/>
        <w:numPr>
          <w:ilvl w:val="1"/>
          <w:numId w:val="49"/>
        </w:numPr>
        <w:ind w:left="851" w:hanging="716"/>
      </w:pPr>
      <w:r w:rsidRPr="006218A0">
        <w:t xml:space="preserve">A titleholder may apply for consent to surrender some or </w:t>
      </w:r>
      <w:proofErr w:type="gramStart"/>
      <w:r w:rsidRPr="006218A0">
        <w:t>all of</w:t>
      </w:r>
      <w:proofErr w:type="gramEnd"/>
      <w:r w:rsidRPr="006218A0">
        <w:t xml:space="preserve"> the blocks that the permit is in force over.</w:t>
      </w:r>
    </w:p>
    <w:p w14:paraId="6906F8FB" w14:textId="56609494" w:rsidR="006218A0" w:rsidRPr="00DE17CA" w:rsidRDefault="006218A0" w:rsidP="00A352DC">
      <w:pPr>
        <w:pStyle w:val="ListParagraph"/>
        <w:numPr>
          <w:ilvl w:val="1"/>
          <w:numId w:val="49"/>
        </w:numPr>
        <w:ind w:left="851" w:hanging="716"/>
      </w:pPr>
      <w:r w:rsidRPr="00DE17CA">
        <w:t xml:space="preserve">In deciding whether to consent to the surrender, the Joint Authority will consider the provisions of </w:t>
      </w:r>
      <w:hyperlink r:id="rId38" w:tooltip="Link to Act" w:history="1">
        <w:r w:rsidRPr="00DE17CA">
          <w:t>section 270 of the OPGGS Act</w:t>
        </w:r>
      </w:hyperlink>
      <w:r w:rsidRPr="00DE17CA">
        <w:t>, including whether the titleholder has completed all work program commitments</w:t>
      </w:r>
      <w:r>
        <w:t xml:space="preserve"> and other matters as considered relevant by the Joint Authority.</w:t>
      </w:r>
    </w:p>
    <w:p w14:paraId="48ED04DE" w14:textId="77777777" w:rsidR="006218A0" w:rsidRPr="00DE17CA" w:rsidRDefault="006218A0" w:rsidP="00A352DC">
      <w:pPr>
        <w:pStyle w:val="ListParagraph"/>
        <w:numPr>
          <w:ilvl w:val="1"/>
          <w:numId w:val="49"/>
        </w:numPr>
        <w:ind w:left="851" w:hanging="716"/>
      </w:pPr>
      <w:r w:rsidRPr="00DE17CA">
        <w:t>Whether there are sufficient grounds, in the Joint Authority’s view, to warrant the giving of consent to surrender despite non-compliance with any of the criteria outlined in subsection 270(3) of the OPGGS Act. In determining if sufficient grounds exist for a surrender in non-compliance, the Joint Authority may consider:</w:t>
      </w:r>
    </w:p>
    <w:p w14:paraId="47E0A00D" w14:textId="77777777" w:rsidR="006218A0" w:rsidRPr="00DE17CA" w:rsidRDefault="006218A0" w:rsidP="00A352DC">
      <w:pPr>
        <w:pStyle w:val="ListParagraph"/>
        <w:numPr>
          <w:ilvl w:val="2"/>
          <w:numId w:val="37"/>
        </w:numPr>
        <w:ind w:hanging="373"/>
      </w:pPr>
      <w:r w:rsidRPr="00DE17CA">
        <w:t>If the titleholder has demonstrated a significant effort to identify and assess the commercial potential of the lease and has provided substantial and compelling documentary evidence.</w:t>
      </w:r>
    </w:p>
    <w:p w14:paraId="0F68DFAD" w14:textId="77777777" w:rsidR="006218A0" w:rsidRPr="00DE17CA" w:rsidRDefault="006218A0" w:rsidP="00A352DC">
      <w:pPr>
        <w:pStyle w:val="ListParagraph"/>
        <w:numPr>
          <w:ilvl w:val="2"/>
          <w:numId w:val="37"/>
        </w:numPr>
        <w:ind w:hanging="373"/>
      </w:pPr>
      <w:r w:rsidRPr="00DE17CA">
        <w:t>If the objective of the original work program commitment has been met.</w:t>
      </w:r>
    </w:p>
    <w:p w14:paraId="4559B83A" w14:textId="77777777" w:rsidR="006218A0" w:rsidRPr="00DE17CA" w:rsidRDefault="006218A0" w:rsidP="00A352DC">
      <w:pPr>
        <w:pStyle w:val="ListParagraph"/>
        <w:numPr>
          <w:ilvl w:val="2"/>
          <w:numId w:val="37"/>
        </w:numPr>
        <w:ind w:hanging="373"/>
      </w:pPr>
      <w:r w:rsidRPr="00DE17CA">
        <w:t>Other matters as considered relevant by the Joint Authority.</w:t>
      </w:r>
    </w:p>
    <w:p w14:paraId="72ADEE84" w14:textId="54148E08" w:rsidR="006218A0" w:rsidRPr="00DE17CA" w:rsidRDefault="006218A0" w:rsidP="00A352DC">
      <w:pPr>
        <w:pStyle w:val="ListParagraph"/>
        <w:numPr>
          <w:ilvl w:val="1"/>
          <w:numId w:val="49"/>
        </w:numPr>
        <w:ind w:left="851" w:hanging="716"/>
      </w:pPr>
      <w:r w:rsidRPr="00DE17CA">
        <w:t>In un</w:t>
      </w:r>
      <w:r w:rsidR="00E845A1">
        <w:t>d</w:t>
      </w:r>
      <w:r w:rsidRPr="00DE17CA">
        <w:t>ertaking its assessment, in accordance with the OPGGS Act, NOPTA consults with NOPSEMA.</w:t>
      </w:r>
    </w:p>
    <w:p w14:paraId="15A4238F" w14:textId="6F1C2E8D" w:rsidR="006218A0" w:rsidRPr="00DE17CA" w:rsidRDefault="006218A0" w:rsidP="00A352DC">
      <w:pPr>
        <w:pStyle w:val="ListParagraph"/>
        <w:numPr>
          <w:ilvl w:val="1"/>
          <w:numId w:val="49"/>
        </w:numPr>
        <w:ind w:left="851" w:hanging="716"/>
      </w:pPr>
      <w:r w:rsidRPr="00DE17CA">
        <w:t>Titleh</w:t>
      </w:r>
      <w:r w:rsidR="00E845A1">
        <w:t>o</w:t>
      </w:r>
      <w:r w:rsidRPr="00DE17CA">
        <w:t xml:space="preserve">lders are expected to ensure any outstanding reports and data are lodged with the surrender application in accordance with the </w:t>
      </w:r>
      <w:hyperlink r:id="rId39" w:tooltip="Link to regulations" w:history="1">
        <w:r w:rsidRPr="00DE17CA">
          <w:t xml:space="preserve">RMA </w:t>
        </w:r>
        <w:r w:rsidR="003D1E84">
          <w:t>R</w:t>
        </w:r>
        <w:r w:rsidRPr="00DE17CA">
          <w:t>egulations</w:t>
        </w:r>
      </w:hyperlink>
      <w:r w:rsidRPr="00DE17CA">
        <w:t>.</w:t>
      </w:r>
    </w:p>
    <w:p w14:paraId="7BE61C6C" w14:textId="40E6821A" w:rsidR="006218A0" w:rsidRPr="00DE17CA" w:rsidRDefault="006218A0" w:rsidP="00A352DC">
      <w:pPr>
        <w:pStyle w:val="ListParagraph"/>
        <w:numPr>
          <w:ilvl w:val="1"/>
          <w:numId w:val="49"/>
        </w:numPr>
        <w:ind w:left="851" w:hanging="716"/>
      </w:pPr>
      <w:r w:rsidRPr="00DE17CA">
        <w:t xml:space="preserve">If the </w:t>
      </w:r>
      <w:r w:rsidR="00E845A1">
        <w:t>J</w:t>
      </w:r>
      <w:r w:rsidRPr="00DE17CA">
        <w:t>oint Authority gives consent to the surrender of the lease, the titleholder may, by written notice given to NOPTA, surrender the whole or part of the lease.</w:t>
      </w:r>
    </w:p>
    <w:p w14:paraId="45DD4362" w14:textId="24C814F7" w:rsidR="006218A0" w:rsidRPr="00DE17CA" w:rsidRDefault="006218A0" w:rsidP="00A352DC">
      <w:pPr>
        <w:pStyle w:val="ListParagraph"/>
        <w:numPr>
          <w:ilvl w:val="1"/>
          <w:numId w:val="49"/>
        </w:numPr>
        <w:ind w:left="851" w:hanging="716"/>
      </w:pPr>
      <w:r w:rsidRPr="00DE17CA">
        <w:t>The s</w:t>
      </w:r>
      <w:r w:rsidR="00E845A1">
        <w:t>u</w:t>
      </w:r>
      <w:r w:rsidRPr="00DE17CA">
        <w:t xml:space="preserve">rrender takes effect the day a notice is published in the </w:t>
      </w:r>
      <w:hyperlink r:id="rId40" w:tooltip="Link to gazette website" w:history="1">
        <w:r w:rsidRPr="00DE17CA">
          <w:t>Australian Government Gazette</w:t>
        </w:r>
      </w:hyperlink>
      <w:r w:rsidRPr="00DE17CA">
        <w:t>.</w:t>
      </w:r>
    </w:p>
    <w:p w14:paraId="1D283DA4" w14:textId="65E6FB59" w:rsidR="006218A0" w:rsidRPr="006218A0" w:rsidRDefault="006218A0" w:rsidP="006218A0">
      <w:pPr>
        <w:pStyle w:val="Calloutbox"/>
        <w:rPr>
          <w:lang w:eastAsia="en-AU"/>
        </w:rPr>
      </w:pPr>
      <w:r>
        <w:rPr>
          <w:szCs w:val="20"/>
          <w:shd w:val="clear" w:color="auto" w:fill="E7E6E6"/>
          <w:lang w:eastAsia="en-AU"/>
        </w:rPr>
        <w:t>Refer t</w:t>
      </w:r>
      <w:r w:rsidRPr="006218A0">
        <w:rPr>
          <w:szCs w:val="20"/>
          <w:shd w:val="clear" w:color="auto" w:fill="E7E6E6"/>
          <w:lang w:eastAsia="en-AU"/>
        </w:rPr>
        <w:t xml:space="preserve">o </w:t>
      </w:r>
      <w:hyperlink r:id="rId41" w:tgtFrame="_blank" w:history="1">
        <w:r w:rsidRPr="006218A0">
          <w:rPr>
            <w:color w:val="0000FF"/>
            <w:szCs w:val="20"/>
            <w:shd w:val="clear" w:color="auto" w:fill="E7E6E6"/>
            <w:lang w:eastAsia="en-AU"/>
          </w:rPr>
          <w:t>Guideline: Offshore petroleum decommissioning</w:t>
        </w:r>
      </w:hyperlink>
      <w:r w:rsidRPr="006218A0">
        <w:rPr>
          <w:szCs w:val="20"/>
          <w:shd w:val="clear" w:color="auto" w:fill="E7E6E6"/>
          <w:lang w:eastAsia="en-AU"/>
        </w:rPr>
        <w:t xml:space="preserve"> on NOPTA’s website.</w:t>
      </w:r>
    </w:p>
    <w:p w14:paraId="7FF0E603" w14:textId="7D972FCF" w:rsidR="006218A0" w:rsidRPr="006218A0" w:rsidRDefault="006218A0" w:rsidP="006218A0">
      <w:pPr>
        <w:pStyle w:val="Heading3"/>
      </w:pPr>
      <w:bookmarkStart w:id="143" w:name="_Toc215524970"/>
      <w:r>
        <w:t>C</w:t>
      </w:r>
      <w:r w:rsidRPr="00677B16">
        <w:t>ancellatio</w:t>
      </w:r>
      <w:r>
        <w:t>n</w:t>
      </w:r>
      <w:bookmarkEnd w:id="143"/>
    </w:p>
    <w:p w14:paraId="574CDCFD" w14:textId="2147357F" w:rsidR="006218A0" w:rsidRPr="002F0D4C" w:rsidRDefault="006218A0" w:rsidP="00A352DC">
      <w:pPr>
        <w:pStyle w:val="ListParagraph"/>
        <w:numPr>
          <w:ilvl w:val="1"/>
          <w:numId w:val="49"/>
        </w:numPr>
        <w:ind w:left="851" w:hanging="716"/>
      </w:pPr>
      <w:r w:rsidRPr="002F0D4C">
        <w:t xml:space="preserve">Titleholders are expected to ensure all obligations under the OPGGS Act, OPGGS Levies Act, the associated regulations, any directions and permit conditions are </w:t>
      </w:r>
      <w:proofErr w:type="gramStart"/>
      <w:r w:rsidRPr="002F0D4C">
        <w:t>met at all times</w:t>
      </w:r>
      <w:proofErr w:type="gramEnd"/>
      <w:r w:rsidRPr="002F0D4C">
        <w:t>. Failure to comply with any of these obligations is a ground for cancellation of the lease.</w:t>
      </w:r>
    </w:p>
    <w:p w14:paraId="6E7AC007" w14:textId="77777777" w:rsidR="00F4306A" w:rsidRPr="006218A0" w:rsidRDefault="00F4306A" w:rsidP="001F1A4A">
      <w:pPr>
        <w:pStyle w:val="Calloutbox"/>
        <w:rPr>
          <w:lang w:eastAsia="en-AU"/>
        </w:rPr>
      </w:pPr>
      <w:r>
        <w:rPr>
          <w:szCs w:val="20"/>
          <w:shd w:val="clear" w:color="auto" w:fill="E7E6E6"/>
          <w:lang w:eastAsia="en-AU"/>
        </w:rPr>
        <w:t>Refer t</w:t>
      </w:r>
      <w:r w:rsidRPr="006218A0">
        <w:rPr>
          <w:szCs w:val="20"/>
          <w:shd w:val="clear" w:color="auto" w:fill="E7E6E6"/>
          <w:lang w:eastAsia="en-AU"/>
        </w:rPr>
        <w:t xml:space="preserve">o </w:t>
      </w:r>
      <w:hyperlink r:id="rId42" w:tgtFrame="_blank" w:history="1">
        <w:r w:rsidRPr="006218A0">
          <w:rPr>
            <w:color w:val="0000FF"/>
            <w:szCs w:val="20"/>
            <w:shd w:val="clear" w:color="auto" w:fill="E7E6E6"/>
            <w:lang w:eastAsia="en-AU"/>
          </w:rPr>
          <w:t>Guideline: Offshore petroleum decommissioning</w:t>
        </w:r>
      </w:hyperlink>
      <w:r w:rsidRPr="006218A0">
        <w:rPr>
          <w:szCs w:val="20"/>
          <w:shd w:val="clear" w:color="auto" w:fill="E7E6E6"/>
          <w:lang w:eastAsia="en-AU"/>
        </w:rPr>
        <w:t xml:space="preserve"> on NOPTA’s website.</w:t>
      </w:r>
    </w:p>
    <w:p w14:paraId="77649B79" w14:textId="303AE90F" w:rsidR="006218A0" w:rsidRPr="002F0D4C" w:rsidRDefault="006218A0" w:rsidP="00A352DC">
      <w:pPr>
        <w:pStyle w:val="ListParagraph"/>
        <w:numPr>
          <w:ilvl w:val="1"/>
          <w:numId w:val="49"/>
        </w:numPr>
        <w:ind w:left="851" w:hanging="716"/>
      </w:pPr>
      <w:r w:rsidRPr="002F0D4C">
        <w:lastRenderedPageBreak/>
        <w:t xml:space="preserve">If there is/are a ground/s for cancellation, before </w:t>
      </w:r>
      <w:proofErr w:type="gramStart"/>
      <w:r w:rsidRPr="002F0D4C">
        <w:t>making a decision</w:t>
      </w:r>
      <w:proofErr w:type="gramEnd"/>
      <w:r w:rsidRPr="002F0D4C">
        <w:t xml:space="preserve"> the Joint Authority will issue the titleholders a written notice of intention to cancel the lease, setting out the reason/s for the proposed cancellation and inviting a written submission to the Joint Authority. Titleholders will be given at least 30 days to submit matters they wish to have considered by the Joint Authority in reaching its final decision.</w:t>
      </w:r>
    </w:p>
    <w:p w14:paraId="69AD70EF" w14:textId="5520CF74" w:rsidR="006218A0" w:rsidRPr="002F0D4C" w:rsidRDefault="006218A0" w:rsidP="00A352DC">
      <w:pPr>
        <w:pStyle w:val="ListParagraph"/>
        <w:numPr>
          <w:ilvl w:val="1"/>
          <w:numId w:val="49"/>
        </w:numPr>
        <w:ind w:left="851" w:hanging="716"/>
      </w:pPr>
      <w:r w:rsidRPr="002F0D4C">
        <w:t>Before deciding to cancel a title, the Joint Authority must:</w:t>
      </w:r>
    </w:p>
    <w:p w14:paraId="3DD263F4" w14:textId="633CD817" w:rsidR="006218A0" w:rsidRPr="002F0D4C" w:rsidRDefault="006218A0" w:rsidP="00A352DC">
      <w:pPr>
        <w:pStyle w:val="ListParagraph"/>
        <w:numPr>
          <w:ilvl w:val="2"/>
          <w:numId w:val="39"/>
        </w:numPr>
        <w:ind w:hanging="373"/>
      </w:pPr>
      <w:r w:rsidRPr="002F0D4C">
        <w:t>Consider any submissions made by the titleholder or other relevant persons.</w:t>
      </w:r>
    </w:p>
    <w:p w14:paraId="4B516D65" w14:textId="30C22984" w:rsidR="006218A0" w:rsidRPr="002F0D4C" w:rsidRDefault="006218A0" w:rsidP="00A352DC">
      <w:pPr>
        <w:pStyle w:val="ListParagraph"/>
        <w:numPr>
          <w:ilvl w:val="2"/>
          <w:numId w:val="39"/>
        </w:numPr>
        <w:ind w:hanging="373"/>
      </w:pPr>
      <w:proofErr w:type="gramStart"/>
      <w:r w:rsidRPr="002F0D4C">
        <w:t>Take into account</w:t>
      </w:r>
      <w:proofErr w:type="gramEnd"/>
      <w:r w:rsidRPr="002F0D4C">
        <w:t xml:space="preserve"> any action taken by the titleholder to remove the ground(s) for cancellation or prevent its recurrence.</w:t>
      </w:r>
    </w:p>
    <w:p w14:paraId="0DDE88CC" w14:textId="6C4FBB96" w:rsidR="006218A0" w:rsidRPr="002F0D4C" w:rsidRDefault="006218A0" w:rsidP="00A352DC">
      <w:pPr>
        <w:pStyle w:val="ListParagraph"/>
        <w:numPr>
          <w:ilvl w:val="1"/>
          <w:numId w:val="49"/>
        </w:numPr>
        <w:ind w:left="851" w:hanging="716"/>
      </w:pPr>
      <w:r w:rsidRPr="002F0D4C">
        <w:t xml:space="preserve">The titleholder(s) will be notified in writing if the Joint Authority cancels the title. A cancellation takes effect the day a notice is published in the </w:t>
      </w:r>
      <w:hyperlink r:id="rId43" w:tgtFrame="_blank" w:history="1">
        <w:r w:rsidRPr="002F0D4C">
          <w:t>Australian Government Gazette</w:t>
        </w:r>
      </w:hyperlink>
      <w:r w:rsidRPr="002F0D4C">
        <w:t>.</w:t>
      </w:r>
    </w:p>
    <w:p w14:paraId="533A60AA" w14:textId="736C97D2" w:rsidR="006218A0" w:rsidRDefault="006218A0" w:rsidP="006218A0">
      <w:pPr>
        <w:pStyle w:val="Heading3"/>
      </w:pPr>
      <w:bookmarkStart w:id="144" w:name="_Toc215524971"/>
      <w:r>
        <w:t>Expiry</w:t>
      </w:r>
      <w:bookmarkEnd w:id="144"/>
    </w:p>
    <w:p w14:paraId="29518008" w14:textId="77777777" w:rsidR="00E845A1" w:rsidRDefault="006218A0" w:rsidP="00A352DC">
      <w:pPr>
        <w:pStyle w:val="ListParagraph"/>
        <w:numPr>
          <w:ilvl w:val="1"/>
          <w:numId w:val="49"/>
        </w:numPr>
        <w:ind w:left="851" w:hanging="716"/>
      </w:pPr>
      <w:r w:rsidRPr="002F0D4C">
        <w:t xml:space="preserve">An expiry takes effect on the day the </w:t>
      </w:r>
      <w:r w:rsidR="00480029" w:rsidRPr="002F0D4C">
        <w:t>lease</w:t>
      </w:r>
      <w:r w:rsidRPr="002F0D4C">
        <w:t xml:space="preserve"> ceases to be in force.</w:t>
      </w:r>
    </w:p>
    <w:p w14:paraId="59CF3D3A" w14:textId="77777777" w:rsidR="00E845A1" w:rsidRDefault="006218A0" w:rsidP="00A352DC">
      <w:pPr>
        <w:pStyle w:val="ListParagraph"/>
        <w:numPr>
          <w:ilvl w:val="1"/>
          <w:numId w:val="49"/>
        </w:numPr>
        <w:ind w:left="851" w:hanging="716"/>
      </w:pPr>
      <w:r w:rsidRPr="006218A0">
        <w:t xml:space="preserve">Titleholders are not required to lodge an application if it is intended to let a </w:t>
      </w:r>
      <w:r w:rsidR="00480029">
        <w:t>lease</w:t>
      </w:r>
      <w:r w:rsidRPr="006218A0">
        <w:t xml:space="preserve"> expire. However, titleholders may choose to notify NOPTA of this intention before the expiration date.</w:t>
      </w:r>
    </w:p>
    <w:p w14:paraId="0FEB612B" w14:textId="77777777" w:rsidR="00215B1D" w:rsidRDefault="006D387B" w:rsidP="00A352DC">
      <w:pPr>
        <w:pStyle w:val="ListParagraph"/>
        <w:numPr>
          <w:ilvl w:val="1"/>
          <w:numId w:val="49"/>
        </w:numPr>
        <w:ind w:left="851" w:hanging="716"/>
      </w:pPr>
      <w:r>
        <w:t xml:space="preserve">Prior to the permit expiry, NOPTA </w:t>
      </w:r>
      <w:r w:rsidR="002E7B65">
        <w:t xml:space="preserve">consults NOPSEMA </w:t>
      </w:r>
      <w:r w:rsidR="00660916">
        <w:t xml:space="preserve">to ensure relevant safety, environment and well integrity matters </w:t>
      </w:r>
      <w:r w:rsidR="00AC7E57">
        <w:t>of the OPGGS Act and regulations</w:t>
      </w:r>
    </w:p>
    <w:p w14:paraId="7C829F8A" w14:textId="31CC9135" w:rsidR="006D387B" w:rsidRPr="006218A0" w:rsidRDefault="00AC7E57" w:rsidP="00A352DC">
      <w:pPr>
        <w:pStyle w:val="ListParagraph"/>
        <w:numPr>
          <w:ilvl w:val="1"/>
          <w:numId w:val="49"/>
        </w:numPr>
        <w:ind w:left="851" w:hanging="716"/>
      </w:pPr>
      <w:r>
        <w:t xml:space="preserve"> have been complied with.</w:t>
      </w:r>
    </w:p>
    <w:p w14:paraId="1B1BA9DA" w14:textId="3CBD2789" w:rsidR="006218A0" w:rsidRPr="006218A0" w:rsidRDefault="006218A0" w:rsidP="00A352DC">
      <w:pPr>
        <w:pStyle w:val="ListParagraph"/>
        <w:numPr>
          <w:ilvl w:val="1"/>
          <w:numId w:val="49"/>
        </w:numPr>
        <w:ind w:left="851" w:hanging="716"/>
      </w:pPr>
      <w:bookmarkStart w:id="145" w:name="_Ref183679948"/>
      <w:r w:rsidRPr="006218A0">
        <w:t xml:space="preserve">Prior to the permit expiry, the titleholder is expected to be </w:t>
      </w:r>
      <w:proofErr w:type="gramStart"/>
      <w:r w:rsidRPr="006218A0">
        <w:t>in a position</w:t>
      </w:r>
      <w:proofErr w:type="gramEnd"/>
      <w:r w:rsidRPr="006218A0">
        <w:t xml:space="preserve"> to ensur</w:t>
      </w:r>
      <w:r w:rsidR="00480029">
        <w:t>e</w:t>
      </w:r>
      <w:r w:rsidRPr="006218A0">
        <w:t xml:space="preserve"> that all:</w:t>
      </w:r>
      <w:bookmarkEnd w:id="145"/>
    </w:p>
    <w:p w14:paraId="0F4FC3D3" w14:textId="75EBD216" w:rsidR="006218A0" w:rsidRPr="006218A0" w:rsidRDefault="006218A0" w:rsidP="00A352DC">
      <w:pPr>
        <w:pStyle w:val="ListParagraph"/>
        <w:numPr>
          <w:ilvl w:val="2"/>
          <w:numId w:val="40"/>
        </w:numPr>
        <w:ind w:hanging="373"/>
      </w:pPr>
      <w:r w:rsidRPr="006218A0">
        <w:t>Conditions of the title, including work program commitments have been met.</w:t>
      </w:r>
    </w:p>
    <w:p w14:paraId="02182EE7" w14:textId="72E79718" w:rsidR="006218A0" w:rsidRPr="006218A0" w:rsidRDefault="006218A0" w:rsidP="00A352DC">
      <w:pPr>
        <w:pStyle w:val="ListParagraph"/>
        <w:numPr>
          <w:ilvl w:val="2"/>
          <w:numId w:val="40"/>
        </w:numPr>
        <w:ind w:hanging="373"/>
      </w:pPr>
      <w:r w:rsidRPr="006218A0">
        <w:t>Relevant provisions of chapters 2, 4, 6 and part 7.1 of the OPGGS Act and the regulations have been complied with including the submission of all reports and data due and completion of any decommissioning obligations.</w:t>
      </w:r>
    </w:p>
    <w:p w14:paraId="74CBFEB3" w14:textId="399C634A" w:rsidR="006218A0" w:rsidRPr="006218A0" w:rsidRDefault="006218A0" w:rsidP="00A352DC">
      <w:pPr>
        <w:pStyle w:val="ListParagraph"/>
        <w:numPr>
          <w:ilvl w:val="2"/>
          <w:numId w:val="40"/>
        </w:numPr>
        <w:ind w:hanging="373"/>
      </w:pPr>
      <w:r w:rsidRPr="006218A0">
        <w:t>Any direction(s) given by the responsible Commonwealth Minister, NOPSEMA or the Joint Authority have been complied with.</w:t>
      </w:r>
    </w:p>
    <w:p w14:paraId="50F70E5E" w14:textId="3F99D331" w:rsidR="006218A0" w:rsidRPr="006218A0" w:rsidRDefault="006218A0" w:rsidP="00A352DC">
      <w:pPr>
        <w:pStyle w:val="ListParagraph"/>
        <w:numPr>
          <w:ilvl w:val="2"/>
          <w:numId w:val="40"/>
        </w:numPr>
        <w:ind w:hanging="373"/>
      </w:pPr>
      <w:r w:rsidRPr="006218A0">
        <w:t>All applicable fees, royalties and the annual titles administration levy have been paid, or appropriate arrangements have been made with NOPTA.</w:t>
      </w:r>
    </w:p>
    <w:p w14:paraId="30EF07F0" w14:textId="4A031851" w:rsidR="006218A0" w:rsidRPr="006218A0" w:rsidRDefault="006218A0" w:rsidP="00480029">
      <w:pPr>
        <w:pStyle w:val="Calloutbox"/>
        <w:rPr>
          <w:lang w:eastAsia="en-AU"/>
        </w:rPr>
      </w:pPr>
      <w:r w:rsidRPr="006218A0">
        <w:rPr>
          <w:szCs w:val="20"/>
          <w:shd w:val="clear" w:color="auto" w:fill="E7E6E6"/>
          <w:lang w:eastAsia="en-AU"/>
        </w:rPr>
        <w:t xml:space="preserve">Refer to </w:t>
      </w:r>
      <w:hyperlink r:id="rId44" w:tgtFrame="_blank" w:history="1">
        <w:r w:rsidRPr="006218A0">
          <w:rPr>
            <w:color w:val="0000FF"/>
            <w:szCs w:val="20"/>
            <w:shd w:val="clear" w:color="auto" w:fill="E7E6E6"/>
            <w:lang w:eastAsia="en-AU"/>
          </w:rPr>
          <w:t>Guideline: Offshore petroleum decommissioning</w:t>
        </w:r>
      </w:hyperlink>
      <w:r w:rsidRPr="006218A0">
        <w:rPr>
          <w:szCs w:val="20"/>
          <w:shd w:val="clear" w:color="auto" w:fill="E7E6E6"/>
          <w:lang w:eastAsia="en-AU"/>
        </w:rPr>
        <w:t xml:space="preserve"> on NOPTA’s website.</w:t>
      </w:r>
    </w:p>
    <w:p w14:paraId="54D5CAAD" w14:textId="6C9B45DC" w:rsidR="006218A0" w:rsidRPr="00480029" w:rsidRDefault="006218A0" w:rsidP="00A352DC">
      <w:pPr>
        <w:pStyle w:val="ListParagraph"/>
        <w:numPr>
          <w:ilvl w:val="1"/>
          <w:numId w:val="49"/>
        </w:numPr>
        <w:ind w:left="851" w:hanging="716"/>
      </w:pPr>
      <w:r w:rsidRPr="006218A0">
        <w:t xml:space="preserve">After the expiry of the </w:t>
      </w:r>
      <w:r w:rsidR="00480029">
        <w:t>lease</w:t>
      </w:r>
      <w:r w:rsidRPr="006218A0">
        <w:t>, NOPTA will:</w:t>
      </w:r>
    </w:p>
    <w:p w14:paraId="28CD26D1" w14:textId="55DBE501" w:rsidR="006218A0" w:rsidRPr="006218A0" w:rsidRDefault="006218A0" w:rsidP="00A352DC">
      <w:pPr>
        <w:pStyle w:val="ListParagraph"/>
        <w:numPr>
          <w:ilvl w:val="2"/>
          <w:numId w:val="41"/>
        </w:numPr>
        <w:ind w:hanging="373"/>
      </w:pPr>
      <w:r w:rsidRPr="006218A0">
        <w:t xml:space="preserve">Undertake a compliance check of the title. If any of the matters outlined in </w:t>
      </w:r>
      <w:r w:rsidR="003330B7" w:rsidRPr="00063FA7">
        <w:t>section</w:t>
      </w:r>
      <w:r w:rsidRPr="007C025E">
        <w:rPr>
          <w:rFonts w:ascii="Arial" w:hAnsi="Arial" w:cs="Arial"/>
        </w:rPr>
        <w:t> </w:t>
      </w:r>
      <w:r w:rsidR="00063FA7" w:rsidRPr="00063FA7">
        <w:fldChar w:fldCharType="begin"/>
      </w:r>
      <w:r w:rsidR="00063FA7" w:rsidRPr="007C025E">
        <w:instrText xml:space="preserve"> REF _Ref183679948 \r \h </w:instrText>
      </w:r>
      <w:r w:rsidR="00063FA7">
        <w:instrText xml:space="preserve"> \* MERGEFORMAT </w:instrText>
      </w:r>
      <w:r w:rsidR="00063FA7" w:rsidRPr="00063FA7">
        <w:fldChar w:fldCharType="separate"/>
      </w:r>
      <w:r w:rsidR="009A338D">
        <w:t>5.50</w:t>
      </w:r>
      <w:r w:rsidR="00063FA7" w:rsidRPr="00063FA7">
        <w:fldChar w:fldCharType="end"/>
      </w:r>
      <w:r w:rsidR="00063FA7" w:rsidRPr="00063FA7">
        <w:t xml:space="preserve"> </w:t>
      </w:r>
      <w:r w:rsidRPr="00063FA7">
        <w:t>above</w:t>
      </w:r>
      <w:r w:rsidRPr="006218A0">
        <w:t xml:space="preserve"> are outstanding</w:t>
      </w:r>
      <w:r w:rsidR="00523B05">
        <w:t>,</w:t>
      </w:r>
      <w:r w:rsidRPr="006218A0">
        <w:t xml:space="preserve"> NOPTA will contact the titleholder.</w:t>
      </w:r>
    </w:p>
    <w:p w14:paraId="6156DCD7" w14:textId="20812445" w:rsidR="006218A0" w:rsidRPr="006218A0" w:rsidRDefault="006218A0" w:rsidP="00A352DC">
      <w:pPr>
        <w:pStyle w:val="ListParagraph"/>
        <w:numPr>
          <w:ilvl w:val="2"/>
          <w:numId w:val="41"/>
        </w:numPr>
        <w:ind w:hanging="373"/>
      </w:pPr>
      <w:r w:rsidRPr="006218A0">
        <w:t xml:space="preserve">Issue a formal notice of the expiry in the </w:t>
      </w:r>
      <w:hyperlink r:id="rId45" w:tgtFrame="_blank" w:history="1">
        <w:r w:rsidRPr="006218A0">
          <w:t>Australian Government Gazette</w:t>
        </w:r>
      </w:hyperlink>
      <w:r w:rsidRPr="006218A0">
        <w:t>—section 708 of the OPGGS Act.</w:t>
      </w:r>
    </w:p>
    <w:p w14:paraId="5C6317CB" w14:textId="67FFFD32" w:rsidR="006218A0" w:rsidRPr="006218A0" w:rsidRDefault="006218A0" w:rsidP="00A352DC">
      <w:pPr>
        <w:pStyle w:val="ListParagraph"/>
        <w:numPr>
          <w:ilvl w:val="2"/>
          <w:numId w:val="41"/>
        </w:numPr>
        <w:ind w:hanging="373"/>
      </w:pPr>
      <w:r w:rsidRPr="006218A0">
        <w:t>Make an entry on the Register of Titles regarding the expiry of the title—section 471 of the OPGGS Act.</w:t>
      </w:r>
    </w:p>
    <w:p w14:paraId="2754C376" w14:textId="52AFB2F8" w:rsidR="00DE17CA" w:rsidRDefault="006218A0" w:rsidP="00A352DC">
      <w:pPr>
        <w:pStyle w:val="ListParagraph"/>
        <w:numPr>
          <w:ilvl w:val="2"/>
          <w:numId w:val="41"/>
        </w:numPr>
        <w:ind w:hanging="373"/>
      </w:pPr>
      <w:r w:rsidRPr="006218A0">
        <w:t>Advise the titleholders in writing that the title has expired.</w:t>
      </w:r>
    </w:p>
    <w:p w14:paraId="3ABA8A8B" w14:textId="42299C7F" w:rsidR="00903913" w:rsidRDefault="00903913" w:rsidP="00A352DC">
      <w:pPr>
        <w:pStyle w:val="Heading2"/>
        <w:numPr>
          <w:ilvl w:val="0"/>
          <w:numId w:val="46"/>
        </w:numPr>
      </w:pPr>
      <w:bookmarkStart w:id="146" w:name="_Toc215524972"/>
      <w:r>
        <w:lastRenderedPageBreak/>
        <w:t>Table of revisions</w:t>
      </w:r>
      <w:bookmarkEnd w:id="109"/>
      <w:bookmarkEnd w:id="110"/>
      <w:bookmarkEnd w:id="146"/>
    </w:p>
    <w:tbl>
      <w:tblPr>
        <w:tblStyle w:val="Verticaltable"/>
        <w:tblW w:w="9209" w:type="dxa"/>
        <w:tblLook w:val="04A0" w:firstRow="1" w:lastRow="0" w:firstColumn="1" w:lastColumn="0" w:noHBand="0" w:noVBand="1"/>
      </w:tblPr>
      <w:tblGrid>
        <w:gridCol w:w="1721"/>
        <w:gridCol w:w="1038"/>
        <w:gridCol w:w="6450"/>
      </w:tblGrid>
      <w:tr w:rsidR="0052026C" w14:paraId="765600C5" w14:textId="5D88DF2F" w:rsidTr="0010469E">
        <w:tc>
          <w:tcPr>
            <w:cnfStyle w:val="001000000000" w:firstRow="0" w:lastRow="0" w:firstColumn="1" w:lastColumn="0" w:oddVBand="0" w:evenVBand="0" w:oddHBand="0" w:evenHBand="0" w:firstRowFirstColumn="0" w:firstRowLastColumn="0" w:lastRowFirstColumn="0" w:lastRowLastColumn="0"/>
            <w:tcW w:w="1721" w:type="dxa"/>
          </w:tcPr>
          <w:p w14:paraId="06BA8D8F" w14:textId="47B30E40" w:rsidR="0052026C" w:rsidRPr="0052026C" w:rsidRDefault="0052026C" w:rsidP="004168D9">
            <w:r w:rsidRPr="0052026C">
              <w:t>Date of commencement</w:t>
            </w:r>
          </w:p>
        </w:tc>
        <w:tc>
          <w:tcPr>
            <w:tcW w:w="1038" w:type="dxa"/>
            <w:shd w:val="clear" w:color="auto" w:fill="15659B" w:themeFill="accent4"/>
          </w:tcPr>
          <w:p w14:paraId="3DD5631E" w14:textId="5590C6AB" w:rsidR="0052026C" w:rsidRPr="0052026C" w:rsidRDefault="0052026C" w:rsidP="004168D9">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52026C">
              <w:rPr>
                <w:b/>
                <w:color w:val="FFFFFF" w:themeColor="background1"/>
              </w:rPr>
              <w:t>Version no.</w:t>
            </w:r>
          </w:p>
        </w:tc>
        <w:tc>
          <w:tcPr>
            <w:tcW w:w="6450" w:type="dxa"/>
            <w:shd w:val="clear" w:color="auto" w:fill="15659B" w:themeFill="accent4"/>
          </w:tcPr>
          <w:p w14:paraId="3E484A45" w14:textId="779FB348" w:rsidR="0052026C" w:rsidRPr="0052026C" w:rsidRDefault="00427C62" w:rsidP="004168D9">
            <w:pP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Purpose/c</w:t>
            </w:r>
            <w:r w:rsidR="0052026C" w:rsidRPr="0052026C">
              <w:rPr>
                <w:b/>
                <w:color w:val="FFFFFF" w:themeColor="background1"/>
              </w:rPr>
              <w:t>hanges made</w:t>
            </w:r>
          </w:p>
        </w:tc>
      </w:tr>
      <w:tr w:rsidR="0052026C" w14:paraId="2B297ECF" w14:textId="146E1E87" w:rsidTr="0010469E">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5C687F40" w14:textId="1E67EE31" w:rsidR="0052026C" w:rsidRPr="0052026C" w:rsidRDefault="003675C2" w:rsidP="0010469E">
            <w:pPr>
              <w:jc w:val="center"/>
              <w:rPr>
                <w:b w:val="0"/>
                <w:bCs/>
                <w:color w:val="auto"/>
              </w:rPr>
            </w:pPr>
            <w:r>
              <w:rPr>
                <w:b w:val="0"/>
                <w:bCs/>
                <w:color w:val="auto"/>
              </w:rPr>
              <w:t>December 2025</w:t>
            </w:r>
          </w:p>
        </w:tc>
        <w:tc>
          <w:tcPr>
            <w:tcW w:w="1038" w:type="dxa"/>
            <w:vAlign w:val="center"/>
          </w:tcPr>
          <w:p w14:paraId="2FE6937E" w14:textId="7E8BB12B" w:rsidR="0052026C" w:rsidRDefault="00006839" w:rsidP="0010469E">
            <w:pPr>
              <w:jc w:val="center"/>
              <w:cnfStyle w:val="000000000000" w:firstRow="0" w:lastRow="0" w:firstColumn="0" w:lastColumn="0" w:oddVBand="0" w:evenVBand="0" w:oddHBand="0" w:evenHBand="0" w:firstRowFirstColumn="0" w:firstRowLastColumn="0" w:lastRowFirstColumn="0" w:lastRowLastColumn="0"/>
            </w:pPr>
            <w:r>
              <w:t>5</w:t>
            </w:r>
          </w:p>
        </w:tc>
        <w:tc>
          <w:tcPr>
            <w:tcW w:w="6450" w:type="dxa"/>
          </w:tcPr>
          <w:p w14:paraId="2E701C2F" w14:textId="2EBA3938" w:rsidR="0052026C" w:rsidRDefault="0010469E"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t>Re-formatted to new departmental template.</w:t>
            </w:r>
          </w:p>
          <w:p w14:paraId="59C0E76A" w14:textId="747F48B3"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t>Re-structured to align with similar format to the exploration guideline</w:t>
            </w:r>
            <w:r w:rsidR="006309EE">
              <w:t xml:space="preserve"> for consistency.</w:t>
            </w:r>
          </w:p>
          <w:p w14:paraId="3BB50910" w14:textId="7B8973F1" w:rsidR="006B0890" w:rsidRDefault="006B0890"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Pr>
                <w:rStyle w:val="normaltextrun"/>
                <w:rFonts w:ascii="Aptos" w:hAnsi="Aptos"/>
                <w:color w:val="000000"/>
                <w:szCs w:val="20"/>
                <w:shd w:val="clear" w:color="auto" w:fill="FFFFFF"/>
              </w:rPr>
              <w:t>Updates to reflect change of policies and alignment with the Future Gas Strategy.</w:t>
            </w:r>
            <w:r>
              <w:rPr>
                <w:rStyle w:val="eop"/>
                <w:rFonts w:ascii="Aptos" w:hAnsi="Aptos"/>
                <w:color w:val="000000"/>
                <w:szCs w:val="20"/>
                <w:shd w:val="clear" w:color="auto" w:fill="FFFFFF"/>
              </w:rPr>
              <w:t> </w:t>
            </w:r>
          </w:p>
        </w:tc>
      </w:tr>
      <w:tr w:rsidR="00D844CD" w14:paraId="583E0804" w14:textId="77777777">
        <w:tc>
          <w:tcPr>
            <w:cnfStyle w:val="001000000000" w:firstRow="0" w:lastRow="0" w:firstColumn="1" w:lastColumn="0" w:oddVBand="0" w:evenVBand="0" w:oddHBand="0" w:evenHBand="0" w:firstRowFirstColumn="0" w:firstRowLastColumn="0" w:lastRowFirstColumn="0" w:lastRowLastColumn="0"/>
            <w:tcW w:w="1721" w:type="dxa"/>
            <w:shd w:val="clear" w:color="auto" w:fill="auto"/>
          </w:tcPr>
          <w:p w14:paraId="31977124" w14:textId="572E397B" w:rsidR="00D844CD" w:rsidRPr="00D844CD" w:rsidRDefault="00D844CD" w:rsidP="00D844CD">
            <w:pPr>
              <w:jc w:val="center"/>
              <w:rPr>
                <w:b w:val="0"/>
                <w:bCs/>
                <w:color w:val="auto"/>
              </w:rPr>
            </w:pPr>
            <w:r w:rsidRPr="00D844CD">
              <w:rPr>
                <w:b w:val="0"/>
                <w:bCs/>
                <w:color w:val="auto"/>
              </w:rPr>
              <w:t>July 2022</w:t>
            </w:r>
          </w:p>
        </w:tc>
        <w:tc>
          <w:tcPr>
            <w:tcW w:w="1038" w:type="dxa"/>
          </w:tcPr>
          <w:p w14:paraId="19DC3C69" w14:textId="341514C9" w:rsidR="00D844CD" w:rsidRDefault="00D844CD" w:rsidP="00D844CD">
            <w:pPr>
              <w:jc w:val="center"/>
              <w:cnfStyle w:val="000000000000" w:firstRow="0" w:lastRow="0" w:firstColumn="0" w:lastColumn="0" w:oddVBand="0" w:evenVBand="0" w:oddHBand="0" w:evenHBand="0" w:firstRowFirstColumn="0" w:firstRowLastColumn="0" w:lastRowFirstColumn="0" w:lastRowLastColumn="0"/>
            </w:pPr>
            <w:r>
              <w:rPr>
                <w:rFonts w:cstheme="minorHAnsi"/>
                <w:szCs w:val="20"/>
              </w:rPr>
              <w:t>4</w:t>
            </w:r>
          </w:p>
        </w:tc>
        <w:tc>
          <w:tcPr>
            <w:tcW w:w="6450" w:type="dxa"/>
          </w:tcPr>
          <w:p w14:paraId="310642D1" w14:textId="1E08965D"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Pr>
                <w:rFonts w:cstheme="minorHAnsi"/>
              </w:rPr>
              <w:t>Update to new department name.</w:t>
            </w:r>
          </w:p>
        </w:tc>
      </w:tr>
      <w:tr w:rsidR="00D844CD" w14:paraId="254BE055" w14:textId="77777777">
        <w:tc>
          <w:tcPr>
            <w:cnfStyle w:val="001000000000" w:firstRow="0" w:lastRow="0" w:firstColumn="1" w:lastColumn="0" w:oddVBand="0" w:evenVBand="0" w:oddHBand="0" w:evenHBand="0" w:firstRowFirstColumn="0" w:firstRowLastColumn="0" w:lastRowFirstColumn="0" w:lastRowLastColumn="0"/>
            <w:tcW w:w="1721" w:type="dxa"/>
            <w:shd w:val="clear" w:color="auto" w:fill="auto"/>
          </w:tcPr>
          <w:p w14:paraId="5C32105E" w14:textId="10EDE2AE" w:rsidR="00D844CD" w:rsidRPr="00EC5280" w:rsidRDefault="00D844CD" w:rsidP="00D844CD">
            <w:pPr>
              <w:jc w:val="center"/>
              <w:rPr>
                <w:b w:val="0"/>
                <w:bCs/>
                <w:color w:val="auto"/>
              </w:rPr>
            </w:pPr>
            <w:r w:rsidRPr="00D844CD">
              <w:rPr>
                <w:b w:val="0"/>
                <w:bCs/>
                <w:color w:val="auto"/>
              </w:rPr>
              <w:t>February 2022</w:t>
            </w:r>
          </w:p>
        </w:tc>
        <w:tc>
          <w:tcPr>
            <w:tcW w:w="1038" w:type="dxa"/>
          </w:tcPr>
          <w:p w14:paraId="07AABCB2" w14:textId="42EB29FB" w:rsidR="00D844CD" w:rsidRDefault="00D844CD" w:rsidP="00D844CD">
            <w:pPr>
              <w:jc w:val="center"/>
              <w:cnfStyle w:val="000000000000" w:firstRow="0" w:lastRow="0" w:firstColumn="0" w:lastColumn="0" w:oddVBand="0" w:evenVBand="0" w:oddHBand="0" w:evenHBand="0" w:firstRowFirstColumn="0" w:firstRowLastColumn="0" w:lastRowFirstColumn="0" w:lastRowLastColumn="0"/>
            </w:pPr>
            <w:r w:rsidRPr="00BE27D4">
              <w:rPr>
                <w:rFonts w:cstheme="minorHAnsi"/>
                <w:szCs w:val="20"/>
              </w:rPr>
              <w:t>3</w:t>
            </w:r>
          </w:p>
        </w:tc>
        <w:tc>
          <w:tcPr>
            <w:tcW w:w="6450" w:type="dxa"/>
          </w:tcPr>
          <w:p w14:paraId="5EE3C85F" w14:textId="77777777" w:rsidR="00D844CD" w:rsidRP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sidRPr="00BE27D4">
              <w:rPr>
                <w:rFonts w:cstheme="minorHAnsi"/>
              </w:rPr>
              <w:t xml:space="preserve">Update to reflect amendments from the </w:t>
            </w:r>
            <w:r w:rsidRPr="00BE27D4">
              <w:rPr>
                <w:rFonts w:cstheme="minorHAnsi"/>
                <w:i/>
              </w:rPr>
              <w:t>Offshore Petroleum and Greenhouse Gas Storage Amendment (Titles Administration and Other Measures) Act 2021</w:t>
            </w:r>
            <w:r>
              <w:rPr>
                <w:rFonts w:cstheme="minorHAnsi"/>
              </w:rPr>
              <w:t>.</w:t>
            </w:r>
          </w:p>
          <w:p w14:paraId="3C15A446" w14:textId="28F1CA1F"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Pr>
                <w:rFonts w:cstheme="minorHAnsi"/>
              </w:rPr>
              <w:t>Guideline will come into effect on 2 March 2022.</w:t>
            </w:r>
          </w:p>
        </w:tc>
      </w:tr>
      <w:tr w:rsidR="00D844CD" w14:paraId="1CFA0D22" w14:textId="66E03D4B" w:rsidTr="0010469E">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71F2966D" w14:textId="362A1D16" w:rsidR="00D844CD" w:rsidRPr="0052026C" w:rsidRDefault="00D844CD" w:rsidP="00D844CD">
            <w:pPr>
              <w:jc w:val="center"/>
              <w:rPr>
                <w:b w:val="0"/>
                <w:bCs/>
                <w:color w:val="auto"/>
              </w:rPr>
            </w:pPr>
            <w:r>
              <w:rPr>
                <w:b w:val="0"/>
                <w:bCs/>
                <w:color w:val="auto"/>
              </w:rPr>
              <w:t>May 2019</w:t>
            </w:r>
          </w:p>
        </w:tc>
        <w:tc>
          <w:tcPr>
            <w:tcW w:w="1038" w:type="dxa"/>
            <w:vAlign w:val="center"/>
          </w:tcPr>
          <w:p w14:paraId="0281BB87" w14:textId="15A062F6" w:rsidR="00D844CD" w:rsidRDefault="00D844CD" w:rsidP="00D844CD">
            <w:pPr>
              <w:jc w:val="center"/>
              <w:cnfStyle w:val="000000000000" w:firstRow="0" w:lastRow="0" w:firstColumn="0" w:lastColumn="0" w:oddVBand="0" w:evenVBand="0" w:oddHBand="0" w:evenHBand="0" w:firstRowFirstColumn="0" w:firstRowLastColumn="0" w:lastRowFirstColumn="0" w:lastRowLastColumn="0"/>
            </w:pPr>
            <w:r>
              <w:t>2</w:t>
            </w:r>
          </w:p>
        </w:tc>
        <w:tc>
          <w:tcPr>
            <w:tcW w:w="6450" w:type="dxa"/>
          </w:tcPr>
          <w:p w14:paraId="4603DB1F" w14:textId="59B833C7"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sidRPr="0011311A">
              <w:rPr>
                <w:rFonts w:cstheme="minorHAnsi"/>
                <w:szCs w:val="20"/>
              </w:rPr>
              <w:t>Clarification on application process.</w:t>
            </w:r>
          </w:p>
        </w:tc>
      </w:tr>
      <w:tr w:rsidR="00D844CD" w14:paraId="42BF8660" w14:textId="60BDDFF0" w:rsidTr="0010469E">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3FD685CD" w14:textId="5D93A33C" w:rsidR="00D844CD" w:rsidRPr="0052026C" w:rsidRDefault="00D844CD" w:rsidP="00D844CD">
            <w:pPr>
              <w:jc w:val="center"/>
              <w:rPr>
                <w:b w:val="0"/>
                <w:bCs/>
                <w:color w:val="auto"/>
              </w:rPr>
            </w:pPr>
            <w:r>
              <w:rPr>
                <w:b w:val="0"/>
                <w:bCs/>
                <w:color w:val="auto"/>
              </w:rPr>
              <w:t>October 2016</w:t>
            </w:r>
          </w:p>
        </w:tc>
        <w:tc>
          <w:tcPr>
            <w:tcW w:w="1038" w:type="dxa"/>
            <w:vAlign w:val="center"/>
          </w:tcPr>
          <w:p w14:paraId="23D7E902" w14:textId="4911A8EA" w:rsidR="00D844CD" w:rsidRDefault="00D844CD" w:rsidP="00D844CD">
            <w:pPr>
              <w:jc w:val="center"/>
              <w:cnfStyle w:val="000000000000" w:firstRow="0" w:lastRow="0" w:firstColumn="0" w:lastColumn="0" w:oddVBand="0" w:evenVBand="0" w:oddHBand="0" w:evenHBand="0" w:firstRowFirstColumn="0" w:firstRowLastColumn="0" w:lastRowFirstColumn="0" w:lastRowLastColumn="0"/>
            </w:pPr>
            <w:r>
              <w:t>1</w:t>
            </w:r>
          </w:p>
        </w:tc>
        <w:tc>
          <w:tcPr>
            <w:tcW w:w="6450" w:type="dxa"/>
          </w:tcPr>
          <w:p w14:paraId="2D12BBE8" w14:textId="42A052F3"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sidRPr="0011311A">
              <w:rPr>
                <w:rFonts w:cstheme="minorHAnsi"/>
                <w:szCs w:val="20"/>
              </w:rPr>
              <w:t>Rewrite to streamline the information and guidance provided and clarify the application and reporting process.</w:t>
            </w:r>
          </w:p>
        </w:tc>
      </w:tr>
      <w:tr w:rsidR="00D844CD" w14:paraId="775246CB" w14:textId="3E3AE544" w:rsidTr="0010469E">
        <w:tc>
          <w:tcPr>
            <w:cnfStyle w:val="001000000000" w:firstRow="0" w:lastRow="0" w:firstColumn="1" w:lastColumn="0" w:oddVBand="0" w:evenVBand="0" w:oddHBand="0" w:evenHBand="0" w:firstRowFirstColumn="0" w:firstRowLastColumn="0" w:lastRowFirstColumn="0" w:lastRowLastColumn="0"/>
            <w:tcW w:w="1721" w:type="dxa"/>
            <w:shd w:val="clear" w:color="auto" w:fill="auto"/>
            <w:vAlign w:val="center"/>
          </w:tcPr>
          <w:p w14:paraId="4892FB93" w14:textId="3CA4C969" w:rsidR="00D844CD" w:rsidRPr="0052026C" w:rsidRDefault="00D844CD" w:rsidP="00D844CD">
            <w:pPr>
              <w:jc w:val="center"/>
              <w:rPr>
                <w:b w:val="0"/>
                <w:bCs/>
                <w:color w:val="auto"/>
              </w:rPr>
            </w:pPr>
            <w:r>
              <w:rPr>
                <w:b w:val="0"/>
                <w:bCs/>
                <w:color w:val="auto"/>
              </w:rPr>
              <w:t>May 2012</w:t>
            </w:r>
          </w:p>
        </w:tc>
        <w:tc>
          <w:tcPr>
            <w:tcW w:w="1038" w:type="dxa"/>
            <w:vAlign w:val="center"/>
          </w:tcPr>
          <w:p w14:paraId="49CA030E" w14:textId="21C51F93" w:rsidR="00D844CD" w:rsidRDefault="00D844CD" w:rsidP="00D844CD">
            <w:pPr>
              <w:jc w:val="center"/>
              <w:cnfStyle w:val="000000000000" w:firstRow="0" w:lastRow="0" w:firstColumn="0" w:lastColumn="0" w:oddVBand="0" w:evenVBand="0" w:oddHBand="0" w:evenHBand="0" w:firstRowFirstColumn="0" w:firstRowLastColumn="0" w:lastRowFirstColumn="0" w:lastRowLastColumn="0"/>
            </w:pPr>
            <w:r>
              <w:t>Interim</w:t>
            </w:r>
          </w:p>
        </w:tc>
        <w:tc>
          <w:tcPr>
            <w:tcW w:w="6450" w:type="dxa"/>
          </w:tcPr>
          <w:p w14:paraId="65E402F4" w14:textId="5C4ACC3E" w:rsidR="00D844CD" w:rsidRDefault="00D844CD" w:rsidP="00D71C47">
            <w:pPr>
              <w:pStyle w:val="ListParagraph"/>
              <w:numPr>
                <w:ilvl w:val="0"/>
                <w:numId w:val="13"/>
              </w:numPr>
              <w:ind w:left="392"/>
              <w:cnfStyle w:val="000000000000" w:firstRow="0" w:lastRow="0" w:firstColumn="0" w:lastColumn="0" w:oddVBand="0" w:evenVBand="0" w:oddHBand="0" w:evenHBand="0" w:firstRowFirstColumn="0" w:firstRowLastColumn="0" w:lastRowFirstColumn="0" w:lastRowLastColumn="0"/>
            </w:pPr>
            <w:r w:rsidRPr="0011311A">
              <w:rPr>
                <w:rFonts w:cstheme="minorHAnsi"/>
                <w:szCs w:val="20"/>
              </w:rPr>
              <w:t>Updated to reflect changes to OPGGS Act—transfer to NOPTA.</w:t>
            </w:r>
          </w:p>
        </w:tc>
      </w:tr>
      <w:bookmarkEnd w:id="32"/>
    </w:tbl>
    <w:p w14:paraId="19A214D3" w14:textId="61C370DD" w:rsidR="00AF1F83" w:rsidRDefault="00AF1F83" w:rsidP="0010469E"/>
    <w:p w14:paraId="182F5759" w14:textId="27E6DAC4" w:rsidR="00AF1F83" w:rsidRDefault="00AF1F83" w:rsidP="00A352DC">
      <w:pPr>
        <w:pStyle w:val="Heading2"/>
        <w:numPr>
          <w:ilvl w:val="0"/>
          <w:numId w:val="46"/>
        </w:numPr>
      </w:pPr>
      <w:bookmarkStart w:id="147" w:name="_Toc215524973"/>
      <w:r>
        <w:lastRenderedPageBreak/>
        <w:t>Attachments</w:t>
      </w:r>
      <w:bookmarkEnd w:id="147"/>
    </w:p>
    <w:p w14:paraId="474DE11F" w14:textId="0BEF5097" w:rsidR="00AF1F83" w:rsidRDefault="00AF1F83" w:rsidP="00AF1F83">
      <w:pPr>
        <w:pStyle w:val="Heading3"/>
        <w:rPr>
          <w:rStyle w:val="Heading3Char"/>
        </w:rPr>
      </w:pPr>
      <w:bookmarkStart w:id="148" w:name="_Attachment_1:_application"/>
      <w:bookmarkStart w:id="149" w:name="_Ref183676801"/>
      <w:bookmarkStart w:id="150" w:name="_Toc215524974"/>
      <w:bookmarkEnd w:id="148"/>
      <w:r w:rsidRPr="00AF1F83">
        <w:t>Attachment 1: a</w:t>
      </w:r>
      <w:r w:rsidRPr="00AF1F83">
        <w:rPr>
          <w:rStyle w:val="Heading3Char"/>
        </w:rPr>
        <w:t>pplication and assessment process</w:t>
      </w:r>
      <w:bookmarkEnd w:id="149"/>
      <w:bookmarkEnd w:id="150"/>
    </w:p>
    <w:p w14:paraId="74092F47" w14:textId="0822A9E6" w:rsidR="009B4461" w:rsidRDefault="009B4461" w:rsidP="009B4461">
      <w:r>
        <w:rPr>
          <w:rStyle w:val="wacimagecontainer"/>
          <w:rFonts w:ascii="Segoe UI" w:hAnsi="Segoe UI" w:cs="Segoe UI"/>
          <w:noProof/>
          <w:color w:val="000000"/>
          <w:sz w:val="18"/>
          <w:szCs w:val="18"/>
          <w:shd w:val="clear" w:color="auto" w:fill="FFFFFF"/>
        </w:rPr>
        <w:drawing>
          <wp:inline distT="0" distB="0" distL="0" distR="0" wp14:anchorId="5391EBD0" wp14:editId="193CACD8">
            <wp:extent cx="4175185" cy="7431516"/>
            <wp:effectExtent l="0" t="0" r="0" b="0"/>
            <wp:docPr id="314449451"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diagram of a flowchart&#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82411" cy="7444377"/>
                    </a:xfrm>
                    <a:prstGeom prst="rect">
                      <a:avLst/>
                    </a:prstGeom>
                    <a:noFill/>
                    <a:ln>
                      <a:noFill/>
                    </a:ln>
                  </pic:spPr>
                </pic:pic>
              </a:graphicData>
            </a:graphic>
          </wp:inline>
        </w:drawing>
      </w:r>
    </w:p>
    <w:p w14:paraId="02E77ED4" w14:textId="77777777" w:rsidR="00AF1F83" w:rsidRDefault="00AF1F83" w:rsidP="0010469E"/>
    <w:sectPr w:rsidR="00AF1F83" w:rsidSect="0045037B">
      <w:headerReference w:type="even" r:id="rId47"/>
      <w:headerReference w:type="default" r:id="rId48"/>
      <w:footerReference w:type="default" r:id="rId49"/>
      <w:headerReference w:type="first" r:id="rId50"/>
      <w:pgSz w:w="11906" w:h="16838"/>
      <w:pgMar w:top="1276"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49C1" w14:textId="77777777" w:rsidR="0059347D" w:rsidRDefault="0059347D" w:rsidP="00B251DB">
      <w:pPr>
        <w:spacing w:after="0"/>
      </w:pPr>
      <w:r>
        <w:separator/>
      </w:r>
    </w:p>
  </w:endnote>
  <w:endnote w:type="continuationSeparator" w:id="0">
    <w:p w14:paraId="05EBFDCE" w14:textId="77777777" w:rsidR="0059347D" w:rsidRDefault="0059347D" w:rsidP="00B251DB">
      <w:pPr>
        <w:spacing w:after="0"/>
      </w:pPr>
      <w:r>
        <w:continuationSeparator/>
      </w:r>
    </w:p>
  </w:endnote>
  <w:endnote w:type="continuationNotice" w:id="1">
    <w:p w14:paraId="11D71E54" w14:textId="77777777" w:rsidR="0059347D" w:rsidRDefault="005934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407" w14:textId="11F6461A" w:rsidR="0035140F" w:rsidRDefault="00F32608" w:rsidP="0035140F">
    <w:pPr>
      <w:pStyle w:val="Footer"/>
    </w:pPr>
    <w:r>
      <w:rPr>
        <w:color w:val="001B35" w:themeColor="accent1"/>
      </w:rPr>
      <w:t>Offshore petroleum retention lease</w:t>
    </w:r>
    <w:r w:rsidR="00BD0F8A">
      <w:tab/>
    </w:r>
  </w:p>
  <w:p w14:paraId="694BFAB7" w14:textId="3B3111DB" w:rsidR="00D27B99" w:rsidRDefault="0035140F" w:rsidP="003B4DF4">
    <w:pPr>
      <w:pStyle w:val="Footer"/>
      <w:rPr>
        <w:noProof/>
      </w:rPr>
    </w:pPr>
    <w:r w:rsidRPr="00C65E4E">
      <w:rPr>
        <w:b/>
        <w:bCs/>
        <w:color w:val="15659B" w:themeColor="accent4"/>
      </w:rPr>
      <w:t>|</w:t>
    </w:r>
    <w:r w:rsidRPr="0035140F">
      <w:rPr>
        <w:b/>
        <w:bCs/>
        <w:color w:val="001B35" w:themeColor="accent1"/>
      </w:rPr>
      <w:t xml:space="preserve"> </w:t>
    </w:r>
    <w:r w:rsidR="00981F67">
      <w:rPr>
        <w:b/>
        <w:bCs/>
        <w:color w:val="001B35" w:themeColor="accent1"/>
      </w:rPr>
      <w:t>www.</w:t>
    </w:r>
    <w:r w:rsidR="00DC4374">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B60E" w14:textId="0BF2277F" w:rsidR="00DD41C7" w:rsidRPr="00903913" w:rsidRDefault="00F32608" w:rsidP="00D9040B">
    <w:pPr>
      <w:pStyle w:val="Footer"/>
      <w:rPr>
        <w:noProof/>
      </w:rPr>
    </w:pPr>
    <w:r>
      <w:rPr>
        <w:color w:val="001B35" w:themeColor="accent1"/>
      </w:rPr>
      <w:t>Offshore petroleum retention lease</w:t>
    </w:r>
    <w:r w:rsidR="00DD41C7">
      <w:tab/>
    </w:r>
    <w:r w:rsidR="009328F2">
      <w:br/>
    </w:r>
    <w:r w:rsidR="00DB0AEA" w:rsidRPr="00C65E4E">
      <w:rPr>
        <w:b/>
        <w:bCs/>
        <w:color w:val="15659B" w:themeColor="accent4"/>
      </w:rPr>
      <w:t>|</w:t>
    </w:r>
    <w:r w:rsidR="00DB0AEA" w:rsidRPr="0035140F">
      <w:rPr>
        <w:b/>
        <w:bCs/>
        <w:color w:val="001B35" w:themeColor="accent1"/>
      </w:rPr>
      <w:t xml:space="preserve"> </w:t>
    </w:r>
    <w:r w:rsidR="00981F67">
      <w:rPr>
        <w:b/>
        <w:bCs/>
        <w:color w:val="001B35" w:themeColor="accent1"/>
      </w:rPr>
      <w:t>www.</w:t>
    </w:r>
    <w:r w:rsidR="00DB0AEA">
      <w:rPr>
        <w:b/>
        <w:bCs/>
        <w:color w:val="001B35" w:themeColor="accent1"/>
      </w:rPr>
      <w:t>nopta</w:t>
    </w:r>
    <w:r w:rsidR="00DB0AEA" w:rsidRPr="0035140F">
      <w:rPr>
        <w:b/>
        <w:bCs/>
        <w:color w:val="001B35" w:themeColor="accent1"/>
      </w:rPr>
      <w:t>.</w:t>
    </w:r>
    <w:r w:rsidR="00DB0AEA" w:rsidRPr="0035140F">
      <w:rPr>
        <w:color w:val="001B35" w:themeColor="accent1"/>
      </w:rPr>
      <w:t>gov.au</w:t>
    </w:r>
    <w:r w:rsidR="00DD41C7">
      <w:tab/>
    </w:r>
    <w:sdt>
      <w:sdtPr>
        <w:id w:val="1563908538"/>
        <w:docPartObj>
          <w:docPartGallery w:val="Page Numbers (Bottom of Page)"/>
          <w:docPartUnique/>
        </w:docPartObj>
      </w:sdtPr>
      <w:sdtEndPr>
        <w:rPr>
          <w:noProof/>
        </w:rPr>
      </w:sdtEndPr>
      <w:sdtContent>
        <w:r w:rsidR="00DD41C7">
          <w:fldChar w:fldCharType="begin"/>
        </w:r>
        <w:r w:rsidR="00DD41C7">
          <w:instrText xml:space="preserve"> PAGE   \* MERGEFORMAT </w:instrText>
        </w:r>
        <w:r w:rsidR="00DD41C7">
          <w:fldChar w:fldCharType="separate"/>
        </w:r>
        <w:r w:rsidR="00DD41C7">
          <w:rPr>
            <w:noProof/>
          </w:rPr>
          <w:t>7</w:t>
        </w:r>
        <w:r w:rsidR="00DD41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9EC4" w14:textId="77777777" w:rsidR="0059347D" w:rsidRDefault="0059347D" w:rsidP="00B251DB">
      <w:pPr>
        <w:spacing w:after="0"/>
      </w:pPr>
      <w:r>
        <w:separator/>
      </w:r>
    </w:p>
  </w:footnote>
  <w:footnote w:type="continuationSeparator" w:id="0">
    <w:p w14:paraId="215CE3A6" w14:textId="77777777" w:rsidR="0059347D" w:rsidRDefault="0059347D" w:rsidP="00B251DB">
      <w:pPr>
        <w:spacing w:after="0"/>
      </w:pPr>
      <w:r>
        <w:continuationSeparator/>
      </w:r>
    </w:p>
  </w:footnote>
  <w:footnote w:type="continuationNotice" w:id="1">
    <w:p w14:paraId="3324BE69" w14:textId="77777777" w:rsidR="0059347D" w:rsidRDefault="0059347D">
      <w:pPr>
        <w:spacing w:before="0" w:after="0"/>
      </w:pPr>
    </w:p>
  </w:footnote>
  <w:footnote w:id="2">
    <w:p w14:paraId="3E7D6C06" w14:textId="318396D4" w:rsidR="00AD224B" w:rsidRPr="00200146" w:rsidRDefault="00AD224B" w:rsidP="00AD224B">
      <w:pPr>
        <w:pStyle w:val="FootnoteText"/>
        <w:rPr>
          <w:i/>
          <w:iCs/>
          <w:sz w:val="16"/>
          <w:szCs w:val="16"/>
        </w:rPr>
      </w:pPr>
      <w:r>
        <w:rPr>
          <w:rStyle w:val="FootnoteReference"/>
          <w:sz w:val="16"/>
          <w:szCs w:val="16"/>
        </w:rPr>
        <w:footnoteRef/>
      </w:r>
      <w:r>
        <w:rPr>
          <w:sz w:val="16"/>
          <w:szCs w:val="16"/>
        </w:rPr>
        <w:t xml:space="preserve"> SPE-PRMS 2018</w:t>
      </w:r>
      <w:r>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159C" w14:textId="440DF456" w:rsidR="009830D1" w:rsidRDefault="009830D1">
    <w:pPr>
      <w:pStyle w:val="Header"/>
    </w:pPr>
    <w:r w:rsidRPr="009830D1">
      <w:rPr>
        <w:noProof/>
      </w:rPr>
      <w:drawing>
        <wp:anchor distT="0" distB="0" distL="114300" distR="114300" simplePos="0" relativeHeight="251658241" behindDoc="1" locked="0" layoutInCell="1" allowOverlap="1" wp14:anchorId="4FC074D3" wp14:editId="254E96A6">
          <wp:simplePos x="0" y="0"/>
          <wp:positionH relativeFrom="page">
            <wp:posOffset>3667126</wp:posOffset>
          </wp:positionH>
          <wp:positionV relativeFrom="paragraph">
            <wp:posOffset>-540385</wp:posOffset>
          </wp:positionV>
          <wp:extent cx="3892948" cy="1842445"/>
          <wp:effectExtent l="0" t="0" r="0" b="5715"/>
          <wp:wrapNone/>
          <wp:docPr id="11" name="Graphic 11">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922722" cy="1856536"/>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52F62988" wp14:editId="48A42E55">
              <wp:simplePos x="0" y="0"/>
              <wp:positionH relativeFrom="column">
                <wp:posOffset>-904875</wp:posOffset>
              </wp:positionH>
              <wp:positionV relativeFrom="paragraph">
                <wp:posOffset>-530860</wp:posOffset>
              </wp:positionV>
              <wp:extent cx="1962150" cy="283208"/>
              <wp:effectExtent l="0" t="0" r="0" b="3175"/>
              <wp:wrapNone/>
              <wp:docPr id="1"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150" cy="283208"/>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DB401BF" id="Freeform: Shape 1" o:spid="_x0000_s1026" alt="&quot;&quot;" style="position:absolute;margin-left:-71.25pt;margin-top:-41.8pt;width:154.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" path="m,l2332168,r-65527,196581l,336570,,xe" fillcolor="#15659b [3207]" stroked="f" strokeweight="1pt">
              <v:stroke joinstyle="miter"/>
              <v:path arrowok="t" o:connecttype="custom" o:connectlocs="0,0;1962150,0;1907019,165414;0,283208;0,0"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EE8" w14:textId="42343590" w:rsidR="002F06E7" w:rsidRDefault="002F0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B60A" w14:textId="67F7B691" w:rsidR="002F06E7" w:rsidRDefault="002F06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CF83" w14:textId="1D863F39" w:rsidR="002F06E7" w:rsidRDefault="002F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0264C"/>
    <w:multiLevelType w:val="multilevel"/>
    <w:tmpl w:val="3FBC9176"/>
    <w:styleLink w:val="Style14"/>
    <w:lvl w:ilvl="0">
      <w:start w:val="1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37445C"/>
    <w:multiLevelType w:val="multilevel"/>
    <w:tmpl w:val="915AAB10"/>
    <w:name w:val="Rhyan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15:restartNumberingAfterBreak="0">
    <w:nsid w:val="07E637DE"/>
    <w:multiLevelType w:val="multilevel"/>
    <w:tmpl w:val="3FBC9176"/>
    <w:styleLink w:val="Style10"/>
    <w:lvl w:ilvl="0">
      <w:start w:val="10"/>
      <w:numFmt w:val="decimal"/>
      <w:lvlText w:val="%1."/>
      <w:lvlJc w:val="left"/>
      <w:pPr>
        <w:ind w:left="502" w:hanging="360"/>
      </w:pPr>
      <w:rPr>
        <w:rFonts w:hint="default"/>
        <w:sz w:val="20"/>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b w:val="0"/>
        <w:sz w:val="22"/>
        <w:szCs w:val="22"/>
      </w:rPr>
    </w:lvl>
    <w:lvl w:ilvl="3">
      <w:start w:val="1"/>
      <w:numFmt w:val="bullet"/>
      <w:lvlText w:val="o"/>
      <w:lvlJc w:val="left"/>
      <w:pPr>
        <w:ind w:left="1728" w:hanging="648"/>
      </w:pPr>
      <w:rPr>
        <w:rFonts w:ascii="Courier New" w:hAnsi="Courier New" w:cs="Courier New"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4C0586"/>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105E09FD"/>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11261D87"/>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11ED640A"/>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12F9128F"/>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14537AB6"/>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16D64E65"/>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1D77138A"/>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1EC40129"/>
    <w:multiLevelType w:val="multilevel"/>
    <w:tmpl w:val="67B4F2D4"/>
    <w:styleLink w:val="DISR"/>
    <w:lvl w:ilvl="0">
      <w:start w:val="1"/>
      <w:numFmt w:val="decimal"/>
      <w:lvlText w:val="%1.1"/>
      <w:lvlJc w:val="left"/>
      <w:pPr>
        <w:ind w:left="360" w:hanging="360"/>
      </w:pPr>
      <w:rPr>
        <w:rFonts w:hint="default"/>
      </w:rPr>
    </w:lvl>
    <w:lvl w:ilvl="1">
      <w:start w:val="1"/>
      <w:numFmt w:val="none"/>
      <w:lvlText w:val="a) "/>
      <w:lvlJc w:val="left"/>
      <w:pPr>
        <w:ind w:left="792" w:hanging="432"/>
      </w:pPr>
      <w:rPr>
        <w:rFonts w:hint="default"/>
      </w:rPr>
    </w:lvl>
    <w:lvl w:ilvl="2">
      <w:start w:val="1"/>
      <w:numFmt w:val="none"/>
      <w:lvlText w:val="i) "/>
      <w:lvlJc w:val="left"/>
      <w:pPr>
        <w:ind w:left="1224" w:hanging="504"/>
      </w:pPr>
      <w:rPr>
        <w:rFonts w:hint="default"/>
      </w:rPr>
    </w:lvl>
    <w:lvl w:ilvl="3">
      <w:start w:val="1"/>
      <w:numFmt w:val="none"/>
      <w:lvlText w:val=""/>
      <w:lvlJc w:val="left"/>
      <w:pPr>
        <w:ind w:left="1728" w:hanging="648"/>
      </w:pPr>
      <w:rPr>
        <w:rFonts w:hint="default"/>
      </w:rPr>
    </w:lvl>
    <w:lvl w:ilvl="4">
      <w:start w:val="1"/>
      <w:numFmt w:val="bullet"/>
      <w:lvlText w:val=""/>
      <w:lvlJc w:val="left"/>
      <w:pPr>
        <w:ind w:left="2232" w:hanging="792"/>
      </w:pPr>
      <w:rPr>
        <w:rFonts w:ascii="Symbol" w:hAnsi="Symbol" w:hint="default"/>
        <w:color w:val="095258" w:themeColor="text2"/>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249E7159"/>
    <w:multiLevelType w:val="multilevel"/>
    <w:tmpl w:val="D0002AA2"/>
    <w:styleLink w:val="Style3"/>
    <w:lvl w:ilvl="0">
      <w:start w:val="4"/>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182"/>
    <w:multiLevelType w:val="multilevel"/>
    <w:tmpl w:val="D0002AA2"/>
    <w:styleLink w:val="Style4"/>
    <w:lvl w:ilvl="0">
      <w:start w:val="6"/>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B80E27"/>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28E057AB"/>
    <w:multiLevelType w:val="hybridMultilevel"/>
    <w:tmpl w:val="2C3E8A80"/>
    <w:lvl w:ilvl="0" w:tplc="B46E8ACA">
      <w:start w:val="1"/>
      <w:numFmt w:val="bullet"/>
      <w:lvlText w:val="-"/>
      <w:lvlJc w:val="left"/>
      <w:pPr>
        <w:ind w:left="720" w:hanging="360"/>
      </w:pPr>
      <w:rPr>
        <w:rFonts w:ascii="&quot;Calibri&quot;,sans-serif" w:hAnsi="&quot;Calibri&quot;,sans-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74BE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2E581D13"/>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300D30B7"/>
    <w:multiLevelType w:val="hybridMultilevel"/>
    <w:tmpl w:val="C21A12CE"/>
    <w:lvl w:ilvl="0" w:tplc="D0562F1C">
      <w:start w:val="1"/>
      <w:numFmt w:val="lowerRoman"/>
      <w:lvlText w:val="%1)"/>
      <w:lvlJc w:val="left"/>
      <w:pPr>
        <w:ind w:left="1636" w:hanging="360"/>
      </w:pPr>
      <w:rPr>
        <w:rFonts w:asciiTheme="minorHAnsi" w:eastAsiaTheme="minorHAnsi" w:hAnsiTheme="minorHAnsi" w:cstheme="minorBidi"/>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319C6D72"/>
    <w:multiLevelType w:val="hybridMultilevel"/>
    <w:tmpl w:val="E746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3454A"/>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33B61C5B"/>
    <w:multiLevelType w:val="multilevel"/>
    <w:tmpl w:val="0C09001D"/>
    <w:styleLink w:val="Style2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B4572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3B987A30"/>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3FBB1E72"/>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15:restartNumberingAfterBreak="0">
    <w:nsid w:val="412976F2"/>
    <w:multiLevelType w:val="multilevel"/>
    <w:tmpl w:val="637890F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41EB1A91"/>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15:restartNumberingAfterBreak="0">
    <w:nsid w:val="48B4735C"/>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15:restartNumberingAfterBreak="0">
    <w:nsid w:val="4A560F12"/>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1" w15:restartNumberingAfterBreak="0">
    <w:nsid w:val="4B6D5C1A"/>
    <w:multiLevelType w:val="multilevel"/>
    <w:tmpl w:val="3FBC9176"/>
    <w:styleLink w:val="Style7"/>
    <w:lvl w:ilvl="0">
      <w:start w:val="8"/>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E5244D"/>
    <w:multiLevelType w:val="multilevel"/>
    <w:tmpl w:val="B0D0C3F6"/>
    <w:styleLink w:val="Style19"/>
    <w:lvl w:ilvl="0">
      <w:start w:val="12"/>
      <w:numFmt w:val="decimal"/>
      <w:lvlText w:val="%1."/>
      <w:lvlJc w:val="left"/>
      <w:pPr>
        <w:ind w:left="502" w:hanging="360"/>
      </w:pPr>
      <w:rPr>
        <w:rFonts w:hint="default"/>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b w:val="0"/>
        <w:sz w:val="22"/>
        <w:szCs w:val="22"/>
      </w:rPr>
    </w:lvl>
    <w:lvl w:ilvl="3">
      <w:start w:val="1"/>
      <w:numFmt w:val="bullet"/>
      <w:lvlText w:val="o"/>
      <w:lvlJc w:val="left"/>
      <w:pPr>
        <w:tabs>
          <w:tab w:val="num" w:pos="1077"/>
        </w:tabs>
        <w:ind w:left="1758" w:hanging="681"/>
      </w:pPr>
      <w:rPr>
        <w:rFonts w:ascii="Courier New" w:hAnsi="Courier New"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643A8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15:restartNumberingAfterBreak="0">
    <w:nsid w:val="52A6647E"/>
    <w:multiLevelType w:val="multilevel"/>
    <w:tmpl w:val="3FBC9176"/>
    <w:styleLink w:val="Style11"/>
    <w:lvl w:ilvl="0">
      <w:start w:val="9"/>
      <w:numFmt w:val="decimal"/>
      <w:lvlText w:val="%1."/>
      <w:lvlJc w:val="left"/>
      <w:pPr>
        <w:ind w:left="502" w:hanging="360"/>
      </w:pPr>
      <w:rPr>
        <w:rFonts w:hint="default"/>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b w:val="0"/>
        <w:sz w:val="22"/>
        <w:szCs w:val="22"/>
      </w:rPr>
    </w:lvl>
    <w:lvl w:ilvl="3">
      <w:start w:val="1"/>
      <w:numFmt w:val="bullet"/>
      <w:lvlText w:val="o"/>
      <w:lvlJc w:val="left"/>
      <w:pPr>
        <w:ind w:left="1728" w:hanging="648"/>
      </w:pPr>
      <w:rPr>
        <w:rFonts w:ascii="Courier New" w:hAnsi="Courier New" w:cs="Courier New"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AA3EEB"/>
    <w:multiLevelType w:val="multilevel"/>
    <w:tmpl w:val="0014788E"/>
    <w:styleLink w:val="Style6"/>
    <w:lvl w:ilvl="0">
      <w:start w:val="7"/>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738"/>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3634B1"/>
    <w:multiLevelType w:val="multilevel"/>
    <w:tmpl w:val="B1FCA4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right"/>
      <w:pPr>
        <w:ind w:left="1440" w:hanging="360"/>
      </w:p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7" w15:restartNumberingAfterBreak="0">
    <w:nsid w:val="5B4B28CF"/>
    <w:multiLevelType w:val="multilevel"/>
    <w:tmpl w:val="80B88CE0"/>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40" w:hanging="720"/>
      </w:pPr>
      <w:rPr>
        <w:rFonts w:asciiTheme="minorHAnsi" w:eastAsiaTheme="minorHAnsi" w:hAnsiTheme="minorHAnsi" w:cstheme="minorHAns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C019C0"/>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15:restartNumberingAfterBreak="0">
    <w:nsid w:val="65030359"/>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0"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046B75"/>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2" w15:restartNumberingAfterBreak="0">
    <w:nsid w:val="6E2844C4"/>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3" w15:restartNumberingAfterBreak="0">
    <w:nsid w:val="6FCB02DD"/>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4" w15:restartNumberingAfterBreak="0">
    <w:nsid w:val="70302D1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5"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3A270A9"/>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7" w15:restartNumberingAfterBreak="0">
    <w:nsid w:val="758B39C2"/>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8" w15:restartNumberingAfterBreak="0">
    <w:nsid w:val="7856590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9" w15:restartNumberingAfterBreak="0">
    <w:nsid w:val="78745A88"/>
    <w:multiLevelType w:val="multilevel"/>
    <w:tmpl w:val="F77E210C"/>
    <w:styleLink w:val="Style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916075E"/>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1" w15:restartNumberingAfterBreak="0">
    <w:nsid w:val="79DE7BA7"/>
    <w:multiLevelType w:val="multilevel"/>
    <w:tmpl w:val="C024A820"/>
    <w:styleLink w:val="Style2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8C47D5"/>
    <w:multiLevelType w:val="multilevel"/>
    <w:tmpl w:val="915AA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660547498">
    <w:abstractNumId w:val="1"/>
  </w:num>
  <w:num w:numId="2" w16cid:durableId="1405948882">
    <w:abstractNumId w:val="0"/>
  </w:num>
  <w:num w:numId="3" w16cid:durableId="2032222164">
    <w:abstractNumId w:val="45"/>
  </w:num>
  <w:num w:numId="4" w16cid:durableId="2088451516">
    <w:abstractNumId w:val="40"/>
  </w:num>
  <w:num w:numId="5" w16cid:durableId="308752628">
    <w:abstractNumId w:val="37"/>
  </w:num>
  <w:num w:numId="6" w16cid:durableId="911963945">
    <w:abstractNumId w:val="14"/>
  </w:num>
  <w:num w:numId="7" w16cid:durableId="1598169096">
    <w:abstractNumId w:val="15"/>
  </w:num>
  <w:num w:numId="8" w16cid:durableId="469131064">
    <w:abstractNumId w:val="49"/>
  </w:num>
  <w:num w:numId="9" w16cid:durableId="5375662">
    <w:abstractNumId w:val="13"/>
  </w:num>
  <w:num w:numId="10" w16cid:durableId="1497459822">
    <w:abstractNumId w:val="3"/>
  </w:num>
  <w:num w:numId="11" w16cid:durableId="244262623">
    <w:abstractNumId w:val="44"/>
  </w:num>
  <w:num w:numId="12" w16cid:durableId="1470048182">
    <w:abstractNumId w:val="28"/>
  </w:num>
  <w:num w:numId="13" w16cid:durableId="661347768">
    <w:abstractNumId w:val="17"/>
  </w:num>
  <w:num w:numId="14" w16cid:durableId="599795316">
    <w:abstractNumId w:val="9"/>
  </w:num>
  <w:num w:numId="15" w16cid:durableId="267323220">
    <w:abstractNumId w:val="5"/>
  </w:num>
  <w:num w:numId="16" w16cid:durableId="1312127548">
    <w:abstractNumId w:val="42"/>
  </w:num>
  <w:num w:numId="17" w16cid:durableId="464667706">
    <w:abstractNumId w:val="38"/>
  </w:num>
  <w:num w:numId="18" w16cid:durableId="1769495682">
    <w:abstractNumId w:val="7"/>
  </w:num>
  <w:num w:numId="19" w16cid:durableId="1790322745">
    <w:abstractNumId w:val="22"/>
  </w:num>
  <w:num w:numId="20" w16cid:durableId="134295358">
    <w:abstractNumId w:val="52"/>
  </w:num>
  <w:num w:numId="21" w16cid:durableId="1217735950">
    <w:abstractNumId w:val="35"/>
  </w:num>
  <w:num w:numId="22" w16cid:durableId="1053042180">
    <w:abstractNumId w:val="31"/>
  </w:num>
  <w:num w:numId="23" w16cid:durableId="623272769">
    <w:abstractNumId w:val="8"/>
  </w:num>
  <w:num w:numId="24" w16cid:durableId="757210488">
    <w:abstractNumId w:val="16"/>
  </w:num>
  <w:num w:numId="25" w16cid:durableId="1182353469">
    <w:abstractNumId w:val="50"/>
  </w:num>
  <w:num w:numId="26" w16cid:durableId="827746229">
    <w:abstractNumId w:val="2"/>
  </w:num>
  <w:num w:numId="27" w16cid:durableId="955983679">
    <w:abstractNumId w:val="48"/>
  </w:num>
  <w:num w:numId="28" w16cid:durableId="524487336">
    <w:abstractNumId w:val="32"/>
  </w:num>
  <w:num w:numId="29" w16cid:durableId="1204750150">
    <w:abstractNumId w:val="23"/>
  </w:num>
  <w:num w:numId="30" w16cid:durableId="1161654854">
    <w:abstractNumId w:val="41"/>
  </w:num>
  <w:num w:numId="31" w16cid:durableId="310064228">
    <w:abstractNumId w:val="47"/>
  </w:num>
  <w:num w:numId="32" w16cid:durableId="423183263">
    <w:abstractNumId w:val="4"/>
  </w:num>
  <w:num w:numId="33" w16cid:durableId="1422988990">
    <w:abstractNumId w:val="29"/>
  </w:num>
  <w:num w:numId="34" w16cid:durableId="936447612">
    <w:abstractNumId w:val="12"/>
  </w:num>
  <w:num w:numId="35" w16cid:durableId="1706515732">
    <w:abstractNumId w:val="10"/>
  </w:num>
  <w:num w:numId="36" w16cid:durableId="573007920">
    <w:abstractNumId w:val="18"/>
  </w:num>
  <w:num w:numId="37" w16cid:durableId="1345788604">
    <w:abstractNumId w:val="11"/>
  </w:num>
  <w:num w:numId="38" w16cid:durableId="543978833">
    <w:abstractNumId w:val="51"/>
  </w:num>
  <w:num w:numId="39" w16cid:durableId="2019191099">
    <w:abstractNumId w:val="43"/>
  </w:num>
  <w:num w:numId="40" w16cid:durableId="1389959821">
    <w:abstractNumId w:val="25"/>
  </w:num>
  <w:num w:numId="41" w16cid:durableId="1156186266">
    <w:abstractNumId w:val="46"/>
  </w:num>
  <w:num w:numId="42" w16cid:durableId="256640734">
    <w:abstractNumId w:val="34"/>
  </w:num>
  <w:num w:numId="43" w16cid:durableId="913511129">
    <w:abstractNumId w:val="24"/>
  </w:num>
  <w:num w:numId="44" w16cid:durableId="375928966">
    <w:abstractNumId w:val="39"/>
  </w:num>
  <w:num w:numId="45" w16cid:durableId="977804777">
    <w:abstractNumId w:val="36"/>
  </w:num>
  <w:num w:numId="46" w16cid:durableId="1106924757">
    <w:abstractNumId w:val="27"/>
  </w:num>
  <w:num w:numId="47" w16cid:durableId="1349484319">
    <w:abstractNumId w:val="6"/>
  </w:num>
  <w:num w:numId="48" w16cid:durableId="581186590">
    <w:abstractNumId w:val="33"/>
  </w:num>
  <w:num w:numId="49" w16cid:durableId="806900621">
    <w:abstractNumId w:val="26"/>
  </w:num>
  <w:num w:numId="50" w16cid:durableId="1336878326">
    <w:abstractNumId w:val="30"/>
  </w:num>
  <w:num w:numId="51" w16cid:durableId="432097305">
    <w:abstractNumId w:val="21"/>
  </w:num>
  <w:num w:numId="52" w16cid:durableId="1087729315">
    <w:abstractNumId w:val="20"/>
  </w:num>
  <w:num w:numId="53" w16cid:durableId="73682636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01375"/>
    <w:rsid w:val="00001839"/>
    <w:rsid w:val="00002366"/>
    <w:rsid w:val="00002EAD"/>
    <w:rsid w:val="00003766"/>
    <w:rsid w:val="00003BB9"/>
    <w:rsid w:val="00004572"/>
    <w:rsid w:val="00004EB5"/>
    <w:rsid w:val="000058E3"/>
    <w:rsid w:val="00005EEF"/>
    <w:rsid w:val="00006839"/>
    <w:rsid w:val="00007775"/>
    <w:rsid w:val="000106B5"/>
    <w:rsid w:val="00012186"/>
    <w:rsid w:val="00012FC8"/>
    <w:rsid w:val="0001465E"/>
    <w:rsid w:val="00014942"/>
    <w:rsid w:val="00014E28"/>
    <w:rsid w:val="00014E6A"/>
    <w:rsid w:val="00015080"/>
    <w:rsid w:val="0001569A"/>
    <w:rsid w:val="0001641C"/>
    <w:rsid w:val="000169CA"/>
    <w:rsid w:val="00017287"/>
    <w:rsid w:val="00020F11"/>
    <w:rsid w:val="000217A7"/>
    <w:rsid w:val="0002326C"/>
    <w:rsid w:val="00023BA5"/>
    <w:rsid w:val="0002418E"/>
    <w:rsid w:val="00026A36"/>
    <w:rsid w:val="00026D1D"/>
    <w:rsid w:val="00026D3D"/>
    <w:rsid w:val="00027567"/>
    <w:rsid w:val="0002774D"/>
    <w:rsid w:val="00030870"/>
    <w:rsid w:val="00030F99"/>
    <w:rsid w:val="00031E38"/>
    <w:rsid w:val="00032995"/>
    <w:rsid w:val="00033FFC"/>
    <w:rsid w:val="00034867"/>
    <w:rsid w:val="00036871"/>
    <w:rsid w:val="00036A6F"/>
    <w:rsid w:val="000400C0"/>
    <w:rsid w:val="00040CAB"/>
    <w:rsid w:val="00042C2B"/>
    <w:rsid w:val="00044626"/>
    <w:rsid w:val="00045115"/>
    <w:rsid w:val="00045678"/>
    <w:rsid w:val="00046041"/>
    <w:rsid w:val="00046FEB"/>
    <w:rsid w:val="00050949"/>
    <w:rsid w:val="00050B05"/>
    <w:rsid w:val="000550F5"/>
    <w:rsid w:val="000552B3"/>
    <w:rsid w:val="000556B6"/>
    <w:rsid w:val="00055E86"/>
    <w:rsid w:val="00056089"/>
    <w:rsid w:val="000561AD"/>
    <w:rsid w:val="0005784B"/>
    <w:rsid w:val="00057CD9"/>
    <w:rsid w:val="0006060E"/>
    <w:rsid w:val="00060C71"/>
    <w:rsid w:val="000613EF"/>
    <w:rsid w:val="0006181A"/>
    <w:rsid w:val="000632A4"/>
    <w:rsid w:val="00063D99"/>
    <w:rsid w:val="00063FA7"/>
    <w:rsid w:val="000641AA"/>
    <w:rsid w:val="0006628A"/>
    <w:rsid w:val="000674C2"/>
    <w:rsid w:val="00067D8E"/>
    <w:rsid w:val="000700B0"/>
    <w:rsid w:val="0007067B"/>
    <w:rsid w:val="000716B5"/>
    <w:rsid w:val="00071E1C"/>
    <w:rsid w:val="00071E32"/>
    <w:rsid w:val="00071F4F"/>
    <w:rsid w:val="0007327C"/>
    <w:rsid w:val="00073F23"/>
    <w:rsid w:val="000741B4"/>
    <w:rsid w:val="0007476E"/>
    <w:rsid w:val="00074E1A"/>
    <w:rsid w:val="0007550B"/>
    <w:rsid w:val="00075CEB"/>
    <w:rsid w:val="000766A1"/>
    <w:rsid w:val="0007720B"/>
    <w:rsid w:val="000773F3"/>
    <w:rsid w:val="0007776B"/>
    <w:rsid w:val="0008112C"/>
    <w:rsid w:val="0008136A"/>
    <w:rsid w:val="00081544"/>
    <w:rsid w:val="0008167B"/>
    <w:rsid w:val="00081D07"/>
    <w:rsid w:val="000835C6"/>
    <w:rsid w:val="00084FE9"/>
    <w:rsid w:val="0008626D"/>
    <w:rsid w:val="000903D6"/>
    <w:rsid w:val="00090DDB"/>
    <w:rsid w:val="0009135B"/>
    <w:rsid w:val="00092614"/>
    <w:rsid w:val="000931D4"/>
    <w:rsid w:val="00095D23"/>
    <w:rsid w:val="0009601E"/>
    <w:rsid w:val="00096D31"/>
    <w:rsid w:val="00096F23"/>
    <w:rsid w:val="00097905"/>
    <w:rsid w:val="00097E81"/>
    <w:rsid w:val="000A068E"/>
    <w:rsid w:val="000A3ADD"/>
    <w:rsid w:val="000A4119"/>
    <w:rsid w:val="000A512F"/>
    <w:rsid w:val="000A5616"/>
    <w:rsid w:val="000A6E2F"/>
    <w:rsid w:val="000A75CB"/>
    <w:rsid w:val="000B1AC1"/>
    <w:rsid w:val="000B24FC"/>
    <w:rsid w:val="000B515F"/>
    <w:rsid w:val="000B56B6"/>
    <w:rsid w:val="000B581E"/>
    <w:rsid w:val="000B6C60"/>
    <w:rsid w:val="000B7DB0"/>
    <w:rsid w:val="000C0778"/>
    <w:rsid w:val="000C1425"/>
    <w:rsid w:val="000C3142"/>
    <w:rsid w:val="000C3494"/>
    <w:rsid w:val="000C4658"/>
    <w:rsid w:val="000C4785"/>
    <w:rsid w:val="000C48F6"/>
    <w:rsid w:val="000C5AC2"/>
    <w:rsid w:val="000C6E9E"/>
    <w:rsid w:val="000C72FC"/>
    <w:rsid w:val="000D0225"/>
    <w:rsid w:val="000D0636"/>
    <w:rsid w:val="000D1630"/>
    <w:rsid w:val="000D2319"/>
    <w:rsid w:val="000D2F47"/>
    <w:rsid w:val="000D429A"/>
    <w:rsid w:val="000D5973"/>
    <w:rsid w:val="000D62DF"/>
    <w:rsid w:val="000D636F"/>
    <w:rsid w:val="000D68A0"/>
    <w:rsid w:val="000D728C"/>
    <w:rsid w:val="000E0ECF"/>
    <w:rsid w:val="000E0F53"/>
    <w:rsid w:val="000E1116"/>
    <w:rsid w:val="000E17D7"/>
    <w:rsid w:val="000E1BE1"/>
    <w:rsid w:val="000E3462"/>
    <w:rsid w:val="000E3BDB"/>
    <w:rsid w:val="000E3C58"/>
    <w:rsid w:val="000E407E"/>
    <w:rsid w:val="000E58DD"/>
    <w:rsid w:val="000E599A"/>
    <w:rsid w:val="000E5AE7"/>
    <w:rsid w:val="000E5C60"/>
    <w:rsid w:val="000E5D10"/>
    <w:rsid w:val="000E668F"/>
    <w:rsid w:val="000F1085"/>
    <w:rsid w:val="000F2564"/>
    <w:rsid w:val="000F3B0A"/>
    <w:rsid w:val="000F4E3E"/>
    <w:rsid w:val="000F50C3"/>
    <w:rsid w:val="000F50CE"/>
    <w:rsid w:val="000F5F33"/>
    <w:rsid w:val="000F65B2"/>
    <w:rsid w:val="000F68B4"/>
    <w:rsid w:val="000F6F7C"/>
    <w:rsid w:val="00101291"/>
    <w:rsid w:val="0010469E"/>
    <w:rsid w:val="0010543A"/>
    <w:rsid w:val="001054A8"/>
    <w:rsid w:val="00105878"/>
    <w:rsid w:val="00107262"/>
    <w:rsid w:val="0010778C"/>
    <w:rsid w:val="00107E0E"/>
    <w:rsid w:val="001108D3"/>
    <w:rsid w:val="001109B8"/>
    <w:rsid w:val="001116C8"/>
    <w:rsid w:val="001125B5"/>
    <w:rsid w:val="00113751"/>
    <w:rsid w:val="00113F53"/>
    <w:rsid w:val="00116219"/>
    <w:rsid w:val="00120C14"/>
    <w:rsid w:val="00120E5D"/>
    <w:rsid w:val="00120F25"/>
    <w:rsid w:val="00121088"/>
    <w:rsid w:val="00121A30"/>
    <w:rsid w:val="00122401"/>
    <w:rsid w:val="00123B71"/>
    <w:rsid w:val="00123D40"/>
    <w:rsid w:val="00124593"/>
    <w:rsid w:val="0012485C"/>
    <w:rsid w:val="00125CB0"/>
    <w:rsid w:val="00125E25"/>
    <w:rsid w:val="00126565"/>
    <w:rsid w:val="001266C0"/>
    <w:rsid w:val="00130507"/>
    <w:rsid w:val="00131BDB"/>
    <w:rsid w:val="0013335E"/>
    <w:rsid w:val="001341ED"/>
    <w:rsid w:val="00134291"/>
    <w:rsid w:val="00134CBF"/>
    <w:rsid w:val="00134E6B"/>
    <w:rsid w:val="00135FF6"/>
    <w:rsid w:val="0013696A"/>
    <w:rsid w:val="00136A4F"/>
    <w:rsid w:val="00136C9C"/>
    <w:rsid w:val="001370A7"/>
    <w:rsid w:val="001402CF"/>
    <w:rsid w:val="00141D33"/>
    <w:rsid w:val="001423D4"/>
    <w:rsid w:val="00143476"/>
    <w:rsid w:val="00145698"/>
    <w:rsid w:val="001464A1"/>
    <w:rsid w:val="00146D26"/>
    <w:rsid w:val="00147C42"/>
    <w:rsid w:val="00150DFA"/>
    <w:rsid w:val="00150E55"/>
    <w:rsid w:val="00151843"/>
    <w:rsid w:val="0015225A"/>
    <w:rsid w:val="00152E17"/>
    <w:rsid w:val="00153C15"/>
    <w:rsid w:val="00153F29"/>
    <w:rsid w:val="001549C0"/>
    <w:rsid w:val="00154C09"/>
    <w:rsid w:val="001554FC"/>
    <w:rsid w:val="00156332"/>
    <w:rsid w:val="00156AF7"/>
    <w:rsid w:val="00157C26"/>
    <w:rsid w:val="001601E3"/>
    <w:rsid w:val="00160EAE"/>
    <w:rsid w:val="00161509"/>
    <w:rsid w:val="00161EB9"/>
    <w:rsid w:val="00162F53"/>
    <w:rsid w:val="001638BD"/>
    <w:rsid w:val="00163FB8"/>
    <w:rsid w:val="00166A0B"/>
    <w:rsid w:val="001711F6"/>
    <w:rsid w:val="00171368"/>
    <w:rsid w:val="00171466"/>
    <w:rsid w:val="00171757"/>
    <w:rsid w:val="00172209"/>
    <w:rsid w:val="00172235"/>
    <w:rsid w:val="00172DF5"/>
    <w:rsid w:val="00173DC0"/>
    <w:rsid w:val="00174108"/>
    <w:rsid w:val="00174643"/>
    <w:rsid w:val="00174B74"/>
    <w:rsid w:val="00174C31"/>
    <w:rsid w:val="001751B1"/>
    <w:rsid w:val="00176759"/>
    <w:rsid w:val="0018114B"/>
    <w:rsid w:val="001832EF"/>
    <w:rsid w:val="00183CFE"/>
    <w:rsid w:val="00184174"/>
    <w:rsid w:val="00184B07"/>
    <w:rsid w:val="00184E0F"/>
    <w:rsid w:val="00185568"/>
    <w:rsid w:val="00186ACB"/>
    <w:rsid w:val="0018753C"/>
    <w:rsid w:val="001878A9"/>
    <w:rsid w:val="001909D5"/>
    <w:rsid w:val="001919FF"/>
    <w:rsid w:val="001926DC"/>
    <w:rsid w:val="001937D8"/>
    <w:rsid w:val="00195515"/>
    <w:rsid w:val="001967AD"/>
    <w:rsid w:val="0019682F"/>
    <w:rsid w:val="001A1B16"/>
    <w:rsid w:val="001A2B85"/>
    <w:rsid w:val="001A2FA5"/>
    <w:rsid w:val="001A3540"/>
    <w:rsid w:val="001A38CC"/>
    <w:rsid w:val="001A45C1"/>
    <w:rsid w:val="001A5A65"/>
    <w:rsid w:val="001A6869"/>
    <w:rsid w:val="001A76D8"/>
    <w:rsid w:val="001B01AE"/>
    <w:rsid w:val="001B061D"/>
    <w:rsid w:val="001B0C86"/>
    <w:rsid w:val="001B2AA6"/>
    <w:rsid w:val="001B2FA7"/>
    <w:rsid w:val="001B314C"/>
    <w:rsid w:val="001B344A"/>
    <w:rsid w:val="001B4019"/>
    <w:rsid w:val="001B40C2"/>
    <w:rsid w:val="001B6E51"/>
    <w:rsid w:val="001C052F"/>
    <w:rsid w:val="001C089E"/>
    <w:rsid w:val="001C22D3"/>
    <w:rsid w:val="001C26D1"/>
    <w:rsid w:val="001C2E19"/>
    <w:rsid w:val="001C3B14"/>
    <w:rsid w:val="001C4F00"/>
    <w:rsid w:val="001C61D3"/>
    <w:rsid w:val="001C7733"/>
    <w:rsid w:val="001D00A2"/>
    <w:rsid w:val="001D09CF"/>
    <w:rsid w:val="001D1E70"/>
    <w:rsid w:val="001D216A"/>
    <w:rsid w:val="001D27B4"/>
    <w:rsid w:val="001D2E82"/>
    <w:rsid w:val="001D38E1"/>
    <w:rsid w:val="001D45C1"/>
    <w:rsid w:val="001D4C8B"/>
    <w:rsid w:val="001D51DA"/>
    <w:rsid w:val="001D66D8"/>
    <w:rsid w:val="001D6C5E"/>
    <w:rsid w:val="001D7E9D"/>
    <w:rsid w:val="001E0BAA"/>
    <w:rsid w:val="001E0C9F"/>
    <w:rsid w:val="001E26A1"/>
    <w:rsid w:val="001E27C0"/>
    <w:rsid w:val="001E450A"/>
    <w:rsid w:val="001E47FB"/>
    <w:rsid w:val="001E537A"/>
    <w:rsid w:val="001E5BBA"/>
    <w:rsid w:val="001E6123"/>
    <w:rsid w:val="001E629A"/>
    <w:rsid w:val="001E62A7"/>
    <w:rsid w:val="001E6714"/>
    <w:rsid w:val="001E7C07"/>
    <w:rsid w:val="001E7D16"/>
    <w:rsid w:val="001F016D"/>
    <w:rsid w:val="001F05BC"/>
    <w:rsid w:val="001F1440"/>
    <w:rsid w:val="001F162E"/>
    <w:rsid w:val="001F1700"/>
    <w:rsid w:val="001F17FE"/>
    <w:rsid w:val="001F182F"/>
    <w:rsid w:val="001F1A4A"/>
    <w:rsid w:val="001F2585"/>
    <w:rsid w:val="001F410C"/>
    <w:rsid w:val="001F416C"/>
    <w:rsid w:val="001F5AB1"/>
    <w:rsid w:val="001F5F96"/>
    <w:rsid w:val="001F5FE9"/>
    <w:rsid w:val="001F60BA"/>
    <w:rsid w:val="001F680D"/>
    <w:rsid w:val="001F68BF"/>
    <w:rsid w:val="001F7140"/>
    <w:rsid w:val="00200146"/>
    <w:rsid w:val="00200F5A"/>
    <w:rsid w:val="002013AA"/>
    <w:rsid w:val="00201813"/>
    <w:rsid w:val="00201E41"/>
    <w:rsid w:val="0020285E"/>
    <w:rsid w:val="00203238"/>
    <w:rsid w:val="00203C8B"/>
    <w:rsid w:val="00204A1A"/>
    <w:rsid w:val="0020568F"/>
    <w:rsid w:val="00205DF3"/>
    <w:rsid w:val="00205E42"/>
    <w:rsid w:val="00211A63"/>
    <w:rsid w:val="00213F13"/>
    <w:rsid w:val="00215B1D"/>
    <w:rsid w:val="00215D6C"/>
    <w:rsid w:val="002168CE"/>
    <w:rsid w:val="00216E8F"/>
    <w:rsid w:val="002171A7"/>
    <w:rsid w:val="00220345"/>
    <w:rsid w:val="0022078F"/>
    <w:rsid w:val="0022083E"/>
    <w:rsid w:val="0022084E"/>
    <w:rsid w:val="00221BBC"/>
    <w:rsid w:val="00221D85"/>
    <w:rsid w:val="00222A77"/>
    <w:rsid w:val="00222D0B"/>
    <w:rsid w:val="00222DC1"/>
    <w:rsid w:val="0022318B"/>
    <w:rsid w:val="002240B2"/>
    <w:rsid w:val="0022410D"/>
    <w:rsid w:val="00224FF2"/>
    <w:rsid w:val="002256F9"/>
    <w:rsid w:val="00225810"/>
    <w:rsid w:val="002263CC"/>
    <w:rsid w:val="002268BF"/>
    <w:rsid w:val="002268E2"/>
    <w:rsid w:val="00226D07"/>
    <w:rsid w:val="002305BF"/>
    <w:rsid w:val="00231F15"/>
    <w:rsid w:val="00232165"/>
    <w:rsid w:val="00232586"/>
    <w:rsid w:val="00233668"/>
    <w:rsid w:val="00233791"/>
    <w:rsid w:val="00235B23"/>
    <w:rsid w:val="00235DBC"/>
    <w:rsid w:val="00235F7C"/>
    <w:rsid w:val="002374D2"/>
    <w:rsid w:val="002376BC"/>
    <w:rsid w:val="00241440"/>
    <w:rsid w:val="002414F0"/>
    <w:rsid w:val="00241D3D"/>
    <w:rsid w:val="00241EA3"/>
    <w:rsid w:val="002439C0"/>
    <w:rsid w:val="002445F7"/>
    <w:rsid w:val="002447CB"/>
    <w:rsid w:val="00244FD7"/>
    <w:rsid w:val="00246116"/>
    <w:rsid w:val="00246A1A"/>
    <w:rsid w:val="0024759B"/>
    <w:rsid w:val="00252A17"/>
    <w:rsid w:val="002534C5"/>
    <w:rsid w:val="0025350D"/>
    <w:rsid w:val="00253550"/>
    <w:rsid w:val="0025487E"/>
    <w:rsid w:val="00254DA8"/>
    <w:rsid w:val="00256EDC"/>
    <w:rsid w:val="00257ACA"/>
    <w:rsid w:val="002604BD"/>
    <w:rsid w:val="00260932"/>
    <w:rsid w:val="00260E03"/>
    <w:rsid w:val="0026302B"/>
    <w:rsid w:val="002647E7"/>
    <w:rsid w:val="00266CC2"/>
    <w:rsid w:val="00266F7C"/>
    <w:rsid w:val="0026704E"/>
    <w:rsid w:val="002678D8"/>
    <w:rsid w:val="002703DA"/>
    <w:rsid w:val="002704CF"/>
    <w:rsid w:val="00272A9E"/>
    <w:rsid w:val="00272B04"/>
    <w:rsid w:val="0027369C"/>
    <w:rsid w:val="00273886"/>
    <w:rsid w:val="00274366"/>
    <w:rsid w:val="0027481B"/>
    <w:rsid w:val="00274C94"/>
    <w:rsid w:val="002754F9"/>
    <w:rsid w:val="00277E9F"/>
    <w:rsid w:val="0028017D"/>
    <w:rsid w:val="00281996"/>
    <w:rsid w:val="00282ED3"/>
    <w:rsid w:val="002832F9"/>
    <w:rsid w:val="0028423F"/>
    <w:rsid w:val="00284329"/>
    <w:rsid w:val="00284F8E"/>
    <w:rsid w:val="00285F77"/>
    <w:rsid w:val="0028692C"/>
    <w:rsid w:val="00286AFC"/>
    <w:rsid w:val="00290A46"/>
    <w:rsid w:val="00290C3E"/>
    <w:rsid w:val="002912E0"/>
    <w:rsid w:val="00291513"/>
    <w:rsid w:val="00292846"/>
    <w:rsid w:val="00293B7B"/>
    <w:rsid w:val="002940A7"/>
    <w:rsid w:val="00295546"/>
    <w:rsid w:val="002972DD"/>
    <w:rsid w:val="00297C85"/>
    <w:rsid w:val="002A0927"/>
    <w:rsid w:val="002A101F"/>
    <w:rsid w:val="002A1EAA"/>
    <w:rsid w:val="002A35A9"/>
    <w:rsid w:val="002B00CF"/>
    <w:rsid w:val="002B0736"/>
    <w:rsid w:val="002B14CB"/>
    <w:rsid w:val="002B1E75"/>
    <w:rsid w:val="002B2A70"/>
    <w:rsid w:val="002B3771"/>
    <w:rsid w:val="002B3A3A"/>
    <w:rsid w:val="002B5132"/>
    <w:rsid w:val="002B515F"/>
    <w:rsid w:val="002B563F"/>
    <w:rsid w:val="002B57A7"/>
    <w:rsid w:val="002B5C69"/>
    <w:rsid w:val="002B6C76"/>
    <w:rsid w:val="002B7743"/>
    <w:rsid w:val="002B7B9F"/>
    <w:rsid w:val="002C084B"/>
    <w:rsid w:val="002C1411"/>
    <w:rsid w:val="002C1492"/>
    <w:rsid w:val="002C1EF8"/>
    <w:rsid w:val="002C5912"/>
    <w:rsid w:val="002C61F8"/>
    <w:rsid w:val="002C6443"/>
    <w:rsid w:val="002C6F6B"/>
    <w:rsid w:val="002C703A"/>
    <w:rsid w:val="002C7364"/>
    <w:rsid w:val="002D1915"/>
    <w:rsid w:val="002D230B"/>
    <w:rsid w:val="002D296A"/>
    <w:rsid w:val="002D2DC9"/>
    <w:rsid w:val="002D5366"/>
    <w:rsid w:val="002D60B3"/>
    <w:rsid w:val="002D7C9A"/>
    <w:rsid w:val="002E0995"/>
    <w:rsid w:val="002E2B0B"/>
    <w:rsid w:val="002E3F43"/>
    <w:rsid w:val="002E567A"/>
    <w:rsid w:val="002E738E"/>
    <w:rsid w:val="002E74CD"/>
    <w:rsid w:val="002E768B"/>
    <w:rsid w:val="002E7B65"/>
    <w:rsid w:val="002F02C2"/>
    <w:rsid w:val="002F0464"/>
    <w:rsid w:val="002F06E7"/>
    <w:rsid w:val="002F0D4C"/>
    <w:rsid w:val="002F1CE7"/>
    <w:rsid w:val="002F23E1"/>
    <w:rsid w:val="002F2BAF"/>
    <w:rsid w:val="002F32E5"/>
    <w:rsid w:val="002F3F51"/>
    <w:rsid w:val="002F409A"/>
    <w:rsid w:val="002F47A5"/>
    <w:rsid w:val="002F488B"/>
    <w:rsid w:val="002F4935"/>
    <w:rsid w:val="002F5703"/>
    <w:rsid w:val="002F60C0"/>
    <w:rsid w:val="002F61A4"/>
    <w:rsid w:val="002F6239"/>
    <w:rsid w:val="002F7CB5"/>
    <w:rsid w:val="00300E99"/>
    <w:rsid w:val="00301A31"/>
    <w:rsid w:val="00301F7D"/>
    <w:rsid w:val="003030FE"/>
    <w:rsid w:val="003049DF"/>
    <w:rsid w:val="00305410"/>
    <w:rsid w:val="00305CAB"/>
    <w:rsid w:val="003076A0"/>
    <w:rsid w:val="00310132"/>
    <w:rsid w:val="0031048E"/>
    <w:rsid w:val="00311E0D"/>
    <w:rsid w:val="0031396D"/>
    <w:rsid w:val="00313AD1"/>
    <w:rsid w:val="00313BB6"/>
    <w:rsid w:val="00313D6F"/>
    <w:rsid w:val="00313ED8"/>
    <w:rsid w:val="003148B1"/>
    <w:rsid w:val="00314B1E"/>
    <w:rsid w:val="00314D89"/>
    <w:rsid w:val="00314F80"/>
    <w:rsid w:val="00315293"/>
    <w:rsid w:val="0031559F"/>
    <w:rsid w:val="00315846"/>
    <w:rsid w:val="0031654A"/>
    <w:rsid w:val="00316FCE"/>
    <w:rsid w:val="00320850"/>
    <w:rsid w:val="00321792"/>
    <w:rsid w:val="00322607"/>
    <w:rsid w:val="00322FF8"/>
    <w:rsid w:val="00323082"/>
    <w:rsid w:val="00324885"/>
    <w:rsid w:val="00324B66"/>
    <w:rsid w:val="00324D46"/>
    <w:rsid w:val="003257AF"/>
    <w:rsid w:val="00325921"/>
    <w:rsid w:val="0032616E"/>
    <w:rsid w:val="003275EE"/>
    <w:rsid w:val="00330AC8"/>
    <w:rsid w:val="00330C0B"/>
    <w:rsid w:val="00331362"/>
    <w:rsid w:val="00331517"/>
    <w:rsid w:val="00331B06"/>
    <w:rsid w:val="00331CDE"/>
    <w:rsid w:val="00332852"/>
    <w:rsid w:val="003328E9"/>
    <w:rsid w:val="003330B7"/>
    <w:rsid w:val="003342AC"/>
    <w:rsid w:val="003346C6"/>
    <w:rsid w:val="00334B16"/>
    <w:rsid w:val="00336D1C"/>
    <w:rsid w:val="00336E36"/>
    <w:rsid w:val="003403B3"/>
    <w:rsid w:val="00340B66"/>
    <w:rsid w:val="00342CCF"/>
    <w:rsid w:val="00342E30"/>
    <w:rsid w:val="0034390D"/>
    <w:rsid w:val="00343CBB"/>
    <w:rsid w:val="003440DC"/>
    <w:rsid w:val="00344F4F"/>
    <w:rsid w:val="00345F73"/>
    <w:rsid w:val="003460E1"/>
    <w:rsid w:val="00346139"/>
    <w:rsid w:val="00346254"/>
    <w:rsid w:val="00346E13"/>
    <w:rsid w:val="00346E37"/>
    <w:rsid w:val="003476BB"/>
    <w:rsid w:val="003477F1"/>
    <w:rsid w:val="003477F7"/>
    <w:rsid w:val="00347C0F"/>
    <w:rsid w:val="003502EA"/>
    <w:rsid w:val="003508C2"/>
    <w:rsid w:val="00350CF9"/>
    <w:rsid w:val="003510C3"/>
    <w:rsid w:val="003513C2"/>
    <w:rsid w:val="0035140F"/>
    <w:rsid w:val="00351847"/>
    <w:rsid w:val="003533BE"/>
    <w:rsid w:val="0035353D"/>
    <w:rsid w:val="00353D19"/>
    <w:rsid w:val="003543AE"/>
    <w:rsid w:val="00354A65"/>
    <w:rsid w:val="00357C3A"/>
    <w:rsid w:val="0036057F"/>
    <w:rsid w:val="003606DC"/>
    <w:rsid w:val="003607B2"/>
    <w:rsid w:val="00360D35"/>
    <w:rsid w:val="00361167"/>
    <w:rsid w:val="0036145E"/>
    <w:rsid w:val="00361C5C"/>
    <w:rsid w:val="00361E5B"/>
    <w:rsid w:val="003625C2"/>
    <w:rsid w:val="00362C88"/>
    <w:rsid w:val="00362D40"/>
    <w:rsid w:val="00363D9A"/>
    <w:rsid w:val="00363E47"/>
    <w:rsid w:val="00364B5F"/>
    <w:rsid w:val="00364D1A"/>
    <w:rsid w:val="00365A9D"/>
    <w:rsid w:val="00365DBC"/>
    <w:rsid w:val="003662D0"/>
    <w:rsid w:val="003675C2"/>
    <w:rsid w:val="00367785"/>
    <w:rsid w:val="00372170"/>
    <w:rsid w:val="003722B5"/>
    <w:rsid w:val="00372BE5"/>
    <w:rsid w:val="00373EB1"/>
    <w:rsid w:val="00373FFF"/>
    <w:rsid w:val="00374443"/>
    <w:rsid w:val="00377D74"/>
    <w:rsid w:val="00377F78"/>
    <w:rsid w:val="00381748"/>
    <w:rsid w:val="00381D3B"/>
    <w:rsid w:val="00382DBA"/>
    <w:rsid w:val="003842C6"/>
    <w:rsid w:val="00384900"/>
    <w:rsid w:val="0038576C"/>
    <w:rsid w:val="00387543"/>
    <w:rsid w:val="0038768E"/>
    <w:rsid w:val="00387FE8"/>
    <w:rsid w:val="00390D16"/>
    <w:rsid w:val="00390F7D"/>
    <w:rsid w:val="0039188E"/>
    <w:rsid w:val="003923D8"/>
    <w:rsid w:val="00392747"/>
    <w:rsid w:val="00393249"/>
    <w:rsid w:val="00393740"/>
    <w:rsid w:val="00393784"/>
    <w:rsid w:val="0039543B"/>
    <w:rsid w:val="0039574F"/>
    <w:rsid w:val="00395C65"/>
    <w:rsid w:val="00395E5B"/>
    <w:rsid w:val="003967B9"/>
    <w:rsid w:val="00396B1B"/>
    <w:rsid w:val="00396CC4"/>
    <w:rsid w:val="003A0065"/>
    <w:rsid w:val="003A0BB1"/>
    <w:rsid w:val="003A0E7F"/>
    <w:rsid w:val="003A2159"/>
    <w:rsid w:val="003A3B44"/>
    <w:rsid w:val="003A4F45"/>
    <w:rsid w:val="003A540A"/>
    <w:rsid w:val="003A5748"/>
    <w:rsid w:val="003A61C9"/>
    <w:rsid w:val="003A651D"/>
    <w:rsid w:val="003A6862"/>
    <w:rsid w:val="003A7655"/>
    <w:rsid w:val="003A7C28"/>
    <w:rsid w:val="003B041E"/>
    <w:rsid w:val="003B1B9F"/>
    <w:rsid w:val="003B221B"/>
    <w:rsid w:val="003B267A"/>
    <w:rsid w:val="003B294B"/>
    <w:rsid w:val="003B30CD"/>
    <w:rsid w:val="003B47A5"/>
    <w:rsid w:val="003B4B3B"/>
    <w:rsid w:val="003B4DF4"/>
    <w:rsid w:val="003B55DF"/>
    <w:rsid w:val="003B5695"/>
    <w:rsid w:val="003B685B"/>
    <w:rsid w:val="003B6A2A"/>
    <w:rsid w:val="003B6AAD"/>
    <w:rsid w:val="003B7C36"/>
    <w:rsid w:val="003C1533"/>
    <w:rsid w:val="003C3244"/>
    <w:rsid w:val="003C58AB"/>
    <w:rsid w:val="003C5A3F"/>
    <w:rsid w:val="003D1E84"/>
    <w:rsid w:val="003D2B3C"/>
    <w:rsid w:val="003D373B"/>
    <w:rsid w:val="003D38ED"/>
    <w:rsid w:val="003D546D"/>
    <w:rsid w:val="003D5B7A"/>
    <w:rsid w:val="003D6E3D"/>
    <w:rsid w:val="003D747D"/>
    <w:rsid w:val="003D78FD"/>
    <w:rsid w:val="003D79C0"/>
    <w:rsid w:val="003D7B31"/>
    <w:rsid w:val="003E082E"/>
    <w:rsid w:val="003E265B"/>
    <w:rsid w:val="003E2ECB"/>
    <w:rsid w:val="003E36CA"/>
    <w:rsid w:val="003E5157"/>
    <w:rsid w:val="003E6D42"/>
    <w:rsid w:val="003E776D"/>
    <w:rsid w:val="003E7BCC"/>
    <w:rsid w:val="003E7DBB"/>
    <w:rsid w:val="003F01E8"/>
    <w:rsid w:val="003F2C66"/>
    <w:rsid w:val="003F3E07"/>
    <w:rsid w:val="003F445F"/>
    <w:rsid w:val="003F454F"/>
    <w:rsid w:val="003F6A3A"/>
    <w:rsid w:val="003F798F"/>
    <w:rsid w:val="00400801"/>
    <w:rsid w:val="004008AB"/>
    <w:rsid w:val="00401071"/>
    <w:rsid w:val="0040287C"/>
    <w:rsid w:val="0040464A"/>
    <w:rsid w:val="00406032"/>
    <w:rsid w:val="0040644B"/>
    <w:rsid w:val="00406D96"/>
    <w:rsid w:val="00407C7E"/>
    <w:rsid w:val="004106EE"/>
    <w:rsid w:val="00410F3D"/>
    <w:rsid w:val="0041224B"/>
    <w:rsid w:val="00412981"/>
    <w:rsid w:val="00412E91"/>
    <w:rsid w:val="00413A09"/>
    <w:rsid w:val="00415717"/>
    <w:rsid w:val="00415CD0"/>
    <w:rsid w:val="0041633E"/>
    <w:rsid w:val="004168D9"/>
    <w:rsid w:val="004169CB"/>
    <w:rsid w:val="004175E3"/>
    <w:rsid w:val="00421425"/>
    <w:rsid w:val="00422208"/>
    <w:rsid w:val="00422637"/>
    <w:rsid w:val="00423224"/>
    <w:rsid w:val="00423359"/>
    <w:rsid w:val="004237F5"/>
    <w:rsid w:val="00423B2E"/>
    <w:rsid w:val="00423D13"/>
    <w:rsid w:val="00425D62"/>
    <w:rsid w:val="00426347"/>
    <w:rsid w:val="004266B0"/>
    <w:rsid w:val="00427359"/>
    <w:rsid w:val="00427C62"/>
    <w:rsid w:val="00430575"/>
    <w:rsid w:val="00432543"/>
    <w:rsid w:val="004332B1"/>
    <w:rsid w:val="00435445"/>
    <w:rsid w:val="004359D2"/>
    <w:rsid w:val="0043671E"/>
    <w:rsid w:val="00436FDF"/>
    <w:rsid w:val="0043720A"/>
    <w:rsid w:val="004377E4"/>
    <w:rsid w:val="00440B13"/>
    <w:rsid w:val="00441FD6"/>
    <w:rsid w:val="00442839"/>
    <w:rsid w:val="00442AA9"/>
    <w:rsid w:val="00443B9E"/>
    <w:rsid w:val="004447F9"/>
    <w:rsid w:val="00444B5E"/>
    <w:rsid w:val="004463E1"/>
    <w:rsid w:val="0044662E"/>
    <w:rsid w:val="004470B3"/>
    <w:rsid w:val="00447371"/>
    <w:rsid w:val="00447878"/>
    <w:rsid w:val="00450032"/>
    <w:rsid w:val="0045037B"/>
    <w:rsid w:val="00450AE6"/>
    <w:rsid w:val="004522C7"/>
    <w:rsid w:val="00452318"/>
    <w:rsid w:val="00452B18"/>
    <w:rsid w:val="00452D63"/>
    <w:rsid w:val="00453387"/>
    <w:rsid w:val="0045340E"/>
    <w:rsid w:val="00453888"/>
    <w:rsid w:val="004541B5"/>
    <w:rsid w:val="00455ABA"/>
    <w:rsid w:val="00455C4C"/>
    <w:rsid w:val="004564F7"/>
    <w:rsid w:val="00457482"/>
    <w:rsid w:val="00457B08"/>
    <w:rsid w:val="00461353"/>
    <w:rsid w:val="00461474"/>
    <w:rsid w:val="00461973"/>
    <w:rsid w:val="00461AFD"/>
    <w:rsid w:val="004624C1"/>
    <w:rsid w:val="004632E9"/>
    <w:rsid w:val="00463678"/>
    <w:rsid w:val="00463C52"/>
    <w:rsid w:val="00465DC8"/>
    <w:rsid w:val="004660AC"/>
    <w:rsid w:val="0046678C"/>
    <w:rsid w:val="00466A10"/>
    <w:rsid w:val="00467130"/>
    <w:rsid w:val="004671AF"/>
    <w:rsid w:val="004671DD"/>
    <w:rsid w:val="004675B2"/>
    <w:rsid w:val="0047003F"/>
    <w:rsid w:val="0047269D"/>
    <w:rsid w:val="00473E74"/>
    <w:rsid w:val="00473FAD"/>
    <w:rsid w:val="004744BC"/>
    <w:rsid w:val="0047615A"/>
    <w:rsid w:val="00477264"/>
    <w:rsid w:val="00477AA1"/>
    <w:rsid w:val="00480029"/>
    <w:rsid w:val="00482AE0"/>
    <w:rsid w:val="00482C1C"/>
    <w:rsid w:val="00483370"/>
    <w:rsid w:val="004844B0"/>
    <w:rsid w:val="00484901"/>
    <w:rsid w:val="00484D4A"/>
    <w:rsid w:val="00485078"/>
    <w:rsid w:val="004859FB"/>
    <w:rsid w:val="00485E71"/>
    <w:rsid w:val="00486ED1"/>
    <w:rsid w:val="004871BA"/>
    <w:rsid w:val="00492C52"/>
    <w:rsid w:val="00493C6F"/>
    <w:rsid w:val="00494C2C"/>
    <w:rsid w:val="00495D63"/>
    <w:rsid w:val="004968AC"/>
    <w:rsid w:val="004970C7"/>
    <w:rsid w:val="00497898"/>
    <w:rsid w:val="0049795F"/>
    <w:rsid w:val="004A0374"/>
    <w:rsid w:val="004A15F2"/>
    <w:rsid w:val="004A1A66"/>
    <w:rsid w:val="004A36E7"/>
    <w:rsid w:val="004A4266"/>
    <w:rsid w:val="004A4394"/>
    <w:rsid w:val="004A4656"/>
    <w:rsid w:val="004A5569"/>
    <w:rsid w:val="004A61EB"/>
    <w:rsid w:val="004A75EE"/>
    <w:rsid w:val="004A7856"/>
    <w:rsid w:val="004A7C0C"/>
    <w:rsid w:val="004B179B"/>
    <w:rsid w:val="004B2340"/>
    <w:rsid w:val="004B2665"/>
    <w:rsid w:val="004B4254"/>
    <w:rsid w:val="004B478E"/>
    <w:rsid w:val="004B4C69"/>
    <w:rsid w:val="004B5BAD"/>
    <w:rsid w:val="004B613B"/>
    <w:rsid w:val="004C0582"/>
    <w:rsid w:val="004C061C"/>
    <w:rsid w:val="004C2038"/>
    <w:rsid w:val="004C23CD"/>
    <w:rsid w:val="004C4743"/>
    <w:rsid w:val="004C5964"/>
    <w:rsid w:val="004C6AA1"/>
    <w:rsid w:val="004C7669"/>
    <w:rsid w:val="004C7C42"/>
    <w:rsid w:val="004C7D0E"/>
    <w:rsid w:val="004D0FF9"/>
    <w:rsid w:val="004D1390"/>
    <w:rsid w:val="004D1DD3"/>
    <w:rsid w:val="004D2692"/>
    <w:rsid w:val="004D3B0F"/>
    <w:rsid w:val="004D786A"/>
    <w:rsid w:val="004E0B9F"/>
    <w:rsid w:val="004E1049"/>
    <w:rsid w:val="004E17F5"/>
    <w:rsid w:val="004E18AD"/>
    <w:rsid w:val="004E21CA"/>
    <w:rsid w:val="004E23A9"/>
    <w:rsid w:val="004E2BB4"/>
    <w:rsid w:val="004E2F0D"/>
    <w:rsid w:val="004E4853"/>
    <w:rsid w:val="004E4B41"/>
    <w:rsid w:val="004E5181"/>
    <w:rsid w:val="004E55A8"/>
    <w:rsid w:val="004E67AB"/>
    <w:rsid w:val="004E75D2"/>
    <w:rsid w:val="004F02BE"/>
    <w:rsid w:val="004F1CD6"/>
    <w:rsid w:val="004F49B1"/>
    <w:rsid w:val="004F6147"/>
    <w:rsid w:val="004F6786"/>
    <w:rsid w:val="004F7548"/>
    <w:rsid w:val="004F7798"/>
    <w:rsid w:val="00501827"/>
    <w:rsid w:val="005051F9"/>
    <w:rsid w:val="00505D56"/>
    <w:rsid w:val="00506484"/>
    <w:rsid w:val="00506516"/>
    <w:rsid w:val="005068D0"/>
    <w:rsid w:val="00506AE9"/>
    <w:rsid w:val="00507634"/>
    <w:rsid w:val="005078CE"/>
    <w:rsid w:val="005110B8"/>
    <w:rsid w:val="00512647"/>
    <w:rsid w:val="00512DDB"/>
    <w:rsid w:val="00513A4D"/>
    <w:rsid w:val="0051586C"/>
    <w:rsid w:val="00516596"/>
    <w:rsid w:val="00516B0E"/>
    <w:rsid w:val="00516DAA"/>
    <w:rsid w:val="00517067"/>
    <w:rsid w:val="00517F3B"/>
    <w:rsid w:val="0052026C"/>
    <w:rsid w:val="0052030B"/>
    <w:rsid w:val="00520DE0"/>
    <w:rsid w:val="00522F49"/>
    <w:rsid w:val="00523B05"/>
    <w:rsid w:val="00524D9A"/>
    <w:rsid w:val="00524E24"/>
    <w:rsid w:val="00525C63"/>
    <w:rsid w:val="00525D77"/>
    <w:rsid w:val="005262CA"/>
    <w:rsid w:val="005264AA"/>
    <w:rsid w:val="00527110"/>
    <w:rsid w:val="00527381"/>
    <w:rsid w:val="00530ABB"/>
    <w:rsid w:val="00530B81"/>
    <w:rsid w:val="00532530"/>
    <w:rsid w:val="00532721"/>
    <w:rsid w:val="00532B12"/>
    <w:rsid w:val="00534165"/>
    <w:rsid w:val="005344B2"/>
    <w:rsid w:val="00534858"/>
    <w:rsid w:val="00534874"/>
    <w:rsid w:val="0053565E"/>
    <w:rsid w:val="00535F65"/>
    <w:rsid w:val="0053644B"/>
    <w:rsid w:val="00536766"/>
    <w:rsid w:val="00540C4F"/>
    <w:rsid w:val="00540FB4"/>
    <w:rsid w:val="005419C2"/>
    <w:rsid w:val="00542B6D"/>
    <w:rsid w:val="00542C3A"/>
    <w:rsid w:val="00542DD3"/>
    <w:rsid w:val="00542FF1"/>
    <w:rsid w:val="005431C5"/>
    <w:rsid w:val="00544365"/>
    <w:rsid w:val="005443AA"/>
    <w:rsid w:val="00545429"/>
    <w:rsid w:val="0054651C"/>
    <w:rsid w:val="00546983"/>
    <w:rsid w:val="005518BA"/>
    <w:rsid w:val="00551E94"/>
    <w:rsid w:val="00554CAE"/>
    <w:rsid w:val="00554F78"/>
    <w:rsid w:val="005551E3"/>
    <w:rsid w:val="00555489"/>
    <w:rsid w:val="0055585A"/>
    <w:rsid w:val="005568D7"/>
    <w:rsid w:val="005568F1"/>
    <w:rsid w:val="0055724B"/>
    <w:rsid w:val="005572D6"/>
    <w:rsid w:val="00557CD1"/>
    <w:rsid w:val="00561597"/>
    <w:rsid w:val="00561B5F"/>
    <w:rsid w:val="005626F7"/>
    <w:rsid w:val="00562B2E"/>
    <w:rsid w:val="00562E22"/>
    <w:rsid w:val="00563418"/>
    <w:rsid w:val="00565423"/>
    <w:rsid w:val="00565A05"/>
    <w:rsid w:val="00565CC9"/>
    <w:rsid w:val="00565F49"/>
    <w:rsid w:val="0056605E"/>
    <w:rsid w:val="0056675A"/>
    <w:rsid w:val="00567189"/>
    <w:rsid w:val="0056729B"/>
    <w:rsid w:val="005706FD"/>
    <w:rsid w:val="0057172E"/>
    <w:rsid w:val="00571DA6"/>
    <w:rsid w:val="00572289"/>
    <w:rsid w:val="00572521"/>
    <w:rsid w:val="00572D4C"/>
    <w:rsid w:val="005730E3"/>
    <w:rsid w:val="005736D5"/>
    <w:rsid w:val="00573B50"/>
    <w:rsid w:val="00574358"/>
    <w:rsid w:val="00574A99"/>
    <w:rsid w:val="005750DB"/>
    <w:rsid w:val="0057524B"/>
    <w:rsid w:val="00575F2D"/>
    <w:rsid w:val="005777BC"/>
    <w:rsid w:val="00581051"/>
    <w:rsid w:val="00581B21"/>
    <w:rsid w:val="00581F12"/>
    <w:rsid w:val="00581FF1"/>
    <w:rsid w:val="00582BF3"/>
    <w:rsid w:val="00582CC4"/>
    <w:rsid w:val="005831D3"/>
    <w:rsid w:val="00583DE4"/>
    <w:rsid w:val="00583FF9"/>
    <w:rsid w:val="00584B74"/>
    <w:rsid w:val="00585C3A"/>
    <w:rsid w:val="00585D3B"/>
    <w:rsid w:val="0058719C"/>
    <w:rsid w:val="005878D3"/>
    <w:rsid w:val="005900AF"/>
    <w:rsid w:val="00591274"/>
    <w:rsid w:val="00591804"/>
    <w:rsid w:val="005921B6"/>
    <w:rsid w:val="005923C5"/>
    <w:rsid w:val="00592FFE"/>
    <w:rsid w:val="0059347D"/>
    <w:rsid w:val="00593C46"/>
    <w:rsid w:val="005943CB"/>
    <w:rsid w:val="00595B43"/>
    <w:rsid w:val="00595E37"/>
    <w:rsid w:val="005963FB"/>
    <w:rsid w:val="00596F0B"/>
    <w:rsid w:val="00597694"/>
    <w:rsid w:val="00597754"/>
    <w:rsid w:val="005A0196"/>
    <w:rsid w:val="005A04C5"/>
    <w:rsid w:val="005A09E9"/>
    <w:rsid w:val="005A141E"/>
    <w:rsid w:val="005A1B5C"/>
    <w:rsid w:val="005A1DA7"/>
    <w:rsid w:val="005A415F"/>
    <w:rsid w:val="005A54FA"/>
    <w:rsid w:val="005A559F"/>
    <w:rsid w:val="005B02BC"/>
    <w:rsid w:val="005B08F1"/>
    <w:rsid w:val="005B15B9"/>
    <w:rsid w:val="005B1C42"/>
    <w:rsid w:val="005B223A"/>
    <w:rsid w:val="005B388B"/>
    <w:rsid w:val="005B3CAB"/>
    <w:rsid w:val="005B3E0F"/>
    <w:rsid w:val="005B3F0E"/>
    <w:rsid w:val="005B4FD7"/>
    <w:rsid w:val="005B533D"/>
    <w:rsid w:val="005B64C8"/>
    <w:rsid w:val="005B753C"/>
    <w:rsid w:val="005C04BD"/>
    <w:rsid w:val="005C0AC4"/>
    <w:rsid w:val="005C0C10"/>
    <w:rsid w:val="005C111D"/>
    <w:rsid w:val="005C1C9E"/>
    <w:rsid w:val="005C22CB"/>
    <w:rsid w:val="005C33DB"/>
    <w:rsid w:val="005C361C"/>
    <w:rsid w:val="005C39A7"/>
    <w:rsid w:val="005C45C4"/>
    <w:rsid w:val="005C59BA"/>
    <w:rsid w:val="005C5C7A"/>
    <w:rsid w:val="005C641C"/>
    <w:rsid w:val="005C6B56"/>
    <w:rsid w:val="005C6C97"/>
    <w:rsid w:val="005C6D1E"/>
    <w:rsid w:val="005C6FA3"/>
    <w:rsid w:val="005C747A"/>
    <w:rsid w:val="005D15E8"/>
    <w:rsid w:val="005D27F7"/>
    <w:rsid w:val="005D3B5C"/>
    <w:rsid w:val="005D54FD"/>
    <w:rsid w:val="005D5A14"/>
    <w:rsid w:val="005D65F5"/>
    <w:rsid w:val="005D71D2"/>
    <w:rsid w:val="005E0045"/>
    <w:rsid w:val="005E0839"/>
    <w:rsid w:val="005E1901"/>
    <w:rsid w:val="005E3B92"/>
    <w:rsid w:val="005E5F5F"/>
    <w:rsid w:val="005E73BF"/>
    <w:rsid w:val="005E7DE4"/>
    <w:rsid w:val="005E7E9D"/>
    <w:rsid w:val="005F0F97"/>
    <w:rsid w:val="005F32C4"/>
    <w:rsid w:val="005F5F28"/>
    <w:rsid w:val="005F6875"/>
    <w:rsid w:val="00601F94"/>
    <w:rsid w:val="00603DDF"/>
    <w:rsid w:val="00603FC3"/>
    <w:rsid w:val="006063E1"/>
    <w:rsid w:val="00607188"/>
    <w:rsid w:val="006071CA"/>
    <w:rsid w:val="0060778D"/>
    <w:rsid w:val="0060783C"/>
    <w:rsid w:val="00610C6A"/>
    <w:rsid w:val="00611E12"/>
    <w:rsid w:val="00612942"/>
    <w:rsid w:val="00612AD0"/>
    <w:rsid w:val="0061451E"/>
    <w:rsid w:val="00614BE4"/>
    <w:rsid w:val="00616E05"/>
    <w:rsid w:val="00617437"/>
    <w:rsid w:val="00617656"/>
    <w:rsid w:val="00620CD7"/>
    <w:rsid w:val="0062155C"/>
    <w:rsid w:val="006218A0"/>
    <w:rsid w:val="00623171"/>
    <w:rsid w:val="00623A97"/>
    <w:rsid w:val="006256B6"/>
    <w:rsid w:val="00625C05"/>
    <w:rsid w:val="0063096D"/>
    <w:rsid w:val="006309EE"/>
    <w:rsid w:val="00630BC2"/>
    <w:rsid w:val="00630E44"/>
    <w:rsid w:val="0063101A"/>
    <w:rsid w:val="006325F3"/>
    <w:rsid w:val="006328BD"/>
    <w:rsid w:val="0063326E"/>
    <w:rsid w:val="006336C7"/>
    <w:rsid w:val="006337C7"/>
    <w:rsid w:val="006342FD"/>
    <w:rsid w:val="006349CA"/>
    <w:rsid w:val="00635B9C"/>
    <w:rsid w:val="00636B4B"/>
    <w:rsid w:val="00637189"/>
    <w:rsid w:val="006400B3"/>
    <w:rsid w:val="0064104F"/>
    <w:rsid w:val="00641887"/>
    <w:rsid w:val="00641B14"/>
    <w:rsid w:val="00641FD9"/>
    <w:rsid w:val="006425DD"/>
    <w:rsid w:val="00643010"/>
    <w:rsid w:val="00643DC2"/>
    <w:rsid w:val="00644692"/>
    <w:rsid w:val="00646109"/>
    <w:rsid w:val="00646442"/>
    <w:rsid w:val="0064713E"/>
    <w:rsid w:val="00647157"/>
    <w:rsid w:val="00651EAA"/>
    <w:rsid w:val="006533D1"/>
    <w:rsid w:val="00653671"/>
    <w:rsid w:val="0065389D"/>
    <w:rsid w:val="00654836"/>
    <w:rsid w:val="00654E94"/>
    <w:rsid w:val="00654FE9"/>
    <w:rsid w:val="00655FBB"/>
    <w:rsid w:val="00656F82"/>
    <w:rsid w:val="0065787B"/>
    <w:rsid w:val="00657989"/>
    <w:rsid w:val="00660916"/>
    <w:rsid w:val="00661819"/>
    <w:rsid w:val="00663789"/>
    <w:rsid w:val="0066391B"/>
    <w:rsid w:val="0066416C"/>
    <w:rsid w:val="00664E4E"/>
    <w:rsid w:val="006679BA"/>
    <w:rsid w:val="00670B77"/>
    <w:rsid w:val="00671457"/>
    <w:rsid w:val="006716D1"/>
    <w:rsid w:val="006718FA"/>
    <w:rsid w:val="00671D1D"/>
    <w:rsid w:val="00671FC8"/>
    <w:rsid w:val="006720A6"/>
    <w:rsid w:val="006724E9"/>
    <w:rsid w:val="00672566"/>
    <w:rsid w:val="00672B61"/>
    <w:rsid w:val="00673277"/>
    <w:rsid w:val="00673449"/>
    <w:rsid w:val="006767DC"/>
    <w:rsid w:val="0067733E"/>
    <w:rsid w:val="00677480"/>
    <w:rsid w:val="006776BF"/>
    <w:rsid w:val="00677950"/>
    <w:rsid w:val="00680717"/>
    <w:rsid w:val="00680C83"/>
    <w:rsid w:val="00680FDC"/>
    <w:rsid w:val="00681FAF"/>
    <w:rsid w:val="006824D1"/>
    <w:rsid w:val="0068286F"/>
    <w:rsid w:val="00684909"/>
    <w:rsid w:val="00690D90"/>
    <w:rsid w:val="00691B9E"/>
    <w:rsid w:val="006925D3"/>
    <w:rsid w:val="00693772"/>
    <w:rsid w:val="006941C8"/>
    <w:rsid w:val="00694410"/>
    <w:rsid w:val="0069500D"/>
    <w:rsid w:val="00695867"/>
    <w:rsid w:val="00695A2C"/>
    <w:rsid w:val="00695B12"/>
    <w:rsid w:val="00696099"/>
    <w:rsid w:val="00696DE6"/>
    <w:rsid w:val="00697567"/>
    <w:rsid w:val="006A01BC"/>
    <w:rsid w:val="006A1D6C"/>
    <w:rsid w:val="006A1DFC"/>
    <w:rsid w:val="006A2C1A"/>
    <w:rsid w:val="006A3BF2"/>
    <w:rsid w:val="006A552E"/>
    <w:rsid w:val="006A62B6"/>
    <w:rsid w:val="006A6789"/>
    <w:rsid w:val="006A6FF5"/>
    <w:rsid w:val="006A7E14"/>
    <w:rsid w:val="006B0890"/>
    <w:rsid w:val="006B2295"/>
    <w:rsid w:val="006B2C90"/>
    <w:rsid w:val="006B3554"/>
    <w:rsid w:val="006B6FAB"/>
    <w:rsid w:val="006B70D0"/>
    <w:rsid w:val="006B7432"/>
    <w:rsid w:val="006B7A9E"/>
    <w:rsid w:val="006C0312"/>
    <w:rsid w:val="006C0607"/>
    <w:rsid w:val="006C1C74"/>
    <w:rsid w:val="006C1EE8"/>
    <w:rsid w:val="006C22C6"/>
    <w:rsid w:val="006C2EBD"/>
    <w:rsid w:val="006C46C6"/>
    <w:rsid w:val="006C477F"/>
    <w:rsid w:val="006C4C9C"/>
    <w:rsid w:val="006C5993"/>
    <w:rsid w:val="006C6803"/>
    <w:rsid w:val="006C7851"/>
    <w:rsid w:val="006C7D25"/>
    <w:rsid w:val="006D0D76"/>
    <w:rsid w:val="006D0EE2"/>
    <w:rsid w:val="006D1616"/>
    <w:rsid w:val="006D1980"/>
    <w:rsid w:val="006D2221"/>
    <w:rsid w:val="006D2817"/>
    <w:rsid w:val="006D37BF"/>
    <w:rsid w:val="006D387B"/>
    <w:rsid w:val="006D48C6"/>
    <w:rsid w:val="006D53C4"/>
    <w:rsid w:val="006D6421"/>
    <w:rsid w:val="006D660E"/>
    <w:rsid w:val="006D6815"/>
    <w:rsid w:val="006D6E9E"/>
    <w:rsid w:val="006E08A0"/>
    <w:rsid w:val="006E1636"/>
    <w:rsid w:val="006E1907"/>
    <w:rsid w:val="006E1E6A"/>
    <w:rsid w:val="006E2605"/>
    <w:rsid w:val="006E3002"/>
    <w:rsid w:val="006E3575"/>
    <w:rsid w:val="006E4001"/>
    <w:rsid w:val="006E501F"/>
    <w:rsid w:val="006E5A53"/>
    <w:rsid w:val="006E6DF4"/>
    <w:rsid w:val="006E6F8F"/>
    <w:rsid w:val="006E7203"/>
    <w:rsid w:val="006E76FF"/>
    <w:rsid w:val="006F4480"/>
    <w:rsid w:val="006F4CF4"/>
    <w:rsid w:val="006F502F"/>
    <w:rsid w:val="006F58A5"/>
    <w:rsid w:val="006F5CA7"/>
    <w:rsid w:val="006F5DDA"/>
    <w:rsid w:val="00701A2B"/>
    <w:rsid w:val="00701F88"/>
    <w:rsid w:val="007029FC"/>
    <w:rsid w:val="00703734"/>
    <w:rsid w:val="007039FB"/>
    <w:rsid w:val="00703BB5"/>
    <w:rsid w:val="00705065"/>
    <w:rsid w:val="00706333"/>
    <w:rsid w:val="00706F43"/>
    <w:rsid w:val="00710567"/>
    <w:rsid w:val="00711349"/>
    <w:rsid w:val="00712929"/>
    <w:rsid w:val="0071296E"/>
    <w:rsid w:val="00712FE7"/>
    <w:rsid w:val="00713166"/>
    <w:rsid w:val="00713B05"/>
    <w:rsid w:val="00714E41"/>
    <w:rsid w:val="0071512A"/>
    <w:rsid w:val="007160E7"/>
    <w:rsid w:val="007165B1"/>
    <w:rsid w:val="007216DD"/>
    <w:rsid w:val="00721E1F"/>
    <w:rsid w:val="00723C5D"/>
    <w:rsid w:val="00724A36"/>
    <w:rsid w:val="00724AD8"/>
    <w:rsid w:val="00725B2D"/>
    <w:rsid w:val="0073072D"/>
    <w:rsid w:val="00731B0E"/>
    <w:rsid w:val="007330C1"/>
    <w:rsid w:val="007331FD"/>
    <w:rsid w:val="00733525"/>
    <w:rsid w:val="0073362E"/>
    <w:rsid w:val="0073370C"/>
    <w:rsid w:val="007343BE"/>
    <w:rsid w:val="00735382"/>
    <w:rsid w:val="00735F96"/>
    <w:rsid w:val="00735FBC"/>
    <w:rsid w:val="0074092E"/>
    <w:rsid w:val="007410D1"/>
    <w:rsid w:val="00741104"/>
    <w:rsid w:val="0074129D"/>
    <w:rsid w:val="00743256"/>
    <w:rsid w:val="00743E7B"/>
    <w:rsid w:val="00745049"/>
    <w:rsid w:val="00745320"/>
    <w:rsid w:val="0074579C"/>
    <w:rsid w:val="00746BE4"/>
    <w:rsid w:val="00750FA2"/>
    <w:rsid w:val="00751360"/>
    <w:rsid w:val="007513F7"/>
    <w:rsid w:val="00751B61"/>
    <w:rsid w:val="00752537"/>
    <w:rsid w:val="00752DAB"/>
    <w:rsid w:val="00753EFE"/>
    <w:rsid w:val="007561FD"/>
    <w:rsid w:val="007564AC"/>
    <w:rsid w:val="00756561"/>
    <w:rsid w:val="00756C11"/>
    <w:rsid w:val="00757B5F"/>
    <w:rsid w:val="00757CB9"/>
    <w:rsid w:val="00757F54"/>
    <w:rsid w:val="00760A45"/>
    <w:rsid w:val="00760B65"/>
    <w:rsid w:val="00761782"/>
    <w:rsid w:val="00762210"/>
    <w:rsid w:val="00762EE7"/>
    <w:rsid w:val="00764A4F"/>
    <w:rsid w:val="0076617D"/>
    <w:rsid w:val="00766345"/>
    <w:rsid w:val="007708DD"/>
    <w:rsid w:val="00771FEA"/>
    <w:rsid w:val="00772336"/>
    <w:rsid w:val="00772366"/>
    <w:rsid w:val="00773169"/>
    <w:rsid w:val="0077423F"/>
    <w:rsid w:val="00774453"/>
    <w:rsid w:val="00774E20"/>
    <w:rsid w:val="00780BEC"/>
    <w:rsid w:val="00781C9A"/>
    <w:rsid w:val="00782124"/>
    <w:rsid w:val="00782C7F"/>
    <w:rsid w:val="00782D29"/>
    <w:rsid w:val="007830EB"/>
    <w:rsid w:val="007833EE"/>
    <w:rsid w:val="00783D1D"/>
    <w:rsid w:val="0078556E"/>
    <w:rsid w:val="007857A1"/>
    <w:rsid w:val="00785D03"/>
    <w:rsid w:val="00786553"/>
    <w:rsid w:val="0078691D"/>
    <w:rsid w:val="0078694C"/>
    <w:rsid w:val="00787D95"/>
    <w:rsid w:val="00790722"/>
    <w:rsid w:val="00790738"/>
    <w:rsid w:val="0079115D"/>
    <w:rsid w:val="00792658"/>
    <w:rsid w:val="00792F2E"/>
    <w:rsid w:val="0079434A"/>
    <w:rsid w:val="0079716C"/>
    <w:rsid w:val="007978DF"/>
    <w:rsid w:val="007A0BB5"/>
    <w:rsid w:val="007A0BDE"/>
    <w:rsid w:val="007A3A16"/>
    <w:rsid w:val="007A414B"/>
    <w:rsid w:val="007A4947"/>
    <w:rsid w:val="007A4AF0"/>
    <w:rsid w:val="007A69FA"/>
    <w:rsid w:val="007A6F2B"/>
    <w:rsid w:val="007B0800"/>
    <w:rsid w:val="007B0D18"/>
    <w:rsid w:val="007B0ECA"/>
    <w:rsid w:val="007B1E88"/>
    <w:rsid w:val="007B2879"/>
    <w:rsid w:val="007B2A3D"/>
    <w:rsid w:val="007B2CF1"/>
    <w:rsid w:val="007B353F"/>
    <w:rsid w:val="007B35A6"/>
    <w:rsid w:val="007B3AC3"/>
    <w:rsid w:val="007B4D98"/>
    <w:rsid w:val="007B553F"/>
    <w:rsid w:val="007B558C"/>
    <w:rsid w:val="007B6D14"/>
    <w:rsid w:val="007C025E"/>
    <w:rsid w:val="007C0A8E"/>
    <w:rsid w:val="007C1E0B"/>
    <w:rsid w:val="007C31DF"/>
    <w:rsid w:val="007C3B18"/>
    <w:rsid w:val="007C5E08"/>
    <w:rsid w:val="007C6AEA"/>
    <w:rsid w:val="007C6C03"/>
    <w:rsid w:val="007D0AEC"/>
    <w:rsid w:val="007D0BD8"/>
    <w:rsid w:val="007D28B6"/>
    <w:rsid w:val="007D38CD"/>
    <w:rsid w:val="007D5BD8"/>
    <w:rsid w:val="007D6244"/>
    <w:rsid w:val="007D69DB"/>
    <w:rsid w:val="007D7334"/>
    <w:rsid w:val="007E0540"/>
    <w:rsid w:val="007E086F"/>
    <w:rsid w:val="007E0D71"/>
    <w:rsid w:val="007E16F6"/>
    <w:rsid w:val="007E21D1"/>
    <w:rsid w:val="007E3922"/>
    <w:rsid w:val="007E41BA"/>
    <w:rsid w:val="007E4595"/>
    <w:rsid w:val="007E48AE"/>
    <w:rsid w:val="007E501F"/>
    <w:rsid w:val="007E5CAD"/>
    <w:rsid w:val="007E6479"/>
    <w:rsid w:val="007E7F2B"/>
    <w:rsid w:val="007F19AE"/>
    <w:rsid w:val="007F41D0"/>
    <w:rsid w:val="007F4A7B"/>
    <w:rsid w:val="007F52B9"/>
    <w:rsid w:val="008007E0"/>
    <w:rsid w:val="008013FB"/>
    <w:rsid w:val="00802C66"/>
    <w:rsid w:val="00804B2E"/>
    <w:rsid w:val="00804E51"/>
    <w:rsid w:val="00805871"/>
    <w:rsid w:val="00805879"/>
    <w:rsid w:val="00805BE1"/>
    <w:rsid w:val="00806473"/>
    <w:rsid w:val="00806C3F"/>
    <w:rsid w:val="00810B2D"/>
    <w:rsid w:val="00811B3F"/>
    <w:rsid w:val="00812095"/>
    <w:rsid w:val="00812BCD"/>
    <w:rsid w:val="008143F2"/>
    <w:rsid w:val="00815296"/>
    <w:rsid w:val="008169BB"/>
    <w:rsid w:val="00816D9B"/>
    <w:rsid w:val="008170BB"/>
    <w:rsid w:val="008174C1"/>
    <w:rsid w:val="008200AA"/>
    <w:rsid w:val="00822238"/>
    <w:rsid w:val="00823C0E"/>
    <w:rsid w:val="00823D49"/>
    <w:rsid w:val="00825DDB"/>
    <w:rsid w:val="00825FC4"/>
    <w:rsid w:val="00826145"/>
    <w:rsid w:val="00826293"/>
    <w:rsid w:val="0082663A"/>
    <w:rsid w:val="00826F22"/>
    <w:rsid w:val="008278E6"/>
    <w:rsid w:val="00827ED2"/>
    <w:rsid w:val="0083025D"/>
    <w:rsid w:val="008305EE"/>
    <w:rsid w:val="00831BEE"/>
    <w:rsid w:val="00832791"/>
    <w:rsid w:val="0083333C"/>
    <w:rsid w:val="00833F5E"/>
    <w:rsid w:val="00834284"/>
    <w:rsid w:val="008374DE"/>
    <w:rsid w:val="00837946"/>
    <w:rsid w:val="0084073B"/>
    <w:rsid w:val="00840827"/>
    <w:rsid w:val="00840D5E"/>
    <w:rsid w:val="00840DCA"/>
    <w:rsid w:val="00841A77"/>
    <w:rsid w:val="00842C1A"/>
    <w:rsid w:val="00843478"/>
    <w:rsid w:val="0084382A"/>
    <w:rsid w:val="00844571"/>
    <w:rsid w:val="008463EB"/>
    <w:rsid w:val="0084657B"/>
    <w:rsid w:val="00852010"/>
    <w:rsid w:val="008521F3"/>
    <w:rsid w:val="008527AF"/>
    <w:rsid w:val="008528B0"/>
    <w:rsid w:val="0085367F"/>
    <w:rsid w:val="00853A7A"/>
    <w:rsid w:val="00853DE1"/>
    <w:rsid w:val="008555D3"/>
    <w:rsid w:val="00855FAD"/>
    <w:rsid w:val="008569EB"/>
    <w:rsid w:val="00856EC8"/>
    <w:rsid w:val="00856EF0"/>
    <w:rsid w:val="00857CC9"/>
    <w:rsid w:val="00860CED"/>
    <w:rsid w:val="00860EA7"/>
    <w:rsid w:val="00861724"/>
    <w:rsid w:val="00861772"/>
    <w:rsid w:val="00861CC7"/>
    <w:rsid w:val="0086308D"/>
    <w:rsid w:val="00863FAA"/>
    <w:rsid w:val="00864A08"/>
    <w:rsid w:val="00864E6A"/>
    <w:rsid w:val="008653E9"/>
    <w:rsid w:val="00866F0B"/>
    <w:rsid w:val="00866F61"/>
    <w:rsid w:val="008677C8"/>
    <w:rsid w:val="008679B6"/>
    <w:rsid w:val="00867C1F"/>
    <w:rsid w:val="00867CD4"/>
    <w:rsid w:val="00870EAF"/>
    <w:rsid w:val="00872AC8"/>
    <w:rsid w:val="00872DFF"/>
    <w:rsid w:val="0087343B"/>
    <w:rsid w:val="008741B4"/>
    <w:rsid w:val="00874F5A"/>
    <w:rsid w:val="00875EF7"/>
    <w:rsid w:val="008762B5"/>
    <w:rsid w:val="00876E9A"/>
    <w:rsid w:val="00877838"/>
    <w:rsid w:val="00880753"/>
    <w:rsid w:val="0088159E"/>
    <w:rsid w:val="00881709"/>
    <w:rsid w:val="0088174D"/>
    <w:rsid w:val="0088373A"/>
    <w:rsid w:val="008901BA"/>
    <w:rsid w:val="00890A02"/>
    <w:rsid w:val="008915DC"/>
    <w:rsid w:val="00891639"/>
    <w:rsid w:val="0089272B"/>
    <w:rsid w:val="008928D8"/>
    <w:rsid w:val="00892B16"/>
    <w:rsid w:val="00892B6E"/>
    <w:rsid w:val="008955C5"/>
    <w:rsid w:val="008955C7"/>
    <w:rsid w:val="00896BB8"/>
    <w:rsid w:val="008A00F9"/>
    <w:rsid w:val="008A02B0"/>
    <w:rsid w:val="008A0FB7"/>
    <w:rsid w:val="008A1DA5"/>
    <w:rsid w:val="008A2578"/>
    <w:rsid w:val="008A4D3D"/>
    <w:rsid w:val="008A5084"/>
    <w:rsid w:val="008A5373"/>
    <w:rsid w:val="008A5808"/>
    <w:rsid w:val="008A7237"/>
    <w:rsid w:val="008B26B3"/>
    <w:rsid w:val="008B29E6"/>
    <w:rsid w:val="008B31AB"/>
    <w:rsid w:val="008B42AF"/>
    <w:rsid w:val="008B77B4"/>
    <w:rsid w:val="008B7A02"/>
    <w:rsid w:val="008B7B1E"/>
    <w:rsid w:val="008B7F6C"/>
    <w:rsid w:val="008C0EA9"/>
    <w:rsid w:val="008C11CB"/>
    <w:rsid w:val="008C2679"/>
    <w:rsid w:val="008C349D"/>
    <w:rsid w:val="008C3B21"/>
    <w:rsid w:val="008C43D1"/>
    <w:rsid w:val="008C61E0"/>
    <w:rsid w:val="008C75B2"/>
    <w:rsid w:val="008D1093"/>
    <w:rsid w:val="008D1CD0"/>
    <w:rsid w:val="008D1EDD"/>
    <w:rsid w:val="008D20BE"/>
    <w:rsid w:val="008D20E5"/>
    <w:rsid w:val="008D33A5"/>
    <w:rsid w:val="008D3C78"/>
    <w:rsid w:val="008D3F49"/>
    <w:rsid w:val="008D4E0D"/>
    <w:rsid w:val="008D79A9"/>
    <w:rsid w:val="008D79B4"/>
    <w:rsid w:val="008D7B5E"/>
    <w:rsid w:val="008D7F68"/>
    <w:rsid w:val="008E05EE"/>
    <w:rsid w:val="008E0691"/>
    <w:rsid w:val="008E08E0"/>
    <w:rsid w:val="008E0B85"/>
    <w:rsid w:val="008E25CC"/>
    <w:rsid w:val="008E381C"/>
    <w:rsid w:val="008E3A36"/>
    <w:rsid w:val="008E3C31"/>
    <w:rsid w:val="008E3C68"/>
    <w:rsid w:val="008E3DF8"/>
    <w:rsid w:val="008E4190"/>
    <w:rsid w:val="008E5E4B"/>
    <w:rsid w:val="008E61ED"/>
    <w:rsid w:val="008E6D76"/>
    <w:rsid w:val="008E70E7"/>
    <w:rsid w:val="008E7D91"/>
    <w:rsid w:val="008F0A44"/>
    <w:rsid w:val="008F2F12"/>
    <w:rsid w:val="008F2FF2"/>
    <w:rsid w:val="008F415F"/>
    <w:rsid w:val="008F4E80"/>
    <w:rsid w:val="008F52BC"/>
    <w:rsid w:val="008F5687"/>
    <w:rsid w:val="008F5D5A"/>
    <w:rsid w:val="008F60C0"/>
    <w:rsid w:val="008F7F79"/>
    <w:rsid w:val="00900456"/>
    <w:rsid w:val="00901F8B"/>
    <w:rsid w:val="00903558"/>
    <w:rsid w:val="00903768"/>
    <w:rsid w:val="00903913"/>
    <w:rsid w:val="00903DAE"/>
    <w:rsid w:val="00903DB2"/>
    <w:rsid w:val="009050F4"/>
    <w:rsid w:val="009052B7"/>
    <w:rsid w:val="009059E9"/>
    <w:rsid w:val="00905A88"/>
    <w:rsid w:val="009064AC"/>
    <w:rsid w:val="00907D3E"/>
    <w:rsid w:val="00910B17"/>
    <w:rsid w:val="0091123F"/>
    <w:rsid w:val="00912EFC"/>
    <w:rsid w:val="0091304F"/>
    <w:rsid w:val="0091312F"/>
    <w:rsid w:val="00913E17"/>
    <w:rsid w:val="00914B57"/>
    <w:rsid w:val="0091556D"/>
    <w:rsid w:val="00916ADA"/>
    <w:rsid w:val="00917329"/>
    <w:rsid w:val="009174C9"/>
    <w:rsid w:val="00917BDA"/>
    <w:rsid w:val="00921015"/>
    <w:rsid w:val="009212FC"/>
    <w:rsid w:val="0092310A"/>
    <w:rsid w:val="009232B0"/>
    <w:rsid w:val="00923E95"/>
    <w:rsid w:val="00924C96"/>
    <w:rsid w:val="00924D46"/>
    <w:rsid w:val="00925C77"/>
    <w:rsid w:val="00925D60"/>
    <w:rsid w:val="00926946"/>
    <w:rsid w:val="009275D6"/>
    <w:rsid w:val="00930931"/>
    <w:rsid w:val="00930C8D"/>
    <w:rsid w:val="00930E57"/>
    <w:rsid w:val="00932065"/>
    <w:rsid w:val="009327DE"/>
    <w:rsid w:val="009328F2"/>
    <w:rsid w:val="0093329A"/>
    <w:rsid w:val="00933F5D"/>
    <w:rsid w:val="009354C3"/>
    <w:rsid w:val="00936342"/>
    <w:rsid w:val="00936FE1"/>
    <w:rsid w:val="00937E12"/>
    <w:rsid w:val="00937E6D"/>
    <w:rsid w:val="00941A3B"/>
    <w:rsid w:val="009420F5"/>
    <w:rsid w:val="0094398D"/>
    <w:rsid w:val="0094469E"/>
    <w:rsid w:val="00944EDC"/>
    <w:rsid w:val="00945068"/>
    <w:rsid w:val="00945BD9"/>
    <w:rsid w:val="009462A0"/>
    <w:rsid w:val="00947BE1"/>
    <w:rsid w:val="0095043B"/>
    <w:rsid w:val="00954995"/>
    <w:rsid w:val="0095515E"/>
    <w:rsid w:val="009555E2"/>
    <w:rsid w:val="0095600E"/>
    <w:rsid w:val="0095716F"/>
    <w:rsid w:val="00957FDD"/>
    <w:rsid w:val="009608EB"/>
    <w:rsid w:val="00960D98"/>
    <w:rsid w:val="00961140"/>
    <w:rsid w:val="00961728"/>
    <w:rsid w:val="00962305"/>
    <w:rsid w:val="0096245C"/>
    <w:rsid w:val="00963026"/>
    <w:rsid w:val="00964059"/>
    <w:rsid w:val="00964DF5"/>
    <w:rsid w:val="009665F4"/>
    <w:rsid w:val="00966BF0"/>
    <w:rsid w:val="00967746"/>
    <w:rsid w:val="00970269"/>
    <w:rsid w:val="00970DDC"/>
    <w:rsid w:val="00971244"/>
    <w:rsid w:val="00973400"/>
    <w:rsid w:val="00973C86"/>
    <w:rsid w:val="0097495E"/>
    <w:rsid w:val="00975B03"/>
    <w:rsid w:val="00975B6C"/>
    <w:rsid w:val="00975DD0"/>
    <w:rsid w:val="00975EB9"/>
    <w:rsid w:val="00976AAA"/>
    <w:rsid w:val="009775BB"/>
    <w:rsid w:val="0097792E"/>
    <w:rsid w:val="00977F1A"/>
    <w:rsid w:val="00977FCD"/>
    <w:rsid w:val="00981F67"/>
    <w:rsid w:val="009830D1"/>
    <w:rsid w:val="00983349"/>
    <w:rsid w:val="009844C5"/>
    <w:rsid w:val="0098663A"/>
    <w:rsid w:val="0098695D"/>
    <w:rsid w:val="00986DA1"/>
    <w:rsid w:val="00987991"/>
    <w:rsid w:val="00987BA3"/>
    <w:rsid w:val="009925CF"/>
    <w:rsid w:val="009930B5"/>
    <w:rsid w:val="00993854"/>
    <w:rsid w:val="00993948"/>
    <w:rsid w:val="00993E34"/>
    <w:rsid w:val="00994C5A"/>
    <w:rsid w:val="009958E2"/>
    <w:rsid w:val="00995953"/>
    <w:rsid w:val="00996048"/>
    <w:rsid w:val="009977CA"/>
    <w:rsid w:val="009A14D5"/>
    <w:rsid w:val="009A16CE"/>
    <w:rsid w:val="009A170B"/>
    <w:rsid w:val="009A20E4"/>
    <w:rsid w:val="009A2400"/>
    <w:rsid w:val="009A338D"/>
    <w:rsid w:val="009A33C8"/>
    <w:rsid w:val="009A4FC1"/>
    <w:rsid w:val="009A53F0"/>
    <w:rsid w:val="009A549D"/>
    <w:rsid w:val="009A56B8"/>
    <w:rsid w:val="009A6132"/>
    <w:rsid w:val="009A64AF"/>
    <w:rsid w:val="009A6B30"/>
    <w:rsid w:val="009A7350"/>
    <w:rsid w:val="009B0A6A"/>
    <w:rsid w:val="009B1BB5"/>
    <w:rsid w:val="009B2276"/>
    <w:rsid w:val="009B25FC"/>
    <w:rsid w:val="009B3273"/>
    <w:rsid w:val="009B3458"/>
    <w:rsid w:val="009B4461"/>
    <w:rsid w:val="009B462A"/>
    <w:rsid w:val="009B4687"/>
    <w:rsid w:val="009B5084"/>
    <w:rsid w:val="009B55DA"/>
    <w:rsid w:val="009B603F"/>
    <w:rsid w:val="009C16FA"/>
    <w:rsid w:val="009C2593"/>
    <w:rsid w:val="009C2711"/>
    <w:rsid w:val="009C27E5"/>
    <w:rsid w:val="009C28B8"/>
    <w:rsid w:val="009C57EB"/>
    <w:rsid w:val="009C72E2"/>
    <w:rsid w:val="009C7662"/>
    <w:rsid w:val="009C7BA6"/>
    <w:rsid w:val="009D0F5E"/>
    <w:rsid w:val="009D23D6"/>
    <w:rsid w:val="009D24CB"/>
    <w:rsid w:val="009D31D6"/>
    <w:rsid w:val="009D3744"/>
    <w:rsid w:val="009D3E19"/>
    <w:rsid w:val="009D404F"/>
    <w:rsid w:val="009D4726"/>
    <w:rsid w:val="009D69C1"/>
    <w:rsid w:val="009D6EFA"/>
    <w:rsid w:val="009D7113"/>
    <w:rsid w:val="009D76F4"/>
    <w:rsid w:val="009E0A73"/>
    <w:rsid w:val="009E1608"/>
    <w:rsid w:val="009E2A74"/>
    <w:rsid w:val="009E2DB3"/>
    <w:rsid w:val="009E2FEE"/>
    <w:rsid w:val="009E3841"/>
    <w:rsid w:val="009E6E05"/>
    <w:rsid w:val="009F08EF"/>
    <w:rsid w:val="009F0CA2"/>
    <w:rsid w:val="009F15AC"/>
    <w:rsid w:val="009F352F"/>
    <w:rsid w:val="009F3BE3"/>
    <w:rsid w:val="009F3C67"/>
    <w:rsid w:val="009F5929"/>
    <w:rsid w:val="009F602A"/>
    <w:rsid w:val="009F72EB"/>
    <w:rsid w:val="00A00646"/>
    <w:rsid w:val="00A02FD3"/>
    <w:rsid w:val="00A06B90"/>
    <w:rsid w:val="00A10652"/>
    <w:rsid w:val="00A10734"/>
    <w:rsid w:val="00A107A2"/>
    <w:rsid w:val="00A10B23"/>
    <w:rsid w:val="00A10B2E"/>
    <w:rsid w:val="00A10C5A"/>
    <w:rsid w:val="00A10CDC"/>
    <w:rsid w:val="00A11210"/>
    <w:rsid w:val="00A1373C"/>
    <w:rsid w:val="00A13865"/>
    <w:rsid w:val="00A13A84"/>
    <w:rsid w:val="00A15747"/>
    <w:rsid w:val="00A15E0B"/>
    <w:rsid w:val="00A1620C"/>
    <w:rsid w:val="00A16583"/>
    <w:rsid w:val="00A1747A"/>
    <w:rsid w:val="00A17541"/>
    <w:rsid w:val="00A175DD"/>
    <w:rsid w:val="00A1775F"/>
    <w:rsid w:val="00A20DB0"/>
    <w:rsid w:val="00A223C1"/>
    <w:rsid w:val="00A240FF"/>
    <w:rsid w:val="00A2510E"/>
    <w:rsid w:val="00A25D10"/>
    <w:rsid w:val="00A2638C"/>
    <w:rsid w:val="00A30B49"/>
    <w:rsid w:val="00A31BCB"/>
    <w:rsid w:val="00A338F9"/>
    <w:rsid w:val="00A33940"/>
    <w:rsid w:val="00A33ABB"/>
    <w:rsid w:val="00A34071"/>
    <w:rsid w:val="00A346E7"/>
    <w:rsid w:val="00A352DC"/>
    <w:rsid w:val="00A404E8"/>
    <w:rsid w:val="00A40F18"/>
    <w:rsid w:val="00A41F73"/>
    <w:rsid w:val="00A420CC"/>
    <w:rsid w:val="00A431CA"/>
    <w:rsid w:val="00A43C42"/>
    <w:rsid w:val="00A4437A"/>
    <w:rsid w:val="00A447FF"/>
    <w:rsid w:val="00A45DDF"/>
    <w:rsid w:val="00A46C53"/>
    <w:rsid w:val="00A46DA8"/>
    <w:rsid w:val="00A46FC1"/>
    <w:rsid w:val="00A4746F"/>
    <w:rsid w:val="00A501AA"/>
    <w:rsid w:val="00A50E44"/>
    <w:rsid w:val="00A51182"/>
    <w:rsid w:val="00A52C8B"/>
    <w:rsid w:val="00A52F3D"/>
    <w:rsid w:val="00A5382A"/>
    <w:rsid w:val="00A54B28"/>
    <w:rsid w:val="00A54FD0"/>
    <w:rsid w:val="00A55170"/>
    <w:rsid w:val="00A554AF"/>
    <w:rsid w:val="00A556AA"/>
    <w:rsid w:val="00A6084B"/>
    <w:rsid w:val="00A6165D"/>
    <w:rsid w:val="00A6286D"/>
    <w:rsid w:val="00A62D3C"/>
    <w:rsid w:val="00A6365B"/>
    <w:rsid w:val="00A63738"/>
    <w:rsid w:val="00A63E18"/>
    <w:rsid w:val="00A66353"/>
    <w:rsid w:val="00A66C81"/>
    <w:rsid w:val="00A677B9"/>
    <w:rsid w:val="00A70290"/>
    <w:rsid w:val="00A7054B"/>
    <w:rsid w:val="00A718D8"/>
    <w:rsid w:val="00A72DC9"/>
    <w:rsid w:val="00A731BB"/>
    <w:rsid w:val="00A73265"/>
    <w:rsid w:val="00A732DD"/>
    <w:rsid w:val="00A734C9"/>
    <w:rsid w:val="00A73883"/>
    <w:rsid w:val="00A747FC"/>
    <w:rsid w:val="00A753CA"/>
    <w:rsid w:val="00A760C5"/>
    <w:rsid w:val="00A7688D"/>
    <w:rsid w:val="00A76B7B"/>
    <w:rsid w:val="00A777EF"/>
    <w:rsid w:val="00A80086"/>
    <w:rsid w:val="00A80B6E"/>
    <w:rsid w:val="00A80CB3"/>
    <w:rsid w:val="00A81976"/>
    <w:rsid w:val="00A81B05"/>
    <w:rsid w:val="00A8217A"/>
    <w:rsid w:val="00A8223C"/>
    <w:rsid w:val="00A84CC5"/>
    <w:rsid w:val="00A85123"/>
    <w:rsid w:val="00A85C8A"/>
    <w:rsid w:val="00A86965"/>
    <w:rsid w:val="00A86C89"/>
    <w:rsid w:val="00A87345"/>
    <w:rsid w:val="00A87B17"/>
    <w:rsid w:val="00A905AA"/>
    <w:rsid w:val="00A91287"/>
    <w:rsid w:val="00A916F4"/>
    <w:rsid w:val="00A91FAD"/>
    <w:rsid w:val="00A93394"/>
    <w:rsid w:val="00A9461E"/>
    <w:rsid w:val="00A94BBF"/>
    <w:rsid w:val="00A94BE8"/>
    <w:rsid w:val="00A9612F"/>
    <w:rsid w:val="00A971B2"/>
    <w:rsid w:val="00A979BE"/>
    <w:rsid w:val="00AA07CF"/>
    <w:rsid w:val="00AA0CBD"/>
    <w:rsid w:val="00AA0DBA"/>
    <w:rsid w:val="00AA203C"/>
    <w:rsid w:val="00AA2E96"/>
    <w:rsid w:val="00AA2FC4"/>
    <w:rsid w:val="00AA32B2"/>
    <w:rsid w:val="00AA388A"/>
    <w:rsid w:val="00AA4A54"/>
    <w:rsid w:val="00AA4F31"/>
    <w:rsid w:val="00AA5432"/>
    <w:rsid w:val="00AA57AE"/>
    <w:rsid w:val="00AA611E"/>
    <w:rsid w:val="00AA6484"/>
    <w:rsid w:val="00AA7381"/>
    <w:rsid w:val="00AA740C"/>
    <w:rsid w:val="00AA7A6B"/>
    <w:rsid w:val="00AA7DFE"/>
    <w:rsid w:val="00AB130D"/>
    <w:rsid w:val="00AB1CBD"/>
    <w:rsid w:val="00AB21D1"/>
    <w:rsid w:val="00AB254A"/>
    <w:rsid w:val="00AB267E"/>
    <w:rsid w:val="00AB32D8"/>
    <w:rsid w:val="00AB4146"/>
    <w:rsid w:val="00AB4403"/>
    <w:rsid w:val="00AB5C28"/>
    <w:rsid w:val="00AB5F1D"/>
    <w:rsid w:val="00AC0ADF"/>
    <w:rsid w:val="00AC1705"/>
    <w:rsid w:val="00AC2546"/>
    <w:rsid w:val="00AC2AB3"/>
    <w:rsid w:val="00AC36E2"/>
    <w:rsid w:val="00AC38D3"/>
    <w:rsid w:val="00AC52A8"/>
    <w:rsid w:val="00AC5912"/>
    <w:rsid w:val="00AC59C8"/>
    <w:rsid w:val="00AC6310"/>
    <w:rsid w:val="00AC725D"/>
    <w:rsid w:val="00AC7E57"/>
    <w:rsid w:val="00AD0CE2"/>
    <w:rsid w:val="00AD195E"/>
    <w:rsid w:val="00AD1D2F"/>
    <w:rsid w:val="00AD224B"/>
    <w:rsid w:val="00AD22BA"/>
    <w:rsid w:val="00AD2313"/>
    <w:rsid w:val="00AD473E"/>
    <w:rsid w:val="00AD56FE"/>
    <w:rsid w:val="00AD6796"/>
    <w:rsid w:val="00AD75D3"/>
    <w:rsid w:val="00AE04CB"/>
    <w:rsid w:val="00AE1738"/>
    <w:rsid w:val="00AE636D"/>
    <w:rsid w:val="00AE68FD"/>
    <w:rsid w:val="00AE6D0D"/>
    <w:rsid w:val="00AE70B9"/>
    <w:rsid w:val="00AE7582"/>
    <w:rsid w:val="00AE793C"/>
    <w:rsid w:val="00AE7F0E"/>
    <w:rsid w:val="00AF01AB"/>
    <w:rsid w:val="00AF06CC"/>
    <w:rsid w:val="00AF0AF8"/>
    <w:rsid w:val="00AF0F36"/>
    <w:rsid w:val="00AF0FE9"/>
    <w:rsid w:val="00AF1F83"/>
    <w:rsid w:val="00AF246B"/>
    <w:rsid w:val="00AF35FD"/>
    <w:rsid w:val="00AF51F5"/>
    <w:rsid w:val="00AF5D50"/>
    <w:rsid w:val="00B0071D"/>
    <w:rsid w:val="00B0091D"/>
    <w:rsid w:val="00B01526"/>
    <w:rsid w:val="00B02273"/>
    <w:rsid w:val="00B0279A"/>
    <w:rsid w:val="00B02EE0"/>
    <w:rsid w:val="00B0471F"/>
    <w:rsid w:val="00B05135"/>
    <w:rsid w:val="00B05513"/>
    <w:rsid w:val="00B05D6F"/>
    <w:rsid w:val="00B07EA2"/>
    <w:rsid w:val="00B15C01"/>
    <w:rsid w:val="00B21951"/>
    <w:rsid w:val="00B21B74"/>
    <w:rsid w:val="00B21BA9"/>
    <w:rsid w:val="00B23BB2"/>
    <w:rsid w:val="00B251DB"/>
    <w:rsid w:val="00B25E75"/>
    <w:rsid w:val="00B26C25"/>
    <w:rsid w:val="00B26D06"/>
    <w:rsid w:val="00B26D0E"/>
    <w:rsid w:val="00B26FBF"/>
    <w:rsid w:val="00B30C4E"/>
    <w:rsid w:val="00B30E51"/>
    <w:rsid w:val="00B30F0E"/>
    <w:rsid w:val="00B3209E"/>
    <w:rsid w:val="00B324B1"/>
    <w:rsid w:val="00B333C9"/>
    <w:rsid w:val="00B33E23"/>
    <w:rsid w:val="00B34067"/>
    <w:rsid w:val="00B35210"/>
    <w:rsid w:val="00B359C6"/>
    <w:rsid w:val="00B35C0C"/>
    <w:rsid w:val="00B362CE"/>
    <w:rsid w:val="00B37514"/>
    <w:rsid w:val="00B37AA4"/>
    <w:rsid w:val="00B40BDD"/>
    <w:rsid w:val="00B40CA6"/>
    <w:rsid w:val="00B40D10"/>
    <w:rsid w:val="00B41AEE"/>
    <w:rsid w:val="00B43196"/>
    <w:rsid w:val="00B43530"/>
    <w:rsid w:val="00B435AD"/>
    <w:rsid w:val="00B4423B"/>
    <w:rsid w:val="00B44379"/>
    <w:rsid w:val="00B466BB"/>
    <w:rsid w:val="00B511E5"/>
    <w:rsid w:val="00B51FC9"/>
    <w:rsid w:val="00B53026"/>
    <w:rsid w:val="00B536E3"/>
    <w:rsid w:val="00B54621"/>
    <w:rsid w:val="00B546AA"/>
    <w:rsid w:val="00B57307"/>
    <w:rsid w:val="00B57E10"/>
    <w:rsid w:val="00B6075F"/>
    <w:rsid w:val="00B62C10"/>
    <w:rsid w:val="00B64CB5"/>
    <w:rsid w:val="00B6622D"/>
    <w:rsid w:val="00B674CE"/>
    <w:rsid w:val="00B679DD"/>
    <w:rsid w:val="00B7056C"/>
    <w:rsid w:val="00B724DE"/>
    <w:rsid w:val="00B72629"/>
    <w:rsid w:val="00B74328"/>
    <w:rsid w:val="00B74490"/>
    <w:rsid w:val="00B749C5"/>
    <w:rsid w:val="00B74DAE"/>
    <w:rsid w:val="00B77EA6"/>
    <w:rsid w:val="00B80072"/>
    <w:rsid w:val="00B80371"/>
    <w:rsid w:val="00B807AA"/>
    <w:rsid w:val="00B81C11"/>
    <w:rsid w:val="00B824DD"/>
    <w:rsid w:val="00B836F4"/>
    <w:rsid w:val="00B83981"/>
    <w:rsid w:val="00B84963"/>
    <w:rsid w:val="00B852A3"/>
    <w:rsid w:val="00B8586B"/>
    <w:rsid w:val="00B86287"/>
    <w:rsid w:val="00B868AB"/>
    <w:rsid w:val="00B87AEA"/>
    <w:rsid w:val="00B91581"/>
    <w:rsid w:val="00B91F94"/>
    <w:rsid w:val="00B9259F"/>
    <w:rsid w:val="00B96084"/>
    <w:rsid w:val="00B96B39"/>
    <w:rsid w:val="00B96D9A"/>
    <w:rsid w:val="00B9703E"/>
    <w:rsid w:val="00B9781A"/>
    <w:rsid w:val="00B97DC9"/>
    <w:rsid w:val="00B97FD2"/>
    <w:rsid w:val="00BA025D"/>
    <w:rsid w:val="00BA0857"/>
    <w:rsid w:val="00BA0B22"/>
    <w:rsid w:val="00BA3A42"/>
    <w:rsid w:val="00BA3D6C"/>
    <w:rsid w:val="00BA3FEB"/>
    <w:rsid w:val="00BA4181"/>
    <w:rsid w:val="00BA4BDC"/>
    <w:rsid w:val="00BA69D0"/>
    <w:rsid w:val="00BA7C12"/>
    <w:rsid w:val="00BA7E50"/>
    <w:rsid w:val="00BA7F12"/>
    <w:rsid w:val="00BB0957"/>
    <w:rsid w:val="00BB1938"/>
    <w:rsid w:val="00BB2D4D"/>
    <w:rsid w:val="00BB350F"/>
    <w:rsid w:val="00BB3F29"/>
    <w:rsid w:val="00BB47AF"/>
    <w:rsid w:val="00BB47C8"/>
    <w:rsid w:val="00BB4CB8"/>
    <w:rsid w:val="00BB6620"/>
    <w:rsid w:val="00BB76F1"/>
    <w:rsid w:val="00BB7DBA"/>
    <w:rsid w:val="00BB7F5F"/>
    <w:rsid w:val="00BC0678"/>
    <w:rsid w:val="00BC0BC3"/>
    <w:rsid w:val="00BC0C22"/>
    <w:rsid w:val="00BC1B0D"/>
    <w:rsid w:val="00BC1EA3"/>
    <w:rsid w:val="00BC2119"/>
    <w:rsid w:val="00BC2296"/>
    <w:rsid w:val="00BC3533"/>
    <w:rsid w:val="00BC39CD"/>
    <w:rsid w:val="00BC3C13"/>
    <w:rsid w:val="00BC3F70"/>
    <w:rsid w:val="00BC4693"/>
    <w:rsid w:val="00BC5222"/>
    <w:rsid w:val="00BC5289"/>
    <w:rsid w:val="00BC65C7"/>
    <w:rsid w:val="00BC6C29"/>
    <w:rsid w:val="00BD0F8A"/>
    <w:rsid w:val="00BD235B"/>
    <w:rsid w:val="00BD25B6"/>
    <w:rsid w:val="00BD2AEF"/>
    <w:rsid w:val="00BD34F0"/>
    <w:rsid w:val="00BD4FE8"/>
    <w:rsid w:val="00BD503C"/>
    <w:rsid w:val="00BD597B"/>
    <w:rsid w:val="00BD5F88"/>
    <w:rsid w:val="00BD74AA"/>
    <w:rsid w:val="00BD778F"/>
    <w:rsid w:val="00BD7B65"/>
    <w:rsid w:val="00BE01CD"/>
    <w:rsid w:val="00BE06D6"/>
    <w:rsid w:val="00BE1615"/>
    <w:rsid w:val="00BE1AF8"/>
    <w:rsid w:val="00BE1CB4"/>
    <w:rsid w:val="00BE1CFB"/>
    <w:rsid w:val="00BE204C"/>
    <w:rsid w:val="00BE208D"/>
    <w:rsid w:val="00BE2ECD"/>
    <w:rsid w:val="00BE31EC"/>
    <w:rsid w:val="00BE3552"/>
    <w:rsid w:val="00BE4663"/>
    <w:rsid w:val="00BE53C7"/>
    <w:rsid w:val="00BE60A3"/>
    <w:rsid w:val="00BE63F1"/>
    <w:rsid w:val="00BE6EEA"/>
    <w:rsid w:val="00BE7A45"/>
    <w:rsid w:val="00BF04F4"/>
    <w:rsid w:val="00BF0D70"/>
    <w:rsid w:val="00BF1667"/>
    <w:rsid w:val="00BF2D0F"/>
    <w:rsid w:val="00BF4F73"/>
    <w:rsid w:val="00BF5CC2"/>
    <w:rsid w:val="00BF6523"/>
    <w:rsid w:val="00BF763E"/>
    <w:rsid w:val="00C01910"/>
    <w:rsid w:val="00C02436"/>
    <w:rsid w:val="00C0290B"/>
    <w:rsid w:val="00C02D56"/>
    <w:rsid w:val="00C02EFD"/>
    <w:rsid w:val="00C04777"/>
    <w:rsid w:val="00C04E70"/>
    <w:rsid w:val="00C06A44"/>
    <w:rsid w:val="00C0787A"/>
    <w:rsid w:val="00C10114"/>
    <w:rsid w:val="00C1113C"/>
    <w:rsid w:val="00C11F32"/>
    <w:rsid w:val="00C11F85"/>
    <w:rsid w:val="00C12502"/>
    <w:rsid w:val="00C140E7"/>
    <w:rsid w:val="00C157DC"/>
    <w:rsid w:val="00C15C5F"/>
    <w:rsid w:val="00C1634D"/>
    <w:rsid w:val="00C20FBF"/>
    <w:rsid w:val="00C21A81"/>
    <w:rsid w:val="00C22DAF"/>
    <w:rsid w:val="00C25509"/>
    <w:rsid w:val="00C2552B"/>
    <w:rsid w:val="00C25BC1"/>
    <w:rsid w:val="00C265AC"/>
    <w:rsid w:val="00C32BC5"/>
    <w:rsid w:val="00C33209"/>
    <w:rsid w:val="00C33A59"/>
    <w:rsid w:val="00C33F12"/>
    <w:rsid w:val="00C345E8"/>
    <w:rsid w:val="00C347EE"/>
    <w:rsid w:val="00C34EFA"/>
    <w:rsid w:val="00C361B5"/>
    <w:rsid w:val="00C36FB5"/>
    <w:rsid w:val="00C40053"/>
    <w:rsid w:val="00C41CEC"/>
    <w:rsid w:val="00C43D48"/>
    <w:rsid w:val="00C46748"/>
    <w:rsid w:val="00C46ECD"/>
    <w:rsid w:val="00C475C5"/>
    <w:rsid w:val="00C50A9A"/>
    <w:rsid w:val="00C517E3"/>
    <w:rsid w:val="00C519CC"/>
    <w:rsid w:val="00C532A3"/>
    <w:rsid w:val="00C5415D"/>
    <w:rsid w:val="00C5450C"/>
    <w:rsid w:val="00C55215"/>
    <w:rsid w:val="00C55817"/>
    <w:rsid w:val="00C55C01"/>
    <w:rsid w:val="00C55D31"/>
    <w:rsid w:val="00C62FCE"/>
    <w:rsid w:val="00C64AD4"/>
    <w:rsid w:val="00C6546A"/>
    <w:rsid w:val="00C65E4E"/>
    <w:rsid w:val="00C66265"/>
    <w:rsid w:val="00C66984"/>
    <w:rsid w:val="00C67A9E"/>
    <w:rsid w:val="00C71017"/>
    <w:rsid w:val="00C71275"/>
    <w:rsid w:val="00C73F39"/>
    <w:rsid w:val="00C7480D"/>
    <w:rsid w:val="00C74D3A"/>
    <w:rsid w:val="00C75AFC"/>
    <w:rsid w:val="00C7605D"/>
    <w:rsid w:val="00C76C94"/>
    <w:rsid w:val="00C775E2"/>
    <w:rsid w:val="00C77E7D"/>
    <w:rsid w:val="00C80FA1"/>
    <w:rsid w:val="00C826CA"/>
    <w:rsid w:val="00C831DD"/>
    <w:rsid w:val="00C83937"/>
    <w:rsid w:val="00C83B24"/>
    <w:rsid w:val="00C84C97"/>
    <w:rsid w:val="00C854ED"/>
    <w:rsid w:val="00C86231"/>
    <w:rsid w:val="00C8663A"/>
    <w:rsid w:val="00C86BA6"/>
    <w:rsid w:val="00C86C7C"/>
    <w:rsid w:val="00C871FE"/>
    <w:rsid w:val="00C9079F"/>
    <w:rsid w:val="00C90DC2"/>
    <w:rsid w:val="00C9279B"/>
    <w:rsid w:val="00C938DF"/>
    <w:rsid w:val="00C94830"/>
    <w:rsid w:val="00C96904"/>
    <w:rsid w:val="00C96961"/>
    <w:rsid w:val="00C96C5F"/>
    <w:rsid w:val="00C97350"/>
    <w:rsid w:val="00C97AFC"/>
    <w:rsid w:val="00CA287C"/>
    <w:rsid w:val="00CA3DCC"/>
    <w:rsid w:val="00CA55BA"/>
    <w:rsid w:val="00CA5BB0"/>
    <w:rsid w:val="00CA6BA4"/>
    <w:rsid w:val="00CA7FE5"/>
    <w:rsid w:val="00CB23F2"/>
    <w:rsid w:val="00CB2BC6"/>
    <w:rsid w:val="00CB2DE1"/>
    <w:rsid w:val="00CB37F7"/>
    <w:rsid w:val="00CB5BCD"/>
    <w:rsid w:val="00CB699E"/>
    <w:rsid w:val="00CB7499"/>
    <w:rsid w:val="00CB74DD"/>
    <w:rsid w:val="00CB783F"/>
    <w:rsid w:val="00CC07D2"/>
    <w:rsid w:val="00CC0A81"/>
    <w:rsid w:val="00CC1676"/>
    <w:rsid w:val="00CC3ADF"/>
    <w:rsid w:val="00CC5A68"/>
    <w:rsid w:val="00CC72C7"/>
    <w:rsid w:val="00CC7942"/>
    <w:rsid w:val="00CC7C63"/>
    <w:rsid w:val="00CD17B9"/>
    <w:rsid w:val="00CD2E16"/>
    <w:rsid w:val="00CD40C8"/>
    <w:rsid w:val="00CD50A6"/>
    <w:rsid w:val="00CD7437"/>
    <w:rsid w:val="00CE0681"/>
    <w:rsid w:val="00CE15DB"/>
    <w:rsid w:val="00CE23C9"/>
    <w:rsid w:val="00CE2F48"/>
    <w:rsid w:val="00CE3081"/>
    <w:rsid w:val="00CE3FDA"/>
    <w:rsid w:val="00CE4789"/>
    <w:rsid w:val="00CE47E7"/>
    <w:rsid w:val="00CE4EF2"/>
    <w:rsid w:val="00CE635E"/>
    <w:rsid w:val="00CE6BBD"/>
    <w:rsid w:val="00CE6D2D"/>
    <w:rsid w:val="00CE7C41"/>
    <w:rsid w:val="00CE7F17"/>
    <w:rsid w:val="00CF046E"/>
    <w:rsid w:val="00CF0EF3"/>
    <w:rsid w:val="00CF1B07"/>
    <w:rsid w:val="00CF1B31"/>
    <w:rsid w:val="00CF21BB"/>
    <w:rsid w:val="00CF254D"/>
    <w:rsid w:val="00CF28FB"/>
    <w:rsid w:val="00CF37F6"/>
    <w:rsid w:val="00CF38BE"/>
    <w:rsid w:val="00CF3BDB"/>
    <w:rsid w:val="00CF3EC2"/>
    <w:rsid w:val="00CF439A"/>
    <w:rsid w:val="00CF5149"/>
    <w:rsid w:val="00CF51DE"/>
    <w:rsid w:val="00CF5BEB"/>
    <w:rsid w:val="00CF5ECE"/>
    <w:rsid w:val="00CF66C4"/>
    <w:rsid w:val="00CF7235"/>
    <w:rsid w:val="00CF7798"/>
    <w:rsid w:val="00D002D3"/>
    <w:rsid w:val="00D00506"/>
    <w:rsid w:val="00D005A6"/>
    <w:rsid w:val="00D00FB5"/>
    <w:rsid w:val="00D03FB7"/>
    <w:rsid w:val="00D0411D"/>
    <w:rsid w:val="00D05799"/>
    <w:rsid w:val="00D0583C"/>
    <w:rsid w:val="00D05F5E"/>
    <w:rsid w:val="00D060B3"/>
    <w:rsid w:val="00D1046A"/>
    <w:rsid w:val="00D10678"/>
    <w:rsid w:val="00D11507"/>
    <w:rsid w:val="00D13C02"/>
    <w:rsid w:val="00D15B22"/>
    <w:rsid w:val="00D15C2A"/>
    <w:rsid w:val="00D15E81"/>
    <w:rsid w:val="00D16F35"/>
    <w:rsid w:val="00D17C7D"/>
    <w:rsid w:val="00D216FC"/>
    <w:rsid w:val="00D220CF"/>
    <w:rsid w:val="00D22404"/>
    <w:rsid w:val="00D22825"/>
    <w:rsid w:val="00D22853"/>
    <w:rsid w:val="00D22894"/>
    <w:rsid w:val="00D22980"/>
    <w:rsid w:val="00D230DE"/>
    <w:rsid w:val="00D2359A"/>
    <w:rsid w:val="00D23622"/>
    <w:rsid w:val="00D23936"/>
    <w:rsid w:val="00D23ABD"/>
    <w:rsid w:val="00D27226"/>
    <w:rsid w:val="00D27B99"/>
    <w:rsid w:val="00D3067D"/>
    <w:rsid w:val="00D30B71"/>
    <w:rsid w:val="00D30E4D"/>
    <w:rsid w:val="00D329E0"/>
    <w:rsid w:val="00D33D74"/>
    <w:rsid w:val="00D33FE6"/>
    <w:rsid w:val="00D35EA4"/>
    <w:rsid w:val="00D360BD"/>
    <w:rsid w:val="00D3749A"/>
    <w:rsid w:val="00D37941"/>
    <w:rsid w:val="00D41566"/>
    <w:rsid w:val="00D415D9"/>
    <w:rsid w:val="00D42500"/>
    <w:rsid w:val="00D4507B"/>
    <w:rsid w:val="00D46CFF"/>
    <w:rsid w:val="00D46D57"/>
    <w:rsid w:val="00D47F90"/>
    <w:rsid w:val="00D502A3"/>
    <w:rsid w:val="00D5056E"/>
    <w:rsid w:val="00D5125B"/>
    <w:rsid w:val="00D52478"/>
    <w:rsid w:val="00D52D56"/>
    <w:rsid w:val="00D53226"/>
    <w:rsid w:val="00D536F5"/>
    <w:rsid w:val="00D5550F"/>
    <w:rsid w:val="00D61187"/>
    <w:rsid w:val="00D62718"/>
    <w:rsid w:val="00D64BFA"/>
    <w:rsid w:val="00D654CB"/>
    <w:rsid w:val="00D65595"/>
    <w:rsid w:val="00D65848"/>
    <w:rsid w:val="00D65B87"/>
    <w:rsid w:val="00D66808"/>
    <w:rsid w:val="00D66AAE"/>
    <w:rsid w:val="00D670A0"/>
    <w:rsid w:val="00D7022A"/>
    <w:rsid w:val="00D715F6"/>
    <w:rsid w:val="00D71760"/>
    <w:rsid w:val="00D71C47"/>
    <w:rsid w:val="00D72BEB"/>
    <w:rsid w:val="00D74694"/>
    <w:rsid w:val="00D74D7B"/>
    <w:rsid w:val="00D7576F"/>
    <w:rsid w:val="00D75A07"/>
    <w:rsid w:val="00D764B6"/>
    <w:rsid w:val="00D804EF"/>
    <w:rsid w:val="00D80996"/>
    <w:rsid w:val="00D821A5"/>
    <w:rsid w:val="00D83414"/>
    <w:rsid w:val="00D83CB5"/>
    <w:rsid w:val="00D841E9"/>
    <w:rsid w:val="00D842D7"/>
    <w:rsid w:val="00D844CD"/>
    <w:rsid w:val="00D84CEA"/>
    <w:rsid w:val="00D84EFC"/>
    <w:rsid w:val="00D84F59"/>
    <w:rsid w:val="00D86518"/>
    <w:rsid w:val="00D901F7"/>
    <w:rsid w:val="00D9040B"/>
    <w:rsid w:val="00D9122B"/>
    <w:rsid w:val="00D914AA"/>
    <w:rsid w:val="00D920D8"/>
    <w:rsid w:val="00D9211D"/>
    <w:rsid w:val="00D92250"/>
    <w:rsid w:val="00D9272F"/>
    <w:rsid w:val="00D93F6D"/>
    <w:rsid w:val="00D94E03"/>
    <w:rsid w:val="00D95382"/>
    <w:rsid w:val="00D958B1"/>
    <w:rsid w:val="00D95CF5"/>
    <w:rsid w:val="00D96E3F"/>
    <w:rsid w:val="00DA23C9"/>
    <w:rsid w:val="00DA38E3"/>
    <w:rsid w:val="00DA40CE"/>
    <w:rsid w:val="00DA5751"/>
    <w:rsid w:val="00DA61BC"/>
    <w:rsid w:val="00DA759C"/>
    <w:rsid w:val="00DB04EA"/>
    <w:rsid w:val="00DB0AEA"/>
    <w:rsid w:val="00DB1666"/>
    <w:rsid w:val="00DB1F98"/>
    <w:rsid w:val="00DB242A"/>
    <w:rsid w:val="00DB39B3"/>
    <w:rsid w:val="00DB3A00"/>
    <w:rsid w:val="00DB3A5C"/>
    <w:rsid w:val="00DB49CA"/>
    <w:rsid w:val="00DB5285"/>
    <w:rsid w:val="00DB547D"/>
    <w:rsid w:val="00DB6833"/>
    <w:rsid w:val="00DB7C79"/>
    <w:rsid w:val="00DC0227"/>
    <w:rsid w:val="00DC040E"/>
    <w:rsid w:val="00DC0423"/>
    <w:rsid w:val="00DC0B53"/>
    <w:rsid w:val="00DC18F9"/>
    <w:rsid w:val="00DC2E25"/>
    <w:rsid w:val="00DC35E2"/>
    <w:rsid w:val="00DC391F"/>
    <w:rsid w:val="00DC4374"/>
    <w:rsid w:val="00DC44D9"/>
    <w:rsid w:val="00DC576C"/>
    <w:rsid w:val="00DC5ECE"/>
    <w:rsid w:val="00DC69F1"/>
    <w:rsid w:val="00DC6F85"/>
    <w:rsid w:val="00DD000E"/>
    <w:rsid w:val="00DD015F"/>
    <w:rsid w:val="00DD05A4"/>
    <w:rsid w:val="00DD0ABF"/>
    <w:rsid w:val="00DD12A1"/>
    <w:rsid w:val="00DD18E2"/>
    <w:rsid w:val="00DD38F6"/>
    <w:rsid w:val="00DD41C7"/>
    <w:rsid w:val="00DD60FD"/>
    <w:rsid w:val="00DD6AA0"/>
    <w:rsid w:val="00DD715F"/>
    <w:rsid w:val="00DD7BFB"/>
    <w:rsid w:val="00DE04A8"/>
    <w:rsid w:val="00DE0512"/>
    <w:rsid w:val="00DE0968"/>
    <w:rsid w:val="00DE0BE2"/>
    <w:rsid w:val="00DE1060"/>
    <w:rsid w:val="00DE17CA"/>
    <w:rsid w:val="00DE185A"/>
    <w:rsid w:val="00DE2A42"/>
    <w:rsid w:val="00DE2E95"/>
    <w:rsid w:val="00DE4765"/>
    <w:rsid w:val="00DE571E"/>
    <w:rsid w:val="00DE76AB"/>
    <w:rsid w:val="00DE77C3"/>
    <w:rsid w:val="00DF0506"/>
    <w:rsid w:val="00DF199F"/>
    <w:rsid w:val="00DF29D4"/>
    <w:rsid w:val="00DF5AAB"/>
    <w:rsid w:val="00DF734C"/>
    <w:rsid w:val="00E01262"/>
    <w:rsid w:val="00E01AB2"/>
    <w:rsid w:val="00E01D7D"/>
    <w:rsid w:val="00E0213F"/>
    <w:rsid w:val="00E0299C"/>
    <w:rsid w:val="00E0372B"/>
    <w:rsid w:val="00E03F6C"/>
    <w:rsid w:val="00E04DA0"/>
    <w:rsid w:val="00E04F7D"/>
    <w:rsid w:val="00E05083"/>
    <w:rsid w:val="00E05F77"/>
    <w:rsid w:val="00E05F7F"/>
    <w:rsid w:val="00E1077E"/>
    <w:rsid w:val="00E10962"/>
    <w:rsid w:val="00E11B00"/>
    <w:rsid w:val="00E126EA"/>
    <w:rsid w:val="00E13FFB"/>
    <w:rsid w:val="00E143DA"/>
    <w:rsid w:val="00E149F8"/>
    <w:rsid w:val="00E14C7A"/>
    <w:rsid w:val="00E14F58"/>
    <w:rsid w:val="00E15652"/>
    <w:rsid w:val="00E17ADF"/>
    <w:rsid w:val="00E20FA0"/>
    <w:rsid w:val="00E22C95"/>
    <w:rsid w:val="00E23228"/>
    <w:rsid w:val="00E23882"/>
    <w:rsid w:val="00E23A50"/>
    <w:rsid w:val="00E24192"/>
    <w:rsid w:val="00E24D38"/>
    <w:rsid w:val="00E24F47"/>
    <w:rsid w:val="00E2547A"/>
    <w:rsid w:val="00E25813"/>
    <w:rsid w:val="00E2622B"/>
    <w:rsid w:val="00E26446"/>
    <w:rsid w:val="00E26BD8"/>
    <w:rsid w:val="00E27FBA"/>
    <w:rsid w:val="00E3027E"/>
    <w:rsid w:val="00E31405"/>
    <w:rsid w:val="00E315D3"/>
    <w:rsid w:val="00E31912"/>
    <w:rsid w:val="00E31D28"/>
    <w:rsid w:val="00E32684"/>
    <w:rsid w:val="00E33F77"/>
    <w:rsid w:val="00E3428C"/>
    <w:rsid w:val="00E35D87"/>
    <w:rsid w:val="00E36D56"/>
    <w:rsid w:val="00E37443"/>
    <w:rsid w:val="00E37752"/>
    <w:rsid w:val="00E37A00"/>
    <w:rsid w:val="00E37FE1"/>
    <w:rsid w:val="00E404C4"/>
    <w:rsid w:val="00E406FB"/>
    <w:rsid w:val="00E41A67"/>
    <w:rsid w:val="00E42629"/>
    <w:rsid w:val="00E4322E"/>
    <w:rsid w:val="00E43809"/>
    <w:rsid w:val="00E44B54"/>
    <w:rsid w:val="00E44C15"/>
    <w:rsid w:val="00E4537B"/>
    <w:rsid w:val="00E46B02"/>
    <w:rsid w:val="00E50DCE"/>
    <w:rsid w:val="00E514E4"/>
    <w:rsid w:val="00E5154F"/>
    <w:rsid w:val="00E51EC5"/>
    <w:rsid w:val="00E52BC8"/>
    <w:rsid w:val="00E53533"/>
    <w:rsid w:val="00E53B6A"/>
    <w:rsid w:val="00E5407B"/>
    <w:rsid w:val="00E5486F"/>
    <w:rsid w:val="00E55E74"/>
    <w:rsid w:val="00E56074"/>
    <w:rsid w:val="00E56609"/>
    <w:rsid w:val="00E6243F"/>
    <w:rsid w:val="00E62BC2"/>
    <w:rsid w:val="00E62C8F"/>
    <w:rsid w:val="00E63FEA"/>
    <w:rsid w:val="00E6425F"/>
    <w:rsid w:val="00E64FE4"/>
    <w:rsid w:val="00E65993"/>
    <w:rsid w:val="00E66798"/>
    <w:rsid w:val="00E66CA3"/>
    <w:rsid w:val="00E66F4B"/>
    <w:rsid w:val="00E71525"/>
    <w:rsid w:val="00E71FB1"/>
    <w:rsid w:val="00E73842"/>
    <w:rsid w:val="00E76862"/>
    <w:rsid w:val="00E76BFB"/>
    <w:rsid w:val="00E7770E"/>
    <w:rsid w:val="00E77E70"/>
    <w:rsid w:val="00E811DB"/>
    <w:rsid w:val="00E81B07"/>
    <w:rsid w:val="00E81F15"/>
    <w:rsid w:val="00E8276A"/>
    <w:rsid w:val="00E845A1"/>
    <w:rsid w:val="00E84BCA"/>
    <w:rsid w:val="00E859CF"/>
    <w:rsid w:val="00E863D5"/>
    <w:rsid w:val="00E87C19"/>
    <w:rsid w:val="00E91364"/>
    <w:rsid w:val="00E92861"/>
    <w:rsid w:val="00E93106"/>
    <w:rsid w:val="00E93B30"/>
    <w:rsid w:val="00E949B2"/>
    <w:rsid w:val="00E94F58"/>
    <w:rsid w:val="00E95372"/>
    <w:rsid w:val="00EA04B1"/>
    <w:rsid w:val="00EA0739"/>
    <w:rsid w:val="00EA16F7"/>
    <w:rsid w:val="00EA22C4"/>
    <w:rsid w:val="00EA38F3"/>
    <w:rsid w:val="00EA41C2"/>
    <w:rsid w:val="00EA4394"/>
    <w:rsid w:val="00EA500E"/>
    <w:rsid w:val="00EA712B"/>
    <w:rsid w:val="00EA7661"/>
    <w:rsid w:val="00EA78CF"/>
    <w:rsid w:val="00EB24D4"/>
    <w:rsid w:val="00EB2A69"/>
    <w:rsid w:val="00EB2C6F"/>
    <w:rsid w:val="00EB2E48"/>
    <w:rsid w:val="00EB3A9D"/>
    <w:rsid w:val="00EB57C0"/>
    <w:rsid w:val="00EB5A4A"/>
    <w:rsid w:val="00EB6E9C"/>
    <w:rsid w:val="00EC0406"/>
    <w:rsid w:val="00EC1955"/>
    <w:rsid w:val="00EC2E24"/>
    <w:rsid w:val="00EC4C60"/>
    <w:rsid w:val="00EC5280"/>
    <w:rsid w:val="00EC7147"/>
    <w:rsid w:val="00EC7233"/>
    <w:rsid w:val="00EC7A2F"/>
    <w:rsid w:val="00EC7C44"/>
    <w:rsid w:val="00ED0841"/>
    <w:rsid w:val="00ED0C91"/>
    <w:rsid w:val="00ED2619"/>
    <w:rsid w:val="00ED2A55"/>
    <w:rsid w:val="00ED3942"/>
    <w:rsid w:val="00ED4729"/>
    <w:rsid w:val="00ED4DD9"/>
    <w:rsid w:val="00ED547E"/>
    <w:rsid w:val="00ED5C6C"/>
    <w:rsid w:val="00ED5CA6"/>
    <w:rsid w:val="00EE011B"/>
    <w:rsid w:val="00EE05D8"/>
    <w:rsid w:val="00EE1F4B"/>
    <w:rsid w:val="00EE213D"/>
    <w:rsid w:val="00EE23D5"/>
    <w:rsid w:val="00EE246C"/>
    <w:rsid w:val="00EE2C6D"/>
    <w:rsid w:val="00EE3D29"/>
    <w:rsid w:val="00EE3E49"/>
    <w:rsid w:val="00EE4034"/>
    <w:rsid w:val="00EE4A6B"/>
    <w:rsid w:val="00EE50B2"/>
    <w:rsid w:val="00EE6DA4"/>
    <w:rsid w:val="00EE7150"/>
    <w:rsid w:val="00EF07B1"/>
    <w:rsid w:val="00EF13D8"/>
    <w:rsid w:val="00EF2012"/>
    <w:rsid w:val="00EF246D"/>
    <w:rsid w:val="00EF2A81"/>
    <w:rsid w:val="00EF3D33"/>
    <w:rsid w:val="00EF5CDF"/>
    <w:rsid w:val="00EF613F"/>
    <w:rsid w:val="00EF6223"/>
    <w:rsid w:val="00EF6FF0"/>
    <w:rsid w:val="00EF7729"/>
    <w:rsid w:val="00F0098C"/>
    <w:rsid w:val="00F028E2"/>
    <w:rsid w:val="00F02FDC"/>
    <w:rsid w:val="00F0769D"/>
    <w:rsid w:val="00F10CD4"/>
    <w:rsid w:val="00F1297A"/>
    <w:rsid w:val="00F14FBE"/>
    <w:rsid w:val="00F15CC4"/>
    <w:rsid w:val="00F16134"/>
    <w:rsid w:val="00F16577"/>
    <w:rsid w:val="00F1667B"/>
    <w:rsid w:val="00F16FE0"/>
    <w:rsid w:val="00F1751A"/>
    <w:rsid w:val="00F203D0"/>
    <w:rsid w:val="00F204D6"/>
    <w:rsid w:val="00F20D34"/>
    <w:rsid w:val="00F21154"/>
    <w:rsid w:val="00F21231"/>
    <w:rsid w:val="00F21399"/>
    <w:rsid w:val="00F215C7"/>
    <w:rsid w:val="00F22BB9"/>
    <w:rsid w:val="00F22E77"/>
    <w:rsid w:val="00F24017"/>
    <w:rsid w:val="00F272AD"/>
    <w:rsid w:val="00F27948"/>
    <w:rsid w:val="00F27D1B"/>
    <w:rsid w:val="00F304A9"/>
    <w:rsid w:val="00F30FD1"/>
    <w:rsid w:val="00F32608"/>
    <w:rsid w:val="00F32757"/>
    <w:rsid w:val="00F32E4F"/>
    <w:rsid w:val="00F33EB0"/>
    <w:rsid w:val="00F3433E"/>
    <w:rsid w:val="00F347FE"/>
    <w:rsid w:val="00F349BB"/>
    <w:rsid w:val="00F355AB"/>
    <w:rsid w:val="00F36AC8"/>
    <w:rsid w:val="00F36B39"/>
    <w:rsid w:val="00F36CE9"/>
    <w:rsid w:val="00F37694"/>
    <w:rsid w:val="00F37B46"/>
    <w:rsid w:val="00F4175D"/>
    <w:rsid w:val="00F42358"/>
    <w:rsid w:val="00F43033"/>
    <w:rsid w:val="00F4306A"/>
    <w:rsid w:val="00F44EC3"/>
    <w:rsid w:val="00F4521E"/>
    <w:rsid w:val="00F45E00"/>
    <w:rsid w:val="00F46885"/>
    <w:rsid w:val="00F50D37"/>
    <w:rsid w:val="00F50F31"/>
    <w:rsid w:val="00F50FA6"/>
    <w:rsid w:val="00F517BB"/>
    <w:rsid w:val="00F52FAA"/>
    <w:rsid w:val="00F535C0"/>
    <w:rsid w:val="00F53872"/>
    <w:rsid w:val="00F53D15"/>
    <w:rsid w:val="00F5450E"/>
    <w:rsid w:val="00F54889"/>
    <w:rsid w:val="00F55CD1"/>
    <w:rsid w:val="00F561AB"/>
    <w:rsid w:val="00F56383"/>
    <w:rsid w:val="00F56534"/>
    <w:rsid w:val="00F57113"/>
    <w:rsid w:val="00F575C6"/>
    <w:rsid w:val="00F57773"/>
    <w:rsid w:val="00F578B6"/>
    <w:rsid w:val="00F57A05"/>
    <w:rsid w:val="00F57B47"/>
    <w:rsid w:val="00F61A0F"/>
    <w:rsid w:val="00F61A9C"/>
    <w:rsid w:val="00F627F0"/>
    <w:rsid w:val="00F62B4E"/>
    <w:rsid w:val="00F62C92"/>
    <w:rsid w:val="00F62F2D"/>
    <w:rsid w:val="00F63AB9"/>
    <w:rsid w:val="00F65238"/>
    <w:rsid w:val="00F65FA7"/>
    <w:rsid w:val="00F6691A"/>
    <w:rsid w:val="00F66A4B"/>
    <w:rsid w:val="00F704F1"/>
    <w:rsid w:val="00F71B73"/>
    <w:rsid w:val="00F723F9"/>
    <w:rsid w:val="00F72A8D"/>
    <w:rsid w:val="00F75D5A"/>
    <w:rsid w:val="00F76082"/>
    <w:rsid w:val="00F7643F"/>
    <w:rsid w:val="00F770AF"/>
    <w:rsid w:val="00F7770B"/>
    <w:rsid w:val="00F813C5"/>
    <w:rsid w:val="00F821D8"/>
    <w:rsid w:val="00F832FA"/>
    <w:rsid w:val="00F8375F"/>
    <w:rsid w:val="00F83AB2"/>
    <w:rsid w:val="00F83C7A"/>
    <w:rsid w:val="00F86ADC"/>
    <w:rsid w:val="00F87D77"/>
    <w:rsid w:val="00F905DD"/>
    <w:rsid w:val="00F9111F"/>
    <w:rsid w:val="00F91570"/>
    <w:rsid w:val="00F94F57"/>
    <w:rsid w:val="00F966F8"/>
    <w:rsid w:val="00FA12ED"/>
    <w:rsid w:val="00FA2DD9"/>
    <w:rsid w:val="00FA3B7F"/>
    <w:rsid w:val="00FA4385"/>
    <w:rsid w:val="00FA4861"/>
    <w:rsid w:val="00FA4E30"/>
    <w:rsid w:val="00FA5C1E"/>
    <w:rsid w:val="00FA679C"/>
    <w:rsid w:val="00FA7348"/>
    <w:rsid w:val="00FA7A48"/>
    <w:rsid w:val="00FB0CA1"/>
    <w:rsid w:val="00FB2E16"/>
    <w:rsid w:val="00FB3122"/>
    <w:rsid w:val="00FB5873"/>
    <w:rsid w:val="00FB62C4"/>
    <w:rsid w:val="00FB6B74"/>
    <w:rsid w:val="00FB6B87"/>
    <w:rsid w:val="00FB6B98"/>
    <w:rsid w:val="00FC00B5"/>
    <w:rsid w:val="00FC0675"/>
    <w:rsid w:val="00FC0EF8"/>
    <w:rsid w:val="00FC1124"/>
    <w:rsid w:val="00FC1425"/>
    <w:rsid w:val="00FC3C06"/>
    <w:rsid w:val="00FC4870"/>
    <w:rsid w:val="00FC5442"/>
    <w:rsid w:val="00FC64AB"/>
    <w:rsid w:val="00FD04B3"/>
    <w:rsid w:val="00FD0DEF"/>
    <w:rsid w:val="00FD1286"/>
    <w:rsid w:val="00FD16A0"/>
    <w:rsid w:val="00FD22A5"/>
    <w:rsid w:val="00FD34D2"/>
    <w:rsid w:val="00FD3B9B"/>
    <w:rsid w:val="00FD3D71"/>
    <w:rsid w:val="00FD5378"/>
    <w:rsid w:val="00FD7155"/>
    <w:rsid w:val="00FD7563"/>
    <w:rsid w:val="00FD7D5B"/>
    <w:rsid w:val="00FE02CB"/>
    <w:rsid w:val="00FE4569"/>
    <w:rsid w:val="00FE4E83"/>
    <w:rsid w:val="00FE5F9C"/>
    <w:rsid w:val="00FE6D2D"/>
    <w:rsid w:val="00FE6DE3"/>
    <w:rsid w:val="00FE7DB2"/>
    <w:rsid w:val="00FF05E7"/>
    <w:rsid w:val="00FF36C1"/>
    <w:rsid w:val="00FF3E97"/>
    <w:rsid w:val="00FF740E"/>
    <w:rsid w:val="0742737E"/>
    <w:rsid w:val="08B1D96E"/>
    <w:rsid w:val="1315E805"/>
    <w:rsid w:val="13839797"/>
    <w:rsid w:val="15C06831"/>
    <w:rsid w:val="17859F01"/>
    <w:rsid w:val="1998282E"/>
    <w:rsid w:val="1BBDB659"/>
    <w:rsid w:val="20D603B0"/>
    <w:rsid w:val="2637235E"/>
    <w:rsid w:val="2C91C779"/>
    <w:rsid w:val="2DC646AC"/>
    <w:rsid w:val="2E8DF8B7"/>
    <w:rsid w:val="3406065E"/>
    <w:rsid w:val="3CB77574"/>
    <w:rsid w:val="48423B4C"/>
    <w:rsid w:val="4AB1D528"/>
    <w:rsid w:val="552BC440"/>
    <w:rsid w:val="558B806C"/>
    <w:rsid w:val="56E2866C"/>
    <w:rsid w:val="57B0CC4F"/>
    <w:rsid w:val="586CF6E2"/>
    <w:rsid w:val="5C5BC0D9"/>
    <w:rsid w:val="61852492"/>
    <w:rsid w:val="633064E5"/>
    <w:rsid w:val="69A1CAE3"/>
    <w:rsid w:val="6FBB0243"/>
    <w:rsid w:val="71499382"/>
    <w:rsid w:val="76D30E9E"/>
    <w:rsid w:val="77E60626"/>
    <w:rsid w:val="77EA73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2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6F"/>
    <w:pPr>
      <w:spacing w:before="120" w:after="120" w:line="240" w:lineRule="auto"/>
    </w:pPr>
    <w:rPr>
      <w:sz w:val="20"/>
    </w:rPr>
  </w:style>
  <w:style w:type="paragraph" w:styleId="Heading1">
    <w:name w:val="heading 1"/>
    <w:basedOn w:val="Normal"/>
    <w:next w:val="Normal"/>
    <w:link w:val="Heading1Char"/>
    <w:uiPriority w:val="9"/>
    <w:qFormat/>
    <w:rsid w:val="00917329"/>
    <w:pPr>
      <w:keepNext/>
      <w:keepLines/>
      <w:contextualSpacing/>
      <w:outlineLvl w:val="0"/>
    </w:pPr>
    <w:rPr>
      <w:rFonts w:asciiTheme="majorHAnsi" w:eastAsiaTheme="majorEastAsia" w:hAnsiTheme="majorHAnsi" w:cstheme="majorBidi"/>
      <w:color w:val="001B35" w:themeColor="accent1"/>
      <w:sz w:val="72"/>
      <w:szCs w:val="32"/>
    </w:rPr>
  </w:style>
  <w:style w:type="paragraph" w:styleId="Heading2">
    <w:name w:val="heading 2"/>
    <w:basedOn w:val="Normal"/>
    <w:next w:val="Normal"/>
    <w:link w:val="Heading2Char"/>
    <w:uiPriority w:val="9"/>
    <w:unhideWhenUsed/>
    <w:qFormat/>
    <w:rsid w:val="005E3B92"/>
    <w:pPr>
      <w:keepNext/>
      <w:keepLines/>
      <w:pageBreakBefore/>
      <w:spacing w:before="360"/>
      <w:outlineLvl w:val="1"/>
    </w:pPr>
    <w:rPr>
      <w:rFonts w:asciiTheme="majorHAnsi" w:eastAsiaTheme="majorEastAsia" w:hAnsiTheme="majorHAnsi" w:cstheme="majorBidi"/>
      <w:color w:val="15659B" w:themeColor="accent4"/>
      <w:sz w:val="48"/>
      <w:szCs w:val="48"/>
    </w:rPr>
  </w:style>
  <w:style w:type="paragraph" w:styleId="Heading3">
    <w:name w:val="heading 3"/>
    <w:basedOn w:val="Normal"/>
    <w:next w:val="Normal"/>
    <w:link w:val="Heading3Char"/>
    <w:uiPriority w:val="9"/>
    <w:unhideWhenUsed/>
    <w:qFormat/>
    <w:rsid w:val="00E04DA0"/>
    <w:pPr>
      <w:keepNext/>
      <w:keepLines/>
      <w:spacing w:before="240"/>
      <w:outlineLvl w:val="2"/>
    </w:pPr>
    <w:rPr>
      <w:rFonts w:asciiTheme="majorHAnsi" w:eastAsiaTheme="majorEastAsia" w:hAnsiTheme="majorHAnsi" w:cstheme="majorBidi"/>
      <w:color w:val="15659B" w:themeColor="accent4"/>
      <w:sz w:val="40"/>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903913"/>
    <w:pPr>
      <w:keepNext/>
      <w:keepLines/>
      <w:spacing w:before="40" w:after="16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917329"/>
    <w:rPr>
      <w:rFonts w:asciiTheme="majorHAnsi" w:eastAsiaTheme="majorEastAsia" w:hAnsiTheme="majorHAnsi" w:cstheme="majorBidi"/>
      <w:color w:val="001B35" w:themeColor="accent1"/>
      <w:sz w:val="72"/>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uiPriority w:val="9"/>
    <w:rsid w:val="005E3B92"/>
    <w:rPr>
      <w:rFonts w:asciiTheme="majorHAnsi" w:eastAsiaTheme="majorEastAsia" w:hAnsiTheme="majorHAnsi" w:cstheme="majorBidi"/>
      <w:color w:val="15659B" w:themeColor="accent4"/>
      <w:sz w:val="48"/>
      <w:szCs w:val="48"/>
    </w:rPr>
  </w:style>
  <w:style w:type="character" w:customStyle="1" w:styleId="Heading3Char">
    <w:name w:val="Heading 3 Char"/>
    <w:basedOn w:val="DefaultParagraphFont"/>
    <w:link w:val="Heading3"/>
    <w:uiPriority w:val="9"/>
    <w:rsid w:val="00E04DA0"/>
    <w:rPr>
      <w:rFonts w:asciiTheme="majorHAnsi" w:eastAsiaTheme="majorEastAsia" w:hAnsiTheme="majorHAnsi" w:cstheme="majorBidi"/>
      <w:color w:val="15659B" w:themeColor="accent4"/>
      <w:sz w:val="40"/>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l"/>
    <w:basedOn w:val="Normal"/>
    <w:link w:val="ListParagraphChar"/>
    <w:uiPriority w:val="34"/>
    <w:qFormat/>
    <w:rsid w:val="00090DDB"/>
    <w:p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2F6239"/>
    <w:pPr>
      <w:tabs>
        <w:tab w:val="right" w:leader="dot" w:pos="9016"/>
      </w:tabs>
      <w:spacing w:after="100"/>
      <w:ind w:left="221"/>
    </w:pPr>
    <w:rPr>
      <w:rFonts w:eastAsia="MS Gothic"/>
      <w:noProof/>
    </w:r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qFormat/>
    <w:rsid w:val="0066416C"/>
    <w:pPr>
      <w:contextualSpacing/>
      <w:outlineLvl w:val="0"/>
    </w:pPr>
    <w:rPr>
      <w:rFonts w:asciiTheme="majorHAnsi" w:eastAsiaTheme="majorEastAsia" w:hAnsiTheme="majorHAnsi" w:cstheme="majorBidi"/>
      <w:color w:val="001B35" w:themeColor="accent1"/>
      <w:spacing w:val="-10"/>
      <w:kern w:val="28"/>
      <w:sz w:val="72"/>
      <w:szCs w:val="72"/>
    </w:rPr>
  </w:style>
  <w:style w:type="character" w:customStyle="1" w:styleId="TitleChar">
    <w:name w:val="Title Char"/>
    <w:basedOn w:val="DefaultParagraphFont"/>
    <w:link w:val="Title"/>
    <w:uiPriority w:val="10"/>
    <w:rsid w:val="0066416C"/>
    <w:rPr>
      <w:rFonts w:asciiTheme="majorHAnsi" w:eastAsiaTheme="majorEastAsia" w:hAnsiTheme="majorHAnsi" w:cstheme="majorBidi"/>
      <w:color w:val="001B35" w:themeColor="accent1"/>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character" w:customStyle="1" w:styleId="Heading9Char">
    <w:name w:val="Heading 9 Char"/>
    <w:basedOn w:val="DefaultParagraphFont"/>
    <w:link w:val="Heading9"/>
    <w:rsid w:val="00903913"/>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903913"/>
  </w:style>
  <w:style w:type="paragraph" w:customStyle="1" w:styleId="Default">
    <w:name w:val="Default"/>
    <w:rsid w:val="0090391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903913"/>
    <w:pPr>
      <w:spacing w:before="0" w:line="259" w:lineRule="auto"/>
    </w:pPr>
    <w:rPr>
      <w:sz w:val="22"/>
    </w:rPr>
  </w:style>
  <w:style w:type="numbering" w:customStyle="1" w:styleId="Style1">
    <w:name w:val="Style1"/>
    <w:rsid w:val="00903913"/>
    <w:pPr>
      <w:numPr>
        <w:numId w:val="3"/>
      </w:numPr>
    </w:pPr>
  </w:style>
  <w:style w:type="paragraph" w:customStyle="1" w:styleId="tabletext">
    <w:name w:val="tabletext"/>
    <w:basedOn w:val="Normal"/>
    <w:rsid w:val="00903913"/>
    <w:pPr>
      <w:spacing w:before="100" w:beforeAutospacing="1" w:after="100" w:afterAutospacing="1" w:line="259" w:lineRule="auto"/>
    </w:pPr>
    <w:rPr>
      <w:sz w:val="22"/>
    </w:rPr>
  </w:style>
  <w:style w:type="character" w:styleId="LineNumber">
    <w:name w:val="line number"/>
    <w:basedOn w:val="DefaultParagraphFont"/>
    <w:uiPriority w:val="99"/>
    <w:semiHidden/>
    <w:unhideWhenUsed/>
    <w:rsid w:val="00903913"/>
  </w:style>
  <w:style w:type="paragraph" w:styleId="FootnoteText">
    <w:name w:val="footnote text"/>
    <w:basedOn w:val="Normal"/>
    <w:link w:val="FootnoteTextChar"/>
    <w:unhideWhenUsed/>
    <w:rsid w:val="00903913"/>
    <w:pPr>
      <w:spacing w:before="0" w:after="160" w:line="259" w:lineRule="auto"/>
    </w:pPr>
    <w:rPr>
      <w:szCs w:val="20"/>
    </w:rPr>
  </w:style>
  <w:style w:type="character" w:customStyle="1" w:styleId="FootnoteTextChar">
    <w:name w:val="Footnote Text Char"/>
    <w:basedOn w:val="DefaultParagraphFont"/>
    <w:link w:val="FootnoteText"/>
    <w:rsid w:val="00903913"/>
    <w:rPr>
      <w:sz w:val="20"/>
      <w:szCs w:val="20"/>
    </w:rPr>
  </w:style>
  <w:style w:type="character" w:styleId="FootnoteReference">
    <w:name w:val="footnote reference"/>
    <w:basedOn w:val="DefaultParagraphFont"/>
    <w:semiHidden/>
    <w:unhideWhenUsed/>
    <w:rsid w:val="00903913"/>
    <w:rPr>
      <w:vertAlign w:val="superscript"/>
    </w:rPr>
  </w:style>
  <w:style w:type="character" w:customStyle="1" w:styleId="UnresolvedMention1">
    <w:name w:val="Unresolved Mention1"/>
    <w:basedOn w:val="DefaultParagraphFont"/>
    <w:uiPriority w:val="99"/>
    <w:semiHidden/>
    <w:unhideWhenUsed/>
    <w:rsid w:val="00903913"/>
    <w:rPr>
      <w:color w:val="605E5C"/>
      <w:shd w:val="clear" w:color="auto" w:fill="E1DFDD"/>
    </w:rPr>
  </w:style>
  <w:style w:type="paragraph" w:customStyle="1" w:styleId="paragraph">
    <w:name w:val="paragraph"/>
    <w:aliases w:val="a"/>
    <w:basedOn w:val="Normal"/>
    <w:link w:val="paragraphChar"/>
    <w:rsid w:val="00903913"/>
    <w:pPr>
      <w:tabs>
        <w:tab w:val="right" w:pos="1531"/>
      </w:tabs>
      <w:spacing w:before="40" w:after="160" w:line="259" w:lineRule="auto"/>
      <w:ind w:left="1644" w:hanging="1644"/>
    </w:pPr>
    <w:rPr>
      <w:sz w:val="22"/>
      <w:szCs w:val="20"/>
    </w:rPr>
  </w:style>
  <w:style w:type="character" w:customStyle="1" w:styleId="paragraphChar">
    <w:name w:val="paragraph Char"/>
    <w:aliases w:val="a Char"/>
    <w:basedOn w:val="DefaultParagraphFont"/>
    <w:link w:val="paragraph"/>
    <w:locked/>
    <w:rsid w:val="00903913"/>
    <w:rPr>
      <w:szCs w:val="20"/>
    </w:rPr>
  </w:style>
  <w:style w:type="paragraph" w:customStyle="1" w:styleId="paragraphsub">
    <w:name w:val="paragraph(sub)"/>
    <w:aliases w:val="aa"/>
    <w:basedOn w:val="Normal"/>
    <w:rsid w:val="00903913"/>
    <w:pPr>
      <w:tabs>
        <w:tab w:val="right" w:pos="1985"/>
      </w:tabs>
      <w:spacing w:before="40" w:after="160" w:line="259" w:lineRule="auto"/>
      <w:ind w:left="2098" w:hanging="2098"/>
    </w:pPr>
    <w:rPr>
      <w:sz w:val="22"/>
      <w:szCs w:val="20"/>
    </w:rPr>
  </w:style>
  <w:style w:type="numbering" w:styleId="1ai">
    <w:name w:val="Outline List 1"/>
    <w:basedOn w:val="NoList"/>
    <w:semiHidden/>
    <w:unhideWhenUsed/>
    <w:rsid w:val="00903913"/>
    <w:pPr>
      <w:numPr>
        <w:numId w:val="4"/>
      </w:numPr>
    </w:pPr>
  </w:style>
  <w:style w:type="paragraph" w:customStyle="1" w:styleId="ShortT">
    <w:name w:val="ShortT"/>
    <w:basedOn w:val="Normal"/>
    <w:next w:val="Normal"/>
    <w:qFormat/>
    <w:rsid w:val="00903913"/>
    <w:pPr>
      <w:spacing w:before="0" w:after="160" w:line="259" w:lineRule="auto"/>
    </w:pPr>
    <w:rPr>
      <w:b/>
      <w:sz w:val="40"/>
      <w:szCs w:val="20"/>
    </w:rPr>
  </w:style>
  <w:style w:type="paragraph" w:customStyle="1" w:styleId="acthead5">
    <w:name w:val="acthead5"/>
    <w:basedOn w:val="Normal"/>
    <w:rsid w:val="00903913"/>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2">
    <w:name w:val="Style2"/>
    <w:uiPriority w:val="99"/>
    <w:rsid w:val="00903913"/>
    <w:pPr>
      <w:numPr>
        <w:numId w:val="5"/>
      </w:numPr>
    </w:pPr>
  </w:style>
  <w:style w:type="numbering" w:customStyle="1" w:styleId="Style3">
    <w:name w:val="Style3"/>
    <w:uiPriority w:val="99"/>
    <w:rsid w:val="00903913"/>
    <w:pPr>
      <w:numPr>
        <w:numId w:val="6"/>
      </w:numPr>
    </w:pPr>
  </w:style>
  <w:style w:type="numbering" w:customStyle="1" w:styleId="Style4">
    <w:name w:val="Style4"/>
    <w:uiPriority w:val="99"/>
    <w:rsid w:val="00903913"/>
    <w:pPr>
      <w:numPr>
        <w:numId w:val="7"/>
      </w:numPr>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l Char"/>
    <w:basedOn w:val="DefaultParagraphFont"/>
    <w:link w:val="ListParagraph"/>
    <w:uiPriority w:val="34"/>
    <w:qFormat/>
    <w:locked/>
    <w:rsid w:val="00903913"/>
    <w:rPr>
      <w:sz w:val="20"/>
    </w:rPr>
  </w:style>
  <w:style w:type="paragraph" w:styleId="PlainText">
    <w:name w:val="Plain Text"/>
    <w:basedOn w:val="Normal"/>
    <w:link w:val="PlainTextChar"/>
    <w:uiPriority w:val="99"/>
    <w:unhideWhenUsed/>
    <w:rsid w:val="00903913"/>
    <w:pPr>
      <w:spacing w:before="0" w:after="0"/>
    </w:pPr>
    <w:rPr>
      <w:rFonts w:ascii="Calibri" w:hAnsi="Calibri"/>
      <w:sz w:val="22"/>
      <w:szCs w:val="21"/>
    </w:rPr>
  </w:style>
  <w:style w:type="character" w:customStyle="1" w:styleId="PlainTextChar">
    <w:name w:val="Plain Text Char"/>
    <w:basedOn w:val="DefaultParagraphFont"/>
    <w:link w:val="PlainText"/>
    <w:uiPriority w:val="99"/>
    <w:rsid w:val="00903913"/>
    <w:rPr>
      <w:rFonts w:ascii="Calibri" w:hAnsi="Calibri"/>
      <w:szCs w:val="21"/>
    </w:rPr>
  </w:style>
  <w:style w:type="numbering" w:customStyle="1" w:styleId="Style5">
    <w:name w:val="Style5"/>
    <w:uiPriority w:val="99"/>
    <w:rsid w:val="00903913"/>
    <w:pPr>
      <w:numPr>
        <w:numId w:val="8"/>
      </w:numPr>
    </w:pPr>
  </w:style>
  <w:style w:type="numbering" w:customStyle="1" w:styleId="DISR">
    <w:name w:val="DISR"/>
    <w:uiPriority w:val="99"/>
    <w:rsid w:val="00ED0841"/>
    <w:pPr>
      <w:numPr>
        <w:numId w:val="9"/>
      </w:numPr>
    </w:pPr>
  </w:style>
  <w:style w:type="character" w:styleId="SubtleReference">
    <w:name w:val="Subtle Reference"/>
    <w:basedOn w:val="DefaultParagraphFont"/>
    <w:uiPriority w:val="31"/>
    <w:qFormat/>
    <w:rsid w:val="0028017D"/>
    <w:rPr>
      <w:smallCaps/>
      <w:color w:val="5A5A5A" w:themeColor="text1" w:themeTint="A5"/>
    </w:rPr>
  </w:style>
  <w:style w:type="character" w:customStyle="1" w:styleId="normaltextrun">
    <w:name w:val="normaltextrun"/>
    <w:basedOn w:val="DefaultParagraphFont"/>
    <w:rsid w:val="00D52D56"/>
  </w:style>
  <w:style w:type="character" w:customStyle="1" w:styleId="eop">
    <w:name w:val="eop"/>
    <w:basedOn w:val="DefaultParagraphFont"/>
    <w:rsid w:val="00D52D56"/>
  </w:style>
  <w:style w:type="paragraph" w:styleId="BodyText">
    <w:name w:val="Body Text"/>
    <w:basedOn w:val="Normal"/>
    <w:link w:val="BodyTextChar"/>
    <w:uiPriority w:val="1"/>
    <w:semiHidden/>
    <w:unhideWhenUsed/>
    <w:qFormat/>
    <w:rsid w:val="00B86287"/>
    <w:pPr>
      <w:widowControl w:val="0"/>
      <w:autoSpaceDE w:val="0"/>
      <w:autoSpaceDN w:val="0"/>
      <w:spacing w:after="0"/>
      <w:ind w:left="479"/>
    </w:pPr>
    <w:rPr>
      <w:rFonts w:ascii="Calibri" w:eastAsia="Calibri" w:hAnsi="Calibri" w:cs="Calibri"/>
      <w:szCs w:val="20"/>
      <w:lang w:val="en-US"/>
    </w:rPr>
  </w:style>
  <w:style w:type="character" w:customStyle="1" w:styleId="BodyTextChar">
    <w:name w:val="Body Text Char"/>
    <w:basedOn w:val="DefaultParagraphFont"/>
    <w:link w:val="BodyText"/>
    <w:uiPriority w:val="1"/>
    <w:semiHidden/>
    <w:rsid w:val="00B86287"/>
    <w:rPr>
      <w:rFonts w:ascii="Calibri" w:eastAsia="Calibri" w:hAnsi="Calibri" w:cs="Calibri"/>
      <w:sz w:val="20"/>
      <w:szCs w:val="20"/>
      <w:lang w:val="en-US"/>
    </w:rPr>
  </w:style>
  <w:style w:type="numbering" w:customStyle="1" w:styleId="Style6">
    <w:name w:val="Style6"/>
    <w:uiPriority w:val="99"/>
    <w:rsid w:val="007C6AEA"/>
    <w:pPr>
      <w:numPr>
        <w:numId w:val="21"/>
      </w:numPr>
    </w:pPr>
  </w:style>
  <w:style w:type="numbering" w:customStyle="1" w:styleId="Style7">
    <w:name w:val="Style7"/>
    <w:uiPriority w:val="99"/>
    <w:rsid w:val="000E3C58"/>
    <w:pPr>
      <w:numPr>
        <w:numId w:val="22"/>
      </w:numPr>
    </w:pPr>
  </w:style>
  <w:style w:type="character" w:customStyle="1" w:styleId="findhit">
    <w:name w:val="findhit"/>
    <w:basedOn w:val="DefaultParagraphFont"/>
    <w:rsid w:val="00E406FB"/>
  </w:style>
  <w:style w:type="numbering" w:customStyle="1" w:styleId="Style14">
    <w:name w:val="Style14"/>
    <w:uiPriority w:val="99"/>
    <w:rsid w:val="006E7203"/>
    <w:pPr>
      <w:numPr>
        <w:numId w:val="26"/>
      </w:numPr>
    </w:pPr>
  </w:style>
  <w:style w:type="numbering" w:customStyle="1" w:styleId="Style19">
    <w:name w:val="Style19"/>
    <w:uiPriority w:val="99"/>
    <w:rsid w:val="00F575C6"/>
    <w:pPr>
      <w:numPr>
        <w:numId w:val="28"/>
      </w:numPr>
    </w:pPr>
  </w:style>
  <w:style w:type="numbering" w:customStyle="1" w:styleId="Style24">
    <w:name w:val="Style24"/>
    <w:uiPriority w:val="99"/>
    <w:rsid w:val="00F575C6"/>
    <w:pPr>
      <w:numPr>
        <w:numId w:val="29"/>
      </w:numPr>
    </w:pPr>
  </w:style>
  <w:style w:type="numbering" w:customStyle="1" w:styleId="Style10">
    <w:name w:val="Style10"/>
    <w:uiPriority w:val="99"/>
    <w:rsid w:val="00F575C6"/>
    <w:pPr>
      <w:numPr>
        <w:numId w:val="32"/>
      </w:numPr>
    </w:pPr>
  </w:style>
  <w:style w:type="numbering" w:customStyle="1" w:styleId="Style23">
    <w:name w:val="Style23"/>
    <w:uiPriority w:val="99"/>
    <w:rsid w:val="006218A0"/>
    <w:pPr>
      <w:numPr>
        <w:numId w:val="38"/>
      </w:numPr>
    </w:pPr>
  </w:style>
  <w:style w:type="numbering" w:customStyle="1" w:styleId="Style11">
    <w:name w:val="Style11"/>
    <w:uiPriority w:val="99"/>
    <w:rsid w:val="00480029"/>
    <w:pPr>
      <w:numPr>
        <w:numId w:val="42"/>
      </w:numPr>
    </w:pPr>
  </w:style>
  <w:style w:type="character" w:customStyle="1" w:styleId="cf01">
    <w:name w:val="cf01"/>
    <w:basedOn w:val="DefaultParagraphFont"/>
    <w:rsid w:val="009555E2"/>
    <w:rPr>
      <w:rFonts w:ascii="Segoe UI" w:hAnsi="Segoe UI" w:cs="Segoe UI" w:hint="default"/>
      <w:sz w:val="18"/>
      <w:szCs w:val="18"/>
    </w:rPr>
  </w:style>
  <w:style w:type="character" w:customStyle="1" w:styleId="wacimagecontainer">
    <w:name w:val="wacimagecontainer"/>
    <w:basedOn w:val="DefaultParagraphFont"/>
    <w:rsid w:val="009B4461"/>
  </w:style>
  <w:style w:type="character" w:styleId="SubtleEmphasis">
    <w:name w:val="Subtle Emphasis"/>
    <w:basedOn w:val="DefaultParagraphFont"/>
    <w:uiPriority w:val="19"/>
    <w:qFormat/>
    <w:rsid w:val="00B674CE"/>
    <w:rPr>
      <w:i/>
      <w:iCs/>
      <w:color w:val="404040" w:themeColor="text1" w:themeTint="BF"/>
    </w:rPr>
  </w:style>
  <w:style w:type="character" w:styleId="Mention">
    <w:name w:val="Mention"/>
    <w:basedOn w:val="DefaultParagraphFont"/>
    <w:uiPriority w:val="99"/>
    <w:unhideWhenUsed/>
    <w:rsid w:val="000F65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19014506">
      <w:bodyDiv w:val="1"/>
      <w:marLeft w:val="0"/>
      <w:marRight w:val="0"/>
      <w:marTop w:val="0"/>
      <w:marBottom w:val="0"/>
      <w:divBdr>
        <w:top w:val="none" w:sz="0" w:space="0" w:color="auto"/>
        <w:left w:val="none" w:sz="0" w:space="0" w:color="auto"/>
        <w:bottom w:val="none" w:sz="0" w:space="0" w:color="auto"/>
        <w:right w:val="none" w:sz="0" w:space="0" w:color="auto"/>
      </w:divBdr>
    </w:div>
    <w:div w:id="110100501">
      <w:bodyDiv w:val="1"/>
      <w:marLeft w:val="0"/>
      <w:marRight w:val="0"/>
      <w:marTop w:val="0"/>
      <w:marBottom w:val="0"/>
      <w:divBdr>
        <w:top w:val="none" w:sz="0" w:space="0" w:color="auto"/>
        <w:left w:val="none" w:sz="0" w:space="0" w:color="auto"/>
        <w:bottom w:val="none" w:sz="0" w:space="0" w:color="auto"/>
        <w:right w:val="none" w:sz="0" w:space="0" w:color="auto"/>
      </w:divBdr>
      <w:divsChild>
        <w:div w:id="211117566">
          <w:marLeft w:val="0"/>
          <w:marRight w:val="0"/>
          <w:marTop w:val="0"/>
          <w:marBottom w:val="0"/>
          <w:divBdr>
            <w:top w:val="none" w:sz="0" w:space="0" w:color="auto"/>
            <w:left w:val="none" w:sz="0" w:space="0" w:color="auto"/>
            <w:bottom w:val="none" w:sz="0" w:space="0" w:color="auto"/>
            <w:right w:val="none" w:sz="0" w:space="0" w:color="auto"/>
          </w:divBdr>
        </w:div>
        <w:div w:id="290289408">
          <w:marLeft w:val="0"/>
          <w:marRight w:val="0"/>
          <w:marTop w:val="0"/>
          <w:marBottom w:val="0"/>
          <w:divBdr>
            <w:top w:val="none" w:sz="0" w:space="0" w:color="auto"/>
            <w:left w:val="none" w:sz="0" w:space="0" w:color="auto"/>
            <w:bottom w:val="none" w:sz="0" w:space="0" w:color="auto"/>
            <w:right w:val="none" w:sz="0" w:space="0" w:color="auto"/>
          </w:divBdr>
        </w:div>
        <w:div w:id="398020028">
          <w:marLeft w:val="0"/>
          <w:marRight w:val="0"/>
          <w:marTop w:val="0"/>
          <w:marBottom w:val="0"/>
          <w:divBdr>
            <w:top w:val="none" w:sz="0" w:space="0" w:color="auto"/>
            <w:left w:val="none" w:sz="0" w:space="0" w:color="auto"/>
            <w:bottom w:val="none" w:sz="0" w:space="0" w:color="auto"/>
            <w:right w:val="none" w:sz="0" w:space="0" w:color="auto"/>
          </w:divBdr>
        </w:div>
        <w:div w:id="500899962">
          <w:marLeft w:val="0"/>
          <w:marRight w:val="0"/>
          <w:marTop w:val="0"/>
          <w:marBottom w:val="0"/>
          <w:divBdr>
            <w:top w:val="none" w:sz="0" w:space="0" w:color="auto"/>
            <w:left w:val="none" w:sz="0" w:space="0" w:color="auto"/>
            <w:bottom w:val="none" w:sz="0" w:space="0" w:color="auto"/>
            <w:right w:val="none" w:sz="0" w:space="0" w:color="auto"/>
          </w:divBdr>
        </w:div>
        <w:div w:id="836654731">
          <w:marLeft w:val="0"/>
          <w:marRight w:val="0"/>
          <w:marTop w:val="0"/>
          <w:marBottom w:val="0"/>
          <w:divBdr>
            <w:top w:val="none" w:sz="0" w:space="0" w:color="auto"/>
            <w:left w:val="none" w:sz="0" w:space="0" w:color="auto"/>
            <w:bottom w:val="none" w:sz="0" w:space="0" w:color="auto"/>
            <w:right w:val="none" w:sz="0" w:space="0" w:color="auto"/>
          </w:divBdr>
        </w:div>
        <w:div w:id="1589001945">
          <w:marLeft w:val="0"/>
          <w:marRight w:val="0"/>
          <w:marTop w:val="0"/>
          <w:marBottom w:val="0"/>
          <w:divBdr>
            <w:top w:val="none" w:sz="0" w:space="0" w:color="auto"/>
            <w:left w:val="none" w:sz="0" w:space="0" w:color="auto"/>
            <w:bottom w:val="none" w:sz="0" w:space="0" w:color="auto"/>
            <w:right w:val="none" w:sz="0" w:space="0" w:color="auto"/>
          </w:divBdr>
        </w:div>
        <w:div w:id="1733769068">
          <w:marLeft w:val="0"/>
          <w:marRight w:val="0"/>
          <w:marTop w:val="0"/>
          <w:marBottom w:val="0"/>
          <w:divBdr>
            <w:top w:val="none" w:sz="0" w:space="0" w:color="auto"/>
            <w:left w:val="none" w:sz="0" w:space="0" w:color="auto"/>
            <w:bottom w:val="none" w:sz="0" w:space="0" w:color="auto"/>
            <w:right w:val="none" w:sz="0" w:space="0" w:color="auto"/>
          </w:divBdr>
        </w:div>
        <w:div w:id="2040356207">
          <w:marLeft w:val="0"/>
          <w:marRight w:val="0"/>
          <w:marTop w:val="0"/>
          <w:marBottom w:val="0"/>
          <w:divBdr>
            <w:top w:val="none" w:sz="0" w:space="0" w:color="auto"/>
            <w:left w:val="none" w:sz="0" w:space="0" w:color="auto"/>
            <w:bottom w:val="none" w:sz="0" w:space="0" w:color="auto"/>
            <w:right w:val="none" w:sz="0" w:space="0" w:color="auto"/>
          </w:divBdr>
        </w:div>
      </w:divsChild>
    </w:div>
    <w:div w:id="204372018">
      <w:bodyDiv w:val="1"/>
      <w:marLeft w:val="0"/>
      <w:marRight w:val="0"/>
      <w:marTop w:val="0"/>
      <w:marBottom w:val="0"/>
      <w:divBdr>
        <w:top w:val="none" w:sz="0" w:space="0" w:color="auto"/>
        <w:left w:val="none" w:sz="0" w:space="0" w:color="auto"/>
        <w:bottom w:val="none" w:sz="0" w:space="0" w:color="auto"/>
        <w:right w:val="none" w:sz="0" w:space="0" w:color="auto"/>
      </w:divBdr>
    </w:div>
    <w:div w:id="354230283">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361250747">
      <w:bodyDiv w:val="1"/>
      <w:marLeft w:val="0"/>
      <w:marRight w:val="0"/>
      <w:marTop w:val="0"/>
      <w:marBottom w:val="0"/>
      <w:divBdr>
        <w:top w:val="none" w:sz="0" w:space="0" w:color="auto"/>
        <w:left w:val="none" w:sz="0" w:space="0" w:color="auto"/>
        <w:bottom w:val="none" w:sz="0" w:space="0" w:color="auto"/>
        <w:right w:val="none" w:sz="0" w:space="0" w:color="auto"/>
      </w:divBdr>
    </w:div>
    <w:div w:id="367027276">
      <w:bodyDiv w:val="1"/>
      <w:marLeft w:val="0"/>
      <w:marRight w:val="0"/>
      <w:marTop w:val="0"/>
      <w:marBottom w:val="0"/>
      <w:divBdr>
        <w:top w:val="none" w:sz="0" w:space="0" w:color="auto"/>
        <w:left w:val="none" w:sz="0" w:space="0" w:color="auto"/>
        <w:bottom w:val="none" w:sz="0" w:space="0" w:color="auto"/>
        <w:right w:val="none" w:sz="0" w:space="0" w:color="auto"/>
      </w:divBdr>
    </w:div>
    <w:div w:id="377515926">
      <w:bodyDiv w:val="1"/>
      <w:marLeft w:val="0"/>
      <w:marRight w:val="0"/>
      <w:marTop w:val="0"/>
      <w:marBottom w:val="0"/>
      <w:divBdr>
        <w:top w:val="none" w:sz="0" w:space="0" w:color="auto"/>
        <w:left w:val="none" w:sz="0" w:space="0" w:color="auto"/>
        <w:bottom w:val="none" w:sz="0" w:space="0" w:color="auto"/>
        <w:right w:val="none" w:sz="0" w:space="0" w:color="auto"/>
      </w:divBdr>
    </w:div>
    <w:div w:id="40515443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446587877">
      <w:bodyDiv w:val="1"/>
      <w:marLeft w:val="0"/>
      <w:marRight w:val="0"/>
      <w:marTop w:val="0"/>
      <w:marBottom w:val="0"/>
      <w:divBdr>
        <w:top w:val="none" w:sz="0" w:space="0" w:color="auto"/>
        <w:left w:val="none" w:sz="0" w:space="0" w:color="auto"/>
        <w:bottom w:val="none" w:sz="0" w:space="0" w:color="auto"/>
        <w:right w:val="none" w:sz="0" w:space="0" w:color="auto"/>
      </w:divBdr>
    </w:div>
    <w:div w:id="456606134">
      <w:bodyDiv w:val="1"/>
      <w:marLeft w:val="0"/>
      <w:marRight w:val="0"/>
      <w:marTop w:val="0"/>
      <w:marBottom w:val="0"/>
      <w:divBdr>
        <w:top w:val="none" w:sz="0" w:space="0" w:color="auto"/>
        <w:left w:val="none" w:sz="0" w:space="0" w:color="auto"/>
        <w:bottom w:val="none" w:sz="0" w:space="0" w:color="auto"/>
        <w:right w:val="none" w:sz="0" w:space="0" w:color="auto"/>
      </w:divBdr>
    </w:div>
    <w:div w:id="671222202">
      <w:bodyDiv w:val="1"/>
      <w:marLeft w:val="0"/>
      <w:marRight w:val="0"/>
      <w:marTop w:val="0"/>
      <w:marBottom w:val="0"/>
      <w:divBdr>
        <w:top w:val="none" w:sz="0" w:space="0" w:color="auto"/>
        <w:left w:val="none" w:sz="0" w:space="0" w:color="auto"/>
        <w:bottom w:val="none" w:sz="0" w:space="0" w:color="auto"/>
        <w:right w:val="none" w:sz="0" w:space="0" w:color="auto"/>
      </w:divBdr>
      <w:divsChild>
        <w:div w:id="940260391">
          <w:marLeft w:val="0"/>
          <w:marRight w:val="0"/>
          <w:marTop w:val="0"/>
          <w:marBottom w:val="0"/>
          <w:divBdr>
            <w:top w:val="none" w:sz="0" w:space="0" w:color="auto"/>
            <w:left w:val="none" w:sz="0" w:space="0" w:color="auto"/>
            <w:bottom w:val="none" w:sz="0" w:space="0" w:color="auto"/>
            <w:right w:val="none" w:sz="0" w:space="0" w:color="auto"/>
          </w:divBdr>
          <w:divsChild>
            <w:div w:id="673843573">
              <w:marLeft w:val="0"/>
              <w:marRight w:val="0"/>
              <w:marTop w:val="0"/>
              <w:marBottom w:val="0"/>
              <w:divBdr>
                <w:top w:val="none" w:sz="0" w:space="0" w:color="auto"/>
                <w:left w:val="none" w:sz="0" w:space="0" w:color="auto"/>
                <w:bottom w:val="none" w:sz="0" w:space="0" w:color="auto"/>
                <w:right w:val="none" w:sz="0" w:space="0" w:color="auto"/>
              </w:divBdr>
            </w:div>
            <w:div w:id="1341469793">
              <w:marLeft w:val="0"/>
              <w:marRight w:val="0"/>
              <w:marTop w:val="0"/>
              <w:marBottom w:val="0"/>
              <w:divBdr>
                <w:top w:val="none" w:sz="0" w:space="0" w:color="auto"/>
                <w:left w:val="none" w:sz="0" w:space="0" w:color="auto"/>
                <w:bottom w:val="none" w:sz="0" w:space="0" w:color="auto"/>
                <w:right w:val="none" w:sz="0" w:space="0" w:color="auto"/>
              </w:divBdr>
            </w:div>
            <w:div w:id="1762288485">
              <w:marLeft w:val="0"/>
              <w:marRight w:val="0"/>
              <w:marTop w:val="0"/>
              <w:marBottom w:val="0"/>
              <w:divBdr>
                <w:top w:val="none" w:sz="0" w:space="0" w:color="auto"/>
                <w:left w:val="none" w:sz="0" w:space="0" w:color="auto"/>
                <w:bottom w:val="none" w:sz="0" w:space="0" w:color="auto"/>
                <w:right w:val="none" w:sz="0" w:space="0" w:color="auto"/>
              </w:divBdr>
            </w:div>
          </w:divsChild>
        </w:div>
        <w:div w:id="1418284302">
          <w:marLeft w:val="0"/>
          <w:marRight w:val="0"/>
          <w:marTop w:val="0"/>
          <w:marBottom w:val="0"/>
          <w:divBdr>
            <w:top w:val="none" w:sz="0" w:space="0" w:color="auto"/>
            <w:left w:val="none" w:sz="0" w:space="0" w:color="auto"/>
            <w:bottom w:val="none" w:sz="0" w:space="0" w:color="auto"/>
            <w:right w:val="none" w:sz="0" w:space="0" w:color="auto"/>
          </w:divBdr>
          <w:divsChild>
            <w:div w:id="266157089">
              <w:marLeft w:val="0"/>
              <w:marRight w:val="0"/>
              <w:marTop w:val="0"/>
              <w:marBottom w:val="0"/>
              <w:divBdr>
                <w:top w:val="none" w:sz="0" w:space="0" w:color="auto"/>
                <w:left w:val="none" w:sz="0" w:space="0" w:color="auto"/>
                <w:bottom w:val="none" w:sz="0" w:space="0" w:color="auto"/>
                <w:right w:val="none" w:sz="0" w:space="0" w:color="auto"/>
              </w:divBdr>
            </w:div>
            <w:div w:id="575867242">
              <w:marLeft w:val="0"/>
              <w:marRight w:val="0"/>
              <w:marTop w:val="0"/>
              <w:marBottom w:val="0"/>
              <w:divBdr>
                <w:top w:val="none" w:sz="0" w:space="0" w:color="auto"/>
                <w:left w:val="none" w:sz="0" w:space="0" w:color="auto"/>
                <w:bottom w:val="none" w:sz="0" w:space="0" w:color="auto"/>
                <w:right w:val="none" w:sz="0" w:space="0" w:color="auto"/>
              </w:divBdr>
            </w:div>
            <w:div w:id="652490878">
              <w:marLeft w:val="0"/>
              <w:marRight w:val="0"/>
              <w:marTop w:val="0"/>
              <w:marBottom w:val="0"/>
              <w:divBdr>
                <w:top w:val="none" w:sz="0" w:space="0" w:color="auto"/>
                <w:left w:val="none" w:sz="0" w:space="0" w:color="auto"/>
                <w:bottom w:val="none" w:sz="0" w:space="0" w:color="auto"/>
                <w:right w:val="none" w:sz="0" w:space="0" w:color="auto"/>
              </w:divBdr>
            </w:div>
            <w:div w:id="662195689">
              <w:marLeft w:val="0"/>
              <w:marRight w:val="0"/>
              <w:marTop w:val="0"/>
              <w:marBottom w:val="0"/>
              <w:divBdr>
                <w:top w:val="none" w:sz="0" w:space="0" w:color="auto"/>
                <w:left w:val="none" w:sz="0" w:space="0" w:color="auto"/>
                <w:bottom w:val="none" w:sz="0" w:space="0" w:color="auto"/>
                <w:right w:val="none" w:sz="0" w:space="0" w:color="auto"/>
              </w:divBdr>
            </w:div>
            <w:div w:id="663557647">
              <w:marLeft w:val="0"/>
              <w:marRight w:val="0"/>
              <w:marTop w:val="0"/>
              <w:marBottom w:val="0"/>
              <w:divBdr>
                <w:top w:val="none" w:sz="0" w:space="0" w:color="auto"/>
                <w:left w:val="none" w:sz="0" w:space="0" w:color="auto"/>
                <w:bottom w:val="none" w:sz="0" w:space="0" w:color="auto"/>
                <w:right w:val="none" w:sz="0" w:space="0" w:color="auto"/>
              </w:divBdr>
            </w:div>
            <w:div w:id="1038974084">
              <w:marLeft w:val="0"/>
              <w:marRight w:val="0"/>
              <w:marTop w:val="0"/>
              <w:marBottom w:val="0"/>
              <w:divBdr>
                <w:top w:val="none" w:sz="0" w:space="0" w:color="auto"/>
                <w:left w:val="none" w:sz="0" w:space="0" w:color="auto"/>
                <w:bottom w:val="none" w:sz="0" w:space="0" w:color="auto"/>
                <w:right w:val="none" w:sz="0" w:space="0" w:color="auto"/>
              </w:divBdr>
            </w:div>
            <w:div w:id="1599871655">
              <w:marLeft w:val="0"/>
              <w:marRight w:val="0"/>
              <w:marTop w:val="0"/>
              <w:marBottom w:val="0"/>
              <w:divBdr>
                <w:top w:val="none" w:sz="0" w:space="0" w:color="auto"/>
                <w:left w:val="none" w:sz="0" w:space="0" w:color="auto"/>
                <w:bottom w:val="none" w:sz="0" w:space="0" w:color="auto"/>
                <w:right w:val="none" w:sz="0" w:space="0" w:color="auto"/>
              </w:divBdr>
            </w:div>
            <w:div w:id="19380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847213872">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051610269">
      <w:bodyDiv w:val="1"/>
      <w:marLeft w:val="0"/>
      <w:marRight w:val="0"/>
      <w:marTop w:val="0"/>
      <w:marBottom w:val="0"/>
      <w:divBdr>
        <w:top w:val="none" w:sz="0" w:space="0" w:color="auto"/>
        <w:left w:val="none" w:sz="0" w:space="0" w:color="auto"/>
        <w:bottom w:val="none" w:sz="0" w:space="0" w:color="auto"/>
        <w:right w:val="none" w:sz="0" w:space="0" w:color="auto"/>
      </w:divBdr>
    </w:div>
    <w:div w:id="1070542785">
      <w:bodyDiv w:val="1"/>
      <w:marLeft w:val="0"/>
      <w:marRight w:val="0"/>
      <w:marTop w:val="0"/>
      <w:marBottom w:val="0"/>
      <w:divBdr>
        <w:top w:val="none" w:sz="0" w:space="0" w:color="auto"/>
        <w:left w:val="none" w:sz="0" w:space="0" w:color="auto"/>
        <w:bottom w:val="none" w:sz="0" w:space="0" w:color="auto"/>
        <w:right w:val="none" w:sz="0" w:space="0" w:color="auto"/>
      </w:divBdr>
    </w:div>
    <w:div w:id="1089696523">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134762327">
      <w:bodyDiv w:val="1"/>
      <w:marLeft w:val="0"/>
      <w:marRight w:val="0"/>
      <w:marTop w:val="0"/>
      <w:marBottom w:val="0"/>
      <w:divBdr>
        <w:top w:val="none" w:sz="0" w:space="0" w:color="auto"/>
        <w:left w:val="none" w:sz="0" w:space="0" w:color="auto"/>
        <w:bottom w:val="none" w:sz="0" w:space="0" w:color="auto"/>
        <w:right w:val="none" w:sz="0" w:space="0" w:color="auto"/>
      </w:divBdr>
      <w:divsChild>
        <w:div w:id="447817997">
          <w:marLeft w:val="0"/>
          <w:marRight w:val="0"/>
          <w:marTop w:val="0"/>
          <w:marBottom w:val="0"/>
          <w:divBdr>
            <w:top w:val="none" w:sz="0" w:space="0" w:color="auto"/>
            <w:left w:val="none" w:sz="0" w:space="0" w:color="auto"/>
            <w:bottom w:val="none" w:sz="0" w:space="0" w:color="auto"/>
            <w:right w:val="none" w:sz="0" w:space="0" w:color="auto"/>
          </w:divBdr>
        </w:div>
        <w:div w:id="494566523">
          <w:marLeft w:val="0"/>
          <w:marRight w:val="0"/>
          <w:marTop w:val="0"/>
          <w:marBottom w:val="0"/>
          <w:divBdr>
            <w:top w:val="none" w:sz="0" w:space="0" w:color="auto"/>
            <w:left w:val="none" w:sz="0" w:space="0" w:color="auto"/>
            <w:bottom w:val="none" w:sz="0" w:space="0" w:color="auto"/>
            <w:right w:val="none" w:sz="0" w:space="0" w:color="auto"/>
          </w:divBdr>
        </w:div>
        <w:div w:id="536503304">
          <w:marLeft w:val="0"/>
          <w:marRight w:val="0"/>
          <w:marTop w:val="0"/>
          <w:marBottom w:val="0"/>
          <w:divBdr>
            <w:top w:val="none" w:sz="0" w:space="0" w:color="auto"/>
            <w:left w:val="none" w:sz="0" w:space="0" w:color="auto"/>
            <w:bottom w:val="none" w:sz="0" w:space="0" w:color="auto"/>
            <w:right w:val="none" w:sz="0" w:space="0" w:color="auto"/>
          </w:divBdr>
        </w:div>
        <w:div w:id="977222897">
          <w:marLeft w:val="0"/>
          <w:marRight w:val="0"/>
          <w:marTop w:val="0"/>
          <w:marBottom w:val="0"/>
          <w:divBdr>
            <w:top w:val="none" w:sz="0" w:space="0" w:color="auto"/>
            <w:left w:val="none" w:sz="0" w:space="0" w:color="auto"/>
            <w:bottom w:val="none" w:sz="0" w:space="0" w:color="auto"/>
            <w:right w:val="none" w:sz="0" w:space="0" w:color="auto"/>
          </w:divBdr>
        </w:div>
        <w:div w:id="1083918339">
          <w:marLeft w:val="0"/>
          <w:marRight w:val="0"/>
          <w:marTop w:val="0"/>
          <w:marBottom w:val="0"/>
          <w:divBdr>
            <w:top w:val="none" w:sz="0" w:space="0" w:color="auto"/>
            <w:left w:val="none" w:sz="0" w:space="0" w:color="auto"/>
            <w:bottom w:val="none" w:sz="0" w:space="0" w:color="auto"/>
            <w:right w:val="none" w:sz="0" w:space="0" w:color="auto"/>
          </w:divBdr>
        </w:div>
        <w:div w:id="1150445790">
          <w:marLeft w:val="0"/>
          <w:marRight w:val="0"/>
          <w:marTop w:val="0"/>
          <w:marBottom w:val="0"/>
          <w:divBdr>
            <w:top w:val="none" w:sz="0" w:space="0" w:color="auto"/>
            <w:left w:val="none" w:sz="0" w:space="0" w:color="auto"/>
            <w:bottom w:val="none" w:sz="0" w:space="0" w:color="auto"/>
            <w:right w:val="none" w:sz="0" w:space="0" w:color="auto"/>
          </w:divBdr>
        </w:div>
        <w:div w:id="1314138467">
          <w:marLeft w:val="0"/>
          <w:marRight w:val="0"/>
          <w:marTop w:val="0"/>
          <w:marBottom w:val="0"/>
          <w:divBdr>
            <w:top w:val="none" w:sz="0" w:space="0" w:color="auto"/>
            <w:left w:val="none" w:sz="0" w:space="0" w:color="auto"/>
            <w:bottom w:val="none" w:sz="0" w:space="0" w:color="auto"/>
            <w:right w:val="none" w:sz="0" w:space="0" w:color="auto"/>
          </w:divBdr>
        </w:div>
        <w:div w:id="1442334198">
          <w:marLeft w:val="0"/>
          <w:marRight w:val="0"/>
          <w:marTop w:val="0"/>
          <w:marBottom w:val="0"/>
          <w:divBdr>
            <w:top w:val="none" w:sz="0" w:space="0" w:color="auto"/>
            <w:left w:val="none" w:sz="0" w:space="0" w:color="auto"/>
            <w:bottom w:val="none" w:sz="0" w:space="0" w:color="auto"/>
            <w:right w:val="none" w:sz="0" w:space="0" w:color="auto"/>
          </w:divBdr>
        </w:div>
        <w:div w:id="1648632468">
          <w:marLeft w:val="0"/>
          <w:marRight w:val="0"/>
          <w:marTop w:val="0"/>
          <w:marBottom w:val="0"/>
          <w:divBdr>
            <w:top w:val="none" w:sz="0" w:space="0" w:color="auto"/>
            <w:left w:val="none" w:sz="0" w:space="0" w:color="auto"/>
            <w:bottom w:val="none" w:sz="0" w:space="0" w:color="auto"/>
            <w:right w:val="none" w:sz="0" w:space="0" w:color="auto"/>
          </w:divBdr>
        </w:div>
        <w:div w:id="1663897005">
          <w:marLeft w:val="0"/>
          <w:marRight w:val="0"/>
          <w:marTop w:val="0"/>
          <w:marBottom w:val="0"/>
          <w:divBdr>
            <w:top w:val="none" w:sz="0" w:space="0" w:color="auto"/>
            <w:left w:val="none" w:sz="0" w:space="0" w:color="auto"/>
            <w:bottom w:val="none" w:sz="0" w:space="0" w:color="auto"/>
            <w:right w:val="none" w:sz="0" w:space="0" w:color="auto"/>
          </w:divBdr>
        </w:div>
        <w:div w:id="1953441434">
          <w:marLeft w:val="0"/>
          <w:marRight w:val="0"/>
          <w:marTop w:val="0"/>
          <w:marBottom w:val="0"/>
          <w:divBdr>
            <w:top w:val="none" w:sz="0" w:space="0" w:color="auto"/>
            <w:left w:val="none" w:sz="0" w:space="0" w:color="auto"/>
            <w:bottom w:val="none" w:sz="0" w:space="0" w:color="auto"/>
            <w:right w:val="none" w:sz="0" w:space="0" w:color="auto"/>
          </w:divBdr>
        </w:div>
        <w:div w:id="1955941309">
          <w:marLeft w:val="0"/>
          <w:marRight w:val="0"/>
          <w:marTop w:val="0"/>
          <w:marBottom w:val="0"/>
          <w:divBdr>
            <w:top w:val="none" w:sz="0" w:space="0" w:color="auto"/>
            <w:left w:val="none" w:sz="0" w:space="0" w:color="auto"/>
            <w:bottom w:val="none" w:sz="0" w:space="0" w:color="auto"/>
            <w:right w:val="none" w:sz="0" w:space="0" w:color="auto"/>
          </w:divBdr>
        </w:div>
        <w:div w:id="2063823791">
          <w:marLeft w:val="0"/>
          <w:marRight w:val="0"/>
          <w:marTop w:val="0"/>
          <w:marBottom w:val="0"/>
          <w:divBdr>
            <w:top w:val="none" w:sz="0" w:space="0" w:color="auto"/>
            <w:left w:val="none" w:sz="0" w:space="0" w:color="auto"/>
            <w:bottom w:val="none" w:sz="0" w:space="0" w:color="auto"/>
            <w:right w:val="none" w:sz="0" w:space="0" w:color="auto"/>
          </w:divBdr>
        </w:div>
      </w:divsChild>
    </w:div>
    <w:div w:id="1169760281">
      <w:bodyDiv w:val="1"/>
      <w:marLeft w:val="0"/>
      <w:marRight w:val="0"/>
      <w:marTop w:val="0"/>
      <w:marBottom w:val="0"/>
      <w:divBdr>
        <w:top w:val="none" w:sz="0" w:space="0" w:color="auto"/>
        <w:left w:val="none" w:sz="0" w:space="0" w:color="auto"/>
        <w:bottom w:val="none" w:sz="0" w:space="0" w:color="auto"/>
        <w:right w:val="none" w:sz="0" w:space="0" w:color="auto"/>
      </w:divBdr>
    </w:div>
    <w:div w:id="1392071168">
      <w:bodyDiv w:val="1"/>
      <w:marLeft w:val="0"/>
      <w:marRight w:val="0"/>
      <w:marTop w:val="0"/>
      <w:marBottom w:val="0"/>
      <w:divBdr>
        <w:top w:val="none" w:sz="0" w:space="0" w:color="auto"/>
        <w:left w:val="none" w:sz="0" w:space="0" w:color="auto"/>
        <w:bottom w:val="none" w:sz="0" w:space="0" w:color="auto"/>
        <w:right w:val="none" w:sz="0" w:space="0" w:color="auto"/>
      </w:divBdr>
    </w:div>
    <w:div w:id="1403026099">
      <w:bodyDiv w:val="1"/>
      <w:marLeft w:val="0"/>
      <w:marRight w:val="0"/>
      <w:marTop w:val="0"/>
      <w:marBottom w:val="0"/>
      <w:divBdr>
        <w:top w:val="none" w:sz="0" w:space="0" w:color="auto"/>
        <w:left w:val="none" w:sz="0" w:space="0" w:color="auto"/>
        <w:bottom w:val="none" w:sz="0" w:space="0" w:color="auto"/>
        <w:right w:val="none" w:sz="0" w:space="0" w:color="auto"/>
      </w:divBdr>
    </w:div>
    <w:div w:id="1458403330">
      <w:bodyDiv w:val="1"/>
      <w:marLeft w:val="0"/>
      <w:marRight w:val="0"/>
      <w:marTop w:val="0"/>
      <w:marBottom w:val="0"/>
      <w:divBdr>
        <w:top w:val="none" w:sz="0" w:space="0" w:color="auto"/>
        <w:left w:val="none" w:sz="0" w:space="0" w:color="auto"/>
        <w:bottom w:val="none" w:sz="0" w:space="0" w:color="auto"/>
        <w:right w:val="none" w:sz="0" w:space="0" w:color="auto"/>
      </w:divBdr>
    </w:div>
    <w:div w:id="1495991168">
      <w:bodyDiv w:val="1"/>
      <w:marLeft w:val="0"/>
      <w:marRight w:val="0"/>
      <w:marTop w:val="0"/>
      <w:marBottom w:val="0"/>
      <w:divBdr>
        <w:top w:val="none" w:sz="0" w:space="0" w:color="auto"/>
        <w:left w:val="none" w:sz="0" w:space="0" w:color="auto"/>
        <w:bottom w:val="none" w:sz="0" w:space="0" w:color="auto"/>
        <w:right w:val="none" w:sz="0" w:space="0" w:color="auto"/>
      </w:divBdr>
      <w:divsChild>
        <w:div w:id="2636547">
          <w:marLeft w:val="0"/>
          <w:marRight w:val="0"/>
          <w:marTop w:val="0"/>
          <w:marBottom w:val="0"/>
          <w:divBdr>
            <w:top w:val="none" w:sz="0" w:space="0" w:color="auto"/>
            <w:left w:val="none" w:sz="0" w:space="0" w:color="auto"/>
            <w:bottom w:val="none" w:sz="0" w:space="0" w:color="auto"/>
            <w:right w:val="none" w:sz="0" w:space="0" w:color="auto"/>
          </w:divBdr>
        </w:div>
        <w:div w:id="52773895">
          <w:marLeft w:val="0"/>
          <w:marRight w:val="0"/>
          <w:marTop w:val="0"/>
          <w:marBottom w:val="0"/>
          <w:divBdr>
            <w:top w:val="none" w:sz="0" w:space="0" w:color="auto"/>
            <w:left w:val="none" w:sz="0" w:space="0" w:color="auto"/>
            <w:bottom w:val="none" w:sz="0" w:space="0" w:color="auto"/>
            <w:right w:val="none" w:sz="0" w:space="0" w:color="auto"/>
          </w:divBdr>
        </w:div>
        <w:div w:id="673147427">
          <w:marLeft w:val="0"/>
          <w:marRight w:val="0"/>
          <w:marTop w:val="0"/>
          <w:marBottom w:val="0"/>
          <w:divBdr>
            <w:top w:val="none" w:sz="0" w:space="0" w:color="auto"/>
            <w:left w:val="none" w:sz="0" w:space="0" w:color="auto"/>
            <w:bottom w:val="none" w:sz="0" w:space="0" w:color="auto"/>
            <w:right w:val="none" w:sz="0" w:space="0" w:color="auto"/>
          </w:divBdr>
        </w:div>
        <w:div w:id="1389642966">
          <w:marLeft w:val="0"/>
          <w:marRight w:val="0"/>
          <w:marTop w:val="0"/>
          <w:marBottom w:val="0"/>
          <w:divBdr>
            <w:top w:val="none" w:sz="0" w:space="0" w:color="auto"/>
            <w:left w:val="none" w:sz="0" w:space="0" w:color="auto"/>
            <w:bottom w:val="none" w:sz="0" w:space="0" w:color="auto"/>
            <w:right w:val="none" w:sz="0" w:space="0" w:color="auto"/>
          </w:divBdr>
        </w:div>
        <w:div w:id="1539706982">
          <w:marLeft w:val="0"/>
          <w:marRight w:val="0"/>
          <w:marTop w:val="0"/>
          <w:marBottom w:val="0"/>
          <w:divBdr>
            <w:top w:val="none" w:sz="0" w:space="0" w:color="auto"/>
            <w:left w:val="none" w:sz="0" w:space="0" w:color="auto"/>
            <w:bottom w:val="none" w:sz="0" w:space="0" w:color="auto"/>
            <w:right w:val="none" w:sz="0" w:space="0" w:color="auto"/>
          </w:divBdr>
        </w:div>
        <w:div w:id="1716923614">
          <w:marLeft w:val="0"/>
          <w:marRight w:val="0"/>
          <w:marTop w:val="0"/>
          <w:marBottom w:val="0"/>
          <w:divBdr>
            <w:top w:val="none" w:sz="0" w:space="0" w:color="auto"/>
            <w:left w:val="none" w:sz="0" w:space="0" w:color="auto"/>
            <w:bottom w:val="none" w:sz="0" w:space="0" w:color="auto"/>
            <w:right w:val="none" w:sz="0" w:space="0" w:color="auto"/>
          </w:divBdr>
        </w:div>
      </w:divsChild>
    </w:div>
    <w:div w:id="1754282675">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1461796">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1867021568">
      <w:bodyDiv w:val="1"/>
      <w:marLeft w:val="0"/>
      <w:marRight w:val="0"/>
      <w:marTop w:val="0"/>
      <w:marBottom w:val="0"/>
      <w:divBdr>
        <w:top w:val="none" w:sz="0" w:space="0" w:color="auto"/>
        <w:left w:val="none" w:sz="0" w:space="0" w:color="auto"/>
        <w:bottom w:val="none" w:sz="0" w:space="0" w:color="auto"/>
        <w:right w:val="none" w:sz="0" w:space="0" w:color="auto"/>
      </w:divBdr>
      <w:divsChild>
        <w:div w:id="273292078">
          <w:marLeft w:val="0"/>
          <w:marRight w:val="0"/>
          <w:marTop w:val="0"/>
          <w:marBottom w:val="0"/>
          <w:divBdr>
            <w:top w:val="none" w:sz="0" w:space="0" w:color="auto"/>
            <w:left w:val="none" w:sz="0" w:space="0" w:color="auto"/>
            <w:bottom w:val="none" w:sz="0" w:space="0" w:color="auto"/>
            <w:right w:val="none" w:sz="0" w:space="0" w:color="auto"/>
          </w:divBdr>
        </w:div>
        <w:div w:id="892421268">
          <w:marLeft w:val="0"/>
          <w:marRight w:val="0"/>
          <w:marTop w:val="0"/>
          <w:marBottom w:val="0"/>
          <w:divBdr>
            <w:top w:val="none" w:sz="0" w:space="0" w:color="auto"/>
            <w:left w:val="none" w:sz="0" w:space="0" w:color="auto"/>
            <w:bottom w:val="none" w:sz="0" w:space="0" w:color="auto"/>
            <w:right w:val="none" w:sz="0" w:space="0" w:color="auto"/>
          </w:divBdr>
        </w:div>
        <w:div w:id="1218083214">
          <w:marLeft w:val="0"/>
          <w:marRight w:val="0"/>
          <w:marTop w:val="0"/>
          <w:marBottom w:val="0"/>
          <w:divBdr>
            <w:top w:val="none" w:sz="0" w:space="0" w:color="auto"/>
            <w:left w:val="none" w:sz="0" w:space="0" w:color="auto"/>
            <w:bottom w:val="none" w:sz="0" w:space="0" w:color="auto"/>
            <w:right w:val="none" w:sz="0" w:space="0" w:color="auto"/>
          </w:divBdr>
        </w:div>
        <w:div w:id="1306399021">
          <w:marLeft w:val="0"/>
          <w:marRight w:val="0"/>
          <w:marTop w:val="0"/>
          <w:marBottom w:val="0"/>
          <w:divBdr>
            <w:top w:val="none" w:sz="0" w:space="0" w:color="auto"/>
            <w:left w:val="none" w:sz="0" w:space="0" w:color="auto"/>
            <w:bottom w:val="none" w:sz="0" w:space="0" w:color="auto"/>
            <w:right w:val="none" w:sz="0" w:space="0" w:color="auto"/>
          </w:divBdr>
        </w:div>
        <w:div w:id="2037847056">
          <w:marLeft w:val="0"/>
          <w:marRight w:val="0"/>
          <w:marTop w:val="0"/>
          <w:marBottom w:val="0"/>
          <w:divBdr>
            <w:top w:val="none" w:sz="0" w:space="0" w:color="auto"/>
            <w:left w:val="none" w:sz="0" w:space="0" w:color="auto"/>
            <w:bottom w:val="none" w:sz="0" w:space="0" w:color="auto"/>
            <w:right w:val="none" w:sz="0" w:space="0" w:color="auto"/>
          </w:divBdr>
        </w:div>
        <w:div w:id="2093620782">
          <w:marLeft w:val="0"/>
          <w:marRight w:val="0"/>
          <w:marTop w:val="0"/>
          <w:marBottom w:val="0"/>
          <w:divBdr>
            <w:top w:val="none" w:sz="0" w:space="0" w:color="auto"/>
            <w:left w:val="none" w:sz="0" w:space="0" w:color="auto"/>
            <w:bottom w:val="none" w:sz="0" w:space="0" w:color="auto"/>
            <w:right w:val="none" w:sz="0" w:space="0" w:color="auto"/>
          </w:divBdr>
        </w:div>
      </w:divsChild>
    </w:div>
    <w:div w:id="1990160996">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18C00151" TargetMode="External"/><Relationship Id="rId18" Type="http://schemas.openxmlformats.org/officeDocument/2006/relationships/hyperlink" Target="https://www.nopta.gov.au/guidelines-and-factsheets/index.html" TargetMode="External"/><Relationship Id="rId26" Type="http://schemas.openxmlformats.org/officeDocument/2006/relationships/hyperlink" Target="mailto:titles@nopta.gov.au" TargetMode="External"/><Relationship Id="rId39" Type="http://schemas.openxmlformats.org/officeDocument/2006/relationships/hyperlink" Target="https://www.legislation.gov.au/Series/F2011L00647" TargetMode="External"/><Relationship Id="rId3" Type="http://schemas.openxmlformats.org/officeDocument/2006/relationships/styles" Target="styles.xml"/><Relationship Id="rId21" Type="http://schemas.openxmlformats.org/officeDocument/2006/relationships/hyperlink" Target="https://www.nopta.gov.au/forms/forms.html" TargetMode="External"/><Relationship Id="rId34" Type="http://schemas.openxmlformats.org/officeDocument/2006/relationships/hyperlink" Target="https://www.legislation.gov.au/Series/F2011L00647" TargetMode="External"/><Relationship Id="rId42" Type="http://schemas.openxmlformats.org/officeDocument/2006/relationships/hyperlink" Target="https://www.nopta.gov.au/_documents/guidelines/decommissioning-guideline.pdf"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hyperlink" Target="https://www.legislation.gov.au/Series/F2011L00647" TargetMode="External"/><Relationship Id="rId25" Type="http://schemas.openxmlformats.org/officeDocument/2006/relationships/hyperlink" Target="https://www.nopta.gov.au/forms/nopta-forms/nopta-forms-guidance/nopta-forms-guidance.pdf" TargetMode="External"/><Relationship Id="rId33" Type="http://schemas.openxmlformats.org/officeDocument/2006/relationships/hyperlink" Target="https://www.legislation.gov.au/Series/C2004A01202" TargetMode="External"/><Relationship Id="rId38" Type="http://schemas.openxmlformats.org/officeDocument/2006/relationships/hyperlink" Target="https://www.legislation.gov.au/Series/C2006A00014" TargetMode="External"/><Relationship Id="rId46"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opta.gov.au/_documents/guidelines/Applicant-Suitability-Guideline.pdf" TargetMode="External"/><Relationship Id="rId20" Type="http://schemas.openxmlformats.org/officeDocument/2006/relationships/hyperlink" Target="https://www.nopta.gov.au/forms/nopta-forms/nopta-forms-guidance/nopta-forms-guidance.pdf" TargetMode="External"/><Relationship Id="rId29" Type="http://schemas.openxmlformats.org/officeDocument/2006/relationships/hyperlink" Target="https://www.nopta.gov.au/forms/reporting-templates.html" TargetMode="External"/><Relationship Id="rId41" Type="http://schemas.openxmlformats.org/officeDocument/2006/relationships/hyperlink" Target="https://www.nopta.gov.au/_documents/guidelines/decommissioning-guideli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www.nopta.gov.au/forms/nopta-forms/nopta-forms-guidance/nopta-forms-guidance.pdf" TargetMode="External"/><Relationship Id="rId32" Type="http://schemas.openxmlformats.org/officeDocument/2006/relationships/hyperlink" Target="https://www.nopta.gov.au/legislation-and-compliance/legislative-overview/application-assessment-timeframes.html" TargetMode="External"/><Relationship Id="rId37" Type="http://schemas.openxmlformats.org/officeDocument/2006/relationships/hyperlink" Target="https://www.nopta.gov.au/_documents/guidelines/Applicant-Suitability-Guideline.pdf" TargetMode="External"/><Relationship Id="rId40" Type="http://schemas.openxmlformats.org/officeDocument/2006/relationships/hyperlink" Target="https://www.legislation.gov.au/Browse/ByPublicationDate/Gazettes/InForce/0/0" TargetMode="External"/><Relationship Id="rId45" Type="http://schemas.openxmlformats.org/officeDocument/2006/relationships/hyperlink" Target="https://www.legislation.gov.au/Browse/ByPublicationDate/Gazettes/InForce/0/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nopta.gov.au/forms/forms.html" TargetMode="External"/><Relationship Id="rId28" Type="http://schemas.openxmlformats.org/officeDocument/2006/relationships/hyperlink" Target="https://www.nopta.gov.au/_documents/guidelines/Applicant-Suitability-Guideline.pdf" TargetMode="External"/><Relationship Id="rId36" Type="http://schemas.openxmlformats.org/officeDocument/2006/relationships/hyperlink" Target="https://www.nopta.gov.au/_documents/fact-sheets/fact-sheet-financial-resources.pdf" TargetMode="External"/><Relationship Id="rId49"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hyperlink" Target="https://www.nopta.gov.au/_documents/guidelines/Applicant-Suitability-Guideline.pdf" TargetMode="External"/><Relationship Id="rId31" Type="http://schemas.openxmlformats.org/officeDocument/2006/relationships/hyperlink" Target="https://www.nopta.gov.au/_documents/guidelines/Applicant-Suitability-Guideline.pdf" TargetMode="External"/><Relationship Id="rId44" Type="http://schemas.openxmlformats.org/officeDocument/2006/relationships/hyperlink" Target="https://www.nopta.gov.au/_documents/guidelines/decommissioning-guideline.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nopta.gov.au/cost-recovery-and-fees.html" TargetMode="External"/><Relationship Id="rId27" Type="http://schemas.openxmlformats.org/officeDocument/2006/relationships/hyperlink" Target="https://www.nopta.gov.au/_documents/fact-sheets/fact-sheet-financial-resources.pdf" TargetMode="External"/><Relationship Id="rId30" Type="http://schemas.openxmlformats.org/officeDocument/2006/relationships/hyperlink" Target="https://www.nopta.gov.au/forms/reporting-templates.html" TargetMode="External"/><Relationship Id="rId35" Type="http://schemas.openxmlformats.org/officeDocument/2006/relationships/hyperlink" Target="https://www.nopta.gov.au/reporting-and-data-submissions/annual-title-assessment-reports.html" TargetMode="External"/><Relationship Id="rId43" Type="http://schemas.openxmlformats.org/officeDocument/2006/relationships/hyperlink" Target="https://www.legislation.gov.au/Browse/ByPublicationDate/Gazettes/InForce/0/0"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10718</Words>
  <Characters>59167</Characters>
  <Application>Microsoft Office Word</Application>
  <DocSecurity>0</DocSecurity>
  <Lines>1056</Lines>
  <Paragraphs>572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69313</CharactersWithSpaces>
  <SharedDoc>false</SharedDoc>
  <HLinks>
    <vt:vector size="390" baseType="variant">
      <vt:variant>
        <vt:i4>4456539</vt:i4>
      </vt:variant>
      <vt:variant>
        <vt:i4>291</vt:i4>
      </vt:variant>
      <vt:variant>
        <vt:i4>0</vt:i4>
      </vt:variant>
      <vt:variant>
        <vt:i4>5</vt:i4>
      </vt:variant>
      <vt:variant>
        <vt:lpwstr>https://www.legislation.gov.au/Browse/ByPublicationDate/Gazettes/InForce/0/0</vt:lpwstr>
      </vt:variant>
      <vt:variant>
        <vt:lpwstr/>
      </vt:variant>
      <vt:variant>
        <vt:i4>3276886</vt:i4>
      </vt:variant>
      <vt:variant>
        <vt:i4>285</vt:i4>
      </vt:variant>
      <vt:variant>
        <vt:i4>0</vt:i4>
      </vt:variant>
      <vt:variant>
        <vt:i4>5</vt:i4>
      </vt:variant>
      <vt:variant>
        <vt:lpwstr>https://www.nopta.gov.au/_documents/guidelines/decommissioning-guideline.pdf</vt:lpwstr>
      </vt:variant>
      <vt:variant>
        <vt:lpwstr/>
      </vt:variant>
      <vt:variant>
        <vt:i4>4456539</vt:i4>
      </vt:variant>
      <vt:variant>
        <vt:i4>282</vt:i4>
      </vt:variant>
      <vt:variant>
        <vt:i4>0</vt:i4>
      </vt:variant>
      <vt:variant>
        <vt:i4>5</vt:i4>
      </vt:variant>
      <vt:variant>
        <vt:lpwstr>https://www.legislation.gov.au/Browse/ByPublicationDate/Gazettes/InForce/0/0</vt:lpwstr>
      </vt:variant>
      <vt:variant>
        <vt:lpwstr/>
      </vt:variant>
      <vt:variant>
        <vt:i4>3276886</vt:i4>
      </vt:variant>
      <vt:variant>
        <vt:i4>279</vt:i4>
      </vt:variant>
      <vt:variant>
        <vt:i4>0</vt:i4>
      </vt:variant>
      <vt:variant>
        <vt:i4>5</vt:i4>
      </vt:variant>
      <vt:variant>
        <vt:lpwstr>https://www.nopta.gov.au/_documents/guidelines/decommissioning-guideline.pdf</vt:lpwstr>
      </vt:variant>
      <vt:variant>
        <vt:lpwstr/>
      </vt:variant>
      <vt:variant>
        <vt:i4>3276886</vt:i4>
      </vt:variant>
      <vt:variant>
        <vt:i4>276</vt:i4>
      </vt:variant>
      <vt:variant>
        <vt:i4>0</vt:i4>
      </vt:variant>
      <vt:variant>
        <vt:i4>5</vt:i4>
      </vt:variant>
      <vt:variant>
        <vt:lpwstr>https://www.nopta.gov.au/_documents/guidelines/decommissioning-guideline.pdf</vt:lpwstr>
      </vt:variant>
      <vt:variant>
        <vt:lpwstr/>
      </vt:variant>
      <vt:variant>
        <vt:i4>4456539</vt:i4>
      </vt:variant>
      <vt:variant>
        <vt:i4>273</vt:i4>
      </vt:variant>
      <vt:variant>
        <vt:i4>0</vt:i4>
      </vt:variant>
      <vt:variant>
        <vt:i4>5</vt:i4>
      </vt:variant>
      <vt:variant>
        <vt:lpwstr>https://www.legislation.gov.au/Browse/ByPublicationDate/Gazettes/InForce/0/0</vt:lpwstr>
      </vt:variant>
      <vt:variant>
        <vt:lpwstr/>
      </vt:variant>
      <vt:variant>
        <vt:i4>589855</vt:i4>
      </vt:variant>
      <vt:variant>
        <vt:i4>270</vt:i4>
      </vt:variant>
      <vt:variant>
        <vt:i4>0</vt:i4>
      </vt:variant>
      <vt:variant>
        <vt:i4>5</vt:i4>
      </vt:variant>
      <vt:variant>
        <vt:lpwstr>https://www.legislation.gov.au/Series/F2011L00647</vt:lpwstr>
      </vt:variant>
      <vt:variant>
        <vt:lpwstr/>
      </vt:variant>
      <vt:variant>
        <vt:i4>27</vt:i4>
      </vt:variant>
      <vt:variant>
        <vt:i4>267</vt:i4>
      </vt:variant>
      <vt:variant>
        <vt:i4>0</vt:i4>
      </vt:variant>
      <vt:variant>
        <vt:i4>5</vt:i4>
      </vt:variant>
      <vt:variant>
        <vt:lpwstr>https://www.legislation.gov.au/Series/C2006A00014</vt:lpwstr>
      </vt:variant>
      <vt:variant>
        <vt:lpwstr/>
      </vt:variant>
      <vt:variant>
        <vt:i4>4980844</vt:i4>
      </vt:variant>
      <vt:variant>
        <vt:i4>264</vt:i4>
      </vt:variant>
      <vt:variant>
        <vt:i4>0</vt:i4>
      </vt:variant>
      <vt:variant>
        <vt:i4>5</vt:i4>
      </vt:variant>
      <vt:variant>
        <vt:lpwstr>https://www.nopta.gov.au/_documents/guidelines/Applicant-Suitability-Guideline.pdf</vt:lpwstr>
      </vt:variant>
      <vt:variant>
        <vt:lpwstr/>
      </vt:variant>
      <vt:variant>
        <vt:i4>786489</vt:i4>
      </vt:variant>
      <vt:variant>
        <vt:i4>261</vt:i4>
      </vt:variant>
      <vt:variant>
        <vt:i4>0</vt:i4>
      </vt:variant>
      <vt:variant>
        <vt:i4>5</vt:i4>
      </vt:variant>
      <vt:variant>
        <vt:lpwstr>https://www.nopta.gov.au/_documents/fact-sheets/fact-sheet-financial-resources.pdf</vt:lpwstr>
      </vt:variant>
      <vt:variant>
        <vt:lpwstr/>
      </vt:variant>
      <vt:variant>
        <vt:i4>5832720</vt:i4>
      </vt:variant>
      <vt:variant>
        <vt:i4>258</vt:i4>
      </vt:variant>
      <vt:variant>
        <vt:i4>0</vt:i4>
      </vt:variant>
      <vt:variant>
        <vt:i4>5</vt:i4>
      </vt:variant>
      <vt:variant>
        <vt:lpwstr>https://www.nopta.gov.au/reporting-and-data-submissions/annual-title-assessment-reports.html</vt:lpwstr>
      </vt:variant>
      <vt:variant>
        <vt:lpwstr/>
      </vt:variant>
      <vt:variant>
        <vt:i4>589855</vt:i4>
      </vt:variant>
      <vt:variant>
        <vt:i4>255</vt:i4>
      </vt:variant>
      <vt:variant>
        <vt:i4>0</vt:i4>
      </vt:variant>
      <vt:variant>
        <vt:i4>5</vt:i4>
      </vt:variant>
      <vt:variant>
        <vt:lpwstr>https://www.legislation.gov.au/Series/F2011L00647</vt:lpwstr>
      </vt:variant>
      <vt:variant>
        <vt:lpwstr/>
      </vt:variant>
      <vt:variant>
        <vt:i4>27</vt:i4>
      </vt:variant>
      <vt:variant>
        <vt:i4>252</vt:i4>
      </vt:variant>
      <vt:variant>
        <vt:i4>0</vt:i4>
      </vt:variant>
      <vt:variant>
        <vt:i4>5</vt:i4>
      </vt:variant>
      <vt:variant>
        <vt:lpwstr>https://www.legislation.gov.au/Series/C2004A01202</vt:lpwstr>
      </vt:variant>
      <vt:variant>
        <vt:lpwstr/>
      </vt:variant>
      <vt:variant>
        <vt:i4>8126519</vt:i4>
      </vt:variant>
      <vt:variant>
        <vt:i4>246</vt:i4>
      </vt:variant>
      <vt:variant>
        <vt:i4>0</vt:i4>
      </vt:variant>
      <vt:variant>
        <vt:i4>5</vt:i4>
      </vt:variant>
      <vt:variant>
        <vt:lpwstr>https://www.nopta.gov.au/legislation-and-compliance/legislative-overview/application-assessment-timeframes.html</vt:lpwstr>
      </vt:variant>
      <vt:variant>
        <vt:lpwstr/>
      </vt:variant>
      <vt:variant>
        <vt:i4>4980844</vt:i4>
      </vt:variant>
      <vt:variant>
        <vt:i4>243</vt:i4>
      </vt:variant>
      <vt:variant>
        <vt:i4>0</vt:i4>
      </vt:variant>
      <vt:variant>
        <vt:i4>5</vt:i4>
      </vt:variant>
      <vt:variant>
        <vt:lpwstr>https://www.nopta.gov.au/_documents/guidelines/Applicant-Suitability-Guideline.pdf</vt:lpwstr>
      </vt:variant>
      <vt:variant>
        <vt:lpwstr/>
      </vt:variant>
      <vt:variant>
        <vt:i4>2555963</vt:i4>
      </vt:variant>
      <vt:variant>
        <vt:i4>240</vt:i4>
      </vt:variant>
      <vt:variant>
        <vt:i4>0</vt:i4>
      </vt:variant>
      <vt:variant>
        <vt:i4>5</vt:i4>
      </vt:variant>
      <vt:variant>
        <vt:lpwstr>https://www.nopta.gov.au/forms/reporting-templates.html</vt:lpwstr>
      </vt:variant>
      <vt:variant>
        <vt:lpwstr/>
      </vt:variant>
      <vt:variant>
        <vt:i4>2555963</vt:i4>
      </vt:variant>
      <vt:variant>
        <vt:i4>237</vt:i4>
      </vt:variant>
      <vt:variant>
        <vt:i4>0</vt:i4>
      </vt:variant>
      <vt:variant>
        <vt:i4>5</vt:i4>
      </vt:variant>
      <vt:variant>
        <vt:lpwstr>https://www.nopta.gov.au/forms/reporting-templates.html</vt:lpwstr>
      </vt:variant>
      <vt:variant>
        <vt:lpwstr/>
      </vt:variant>
      <vt:variant>
        <vt:i4>4980844</vt:i4>
      </vt:variant>
      <vt:variant>
        <vt:i4>231</vt:i4>
      </vt:variant>
      <vt:variant>
        <vt:i4>0</vt:i4>
      </vt:variant>
      <vt:variant>
        <vt:i4>5</vt:i4>
      </vt:variant>
      <vt:variant>
        <vt:lpwstr>https://www.nopta.gov.au/_documents/guidelines/Applicant-Suitability-Guideline.pdf</vt:lpwstr>
      </vt:variant>
      <vt:variant>
        <vt:lpwstr/>
      </vt:variant>
      <vt:variant>
        <vt:i4>786489</vt:i4>
      </vt:variant>
      <vt:variant>
        <vt:i4>228</vt:i4>
      </vt:variant>
      <vt:variant>
        <vt:i4>0</vt:i4>
      </vt:variant>
      <vt:variant>
        <vt:i4>5</vt:i4>
      </vt:variant>
      <vt:variant>
        <vt:lpwstr>https://www.nopta.gov.au/_documents/fact-sheets/fact-sheet-financial-resources.pdf</vt:lpwstr>
      </vt:variant>
      <vt:variant>
        <vt:lpwstr/>
      </vt:variant>
      <vt:variant>
        <vt:i4>4587571</vt:i4>
      </vt:variant>
      <vt:variant>
        <vt:i4>225</vt:i4>
      </vt:variant>
      <vt:variant>
        <vt:i4>0</vt:i4>
      </vt:variant>
      <vt:variant>
        <vt:i4>5</vt:i4>
      </vt:variant>
      <vt:variant>
        <vt:lpwstr>mailto:titles@nopta.gov.au</vt:lpwstr>
      </vt:variant>
      <vt:variant>
        <vt:lpwstr/>
      </vt:variant>
      <vt:variant>
        <vt:i4>1572875</vt:i4>
      </vt:variant>
      <vt:variant>
        <vt:i4>222</vt:i4>
      </vt:variant>
      <vt:variant>
        <vt:i4>0</vt:i4>
      </vt:variant>
      <vt:variant>
        <vt:i4>5</vt:i4>
      </vt:variant>
      <vt:variant>
        <vt:lpwstr>https://www.nopta.gov.au/forms/nopta-forms/nopta-forms-guidance/nopta-forms-guidance.pdf</vt:lpwstr>
      </vt:variant>
      <vt:variant>
        <vt:lpwstr/>
      </vt:variant>
      <vt:variant>
        <vt:i4>1572875</vt:i4>
      </vt:variant>
      <vt:variant>
        <vt:i4>219</vt:i4>
      </vt:variant>
      <vt:variant>
        <vt:i4>0</vt:i4>
      </vt:variant>
      <vt:variant>
        <vt:i4>5</vt:i4>
      </vt:variant>
      <vt:variant>
        <vt:lpwstr>https://www.nopta.gov.au/forms/nopta-forms/nopta-forms-guidance/nopta-forms-guidance.pdf</vt:lpwstr>
      </vt:variant>
      <vt:variant>
        <vt:lpwstr/>
      </vt:variant>
      <vt:variant>
        <vt:i4>4980757</vt:i4>
      </vt:variant>
      <vt:variant>
        <vt:i4>216</vt:i4>
      </vt:variant>
      <vt:variant>
        <vt:i4>0</vt:i4>
      </vt:variant>
      <vt:variant>
        <vt:i4>5</vt:i4>
      </vt:variant>
      <vt:variant>
        <vt:lpwstr>https://www.nopta.gov.au/forms/forms.html</vt:lpwstr>
      </vt:variant>
      <vt:variant>
        <vt:lpwstr/>
      </vt:variant>
      <vt:variant>
        <vt:i4>5373971</vt:i4>
      </vt:variant>
      <vt:variant>
        <vt:i4>213</vt:i4>
      </vt:variant>
      <vt:variant>
        <vt:i4>0</vt:i4>
      </vt:variant>
      <vt:variant>
        <vt:i4>5</vt:i4>
      </vt:variant>
      <vt:variant>
        <vt:lpwstr>https://www.nopta.gov.au/cost-recovery-and-fees.html</vt:lpwstr>
      </vt:variant>
      <vt:variant>
        <vt:lpwstr/>
      </vt:variant>
      <vt:variant>
        <vt:i4>4980757</vt:i4>
      </vt:variant>
      <vt:variant>
        <vt:i4>210</vt:i4>
      </vt:variant>
      <vt:variant>
        <vt:i4>0</vt:i4>
      </vt:variant>
      <vt:variant>
        <vt:i4>5</vt:i4>
      </vt:variant>
      <vt:variant>
        <vt:lpwstr>https://www.nopta.gov.au/forms/forms.html</vt:lpwstr>
      </vt:variant>
      <vt:variant>
        <vt:lpwstr/>
      </vt:variant>
      <vt:variant>
        <vt:i4>1572875</vt:i4>
      </vt:variant>
      <vt:variant>
        <vt:i4>207</vt:i4>
      </vt:variant>
      <vt:variant>
        <vt:i4>0</vt:i4>
      </vt:variant>
      <vt:variant>
        <vt:i4>5</vt:i4>
      </vt:variant>
      <vt:variant>
        <vt:lpwstr>https://www.nopta.gov.au/forms/nopta-forms/nopta-forms-guidance/nopta-forms-guidance.pdf</vt:lpwstr>
      </vt:variant>
      <vt:variant>
        <vt:lpwstr/>
      </vt:variant>
      <vt:variant>
        <vt:i4>786489</vt:i4>
      </vt:variant>
      <vt:variant>
        <vt:i4>204</vt:i4>
      </vt:variant>
      <vt:variant>
        <vt:i4>0</vt:i4>
      </vt:variant>
      <vt:variant>
        <vt:i4>5</vt:i4>
      </vt:variant>
      <vt:variant>
        <vt:lpwstr>https://www.nopta.gov.au/_documents/fact-sheets/fact-sheet-financial-resources.pdf</vt:lpwstr>
      </vt:variant>
      <vt:variant>
        <vt:lpwstr/>
      </vt:variant>
      <vt:variant>
        <vt:i4>4980844</vt:i4>
      </vt:variant>
      <vt:variant>
        <vt:i4>201</vt:i4>
      </vt:variant>
      <vt:variant>
        <vt:i4>0</vt:i4>
      </vt:variant>
      <vt:variant>
        <vt:i4>5</vt:i4>
      </vt:variant>
      <vt:variant>
        <vt:lpwstr>https://www.nopta.gov.au/_documents/guidelines/Applicant-Suitability-Guideline.pdf</vt:lpwstr>
      </vt:variant>
      <vt:variant>
        <vt:lpwstr/>
      </vt:variant>
      <vt:variant>
        <vt:i4>5963804</vt:i4>
      </vt:variant>
      <vt:variant>
        <vt:i4>198</vt:i4>
      </vt:variant>
      <vt:variant>
        <vt:i4>0</vt:i4>
      </vt:variant>
      <vt:variant>
        <vt:i4>5</vt:i4>
      </vt:variant>
      <vt:variant>
        <vt:lpwstr>https://www.nopta.gov.au/guidelines-and-factsheets/index.html</vt:lpwstr>
      </vt:variant>
      <vt:variant>
        <vt:lpwstr/>
      </vt:variant>
      <vt:variant>
        <vt:i4>589855</vt:i4>
      </vt:variant>
      <vt:variant>
        <vt:i4>195</vt:i4>
      </vt:variant>
      <vt:variant>
        <vt:i4>0</vt:i4>
      </vt:variant>
      <vt:variant>
        <vt:i4>5</vt:i4>
      </vt:variant>
      <vt:variant>
        <vt:lpwstr>https://www.legislation.gov.au/Series/F2011L00647</vt:lpwstr>
      </vt:variant>
      <vt:variant>
        <vt:lpwstr/>
      </vt:variant>
      <vt:variant>
        <vt:i4>4980844</vt:i4>
      </vt:variant>
      <vt:variant>
        <vt:i4>192</vt:i4>
      </vt:variant>
      <vt:variant>
        <vt:i4>0</vt:i4>
      </vt:variant>
      <vt:variant>
        <vt:i4>5</vt:i4>
      </vt:variant>
      <vt:variant>
        <vt:lpwstr>https://www.nopta.gov.au/_documents/guidelines/Applicant-Suitability-Guideline.pdf</vt:lpwstr>
      </vt:variant>
      <vt:variant>
        <vt:lpwstr/>
      </vt:variant>
      <vt:variant>
        <vt:i4>1048636</vt:i4>
      </vt:variant>
      <vt:variant>
        <vt:i4>185</vt:i4>
      </vt:variant>
      <vt:variant>
        <vt:i4>0</vt:i4>
      </vt:variant>
      <vt:variant>
        <vt:i4>5</vt:i4>
      </vt:variant>
      <vt:variant>
        <vt:lpwstr/>
      </vt:variant>
      <vt:variant>
        <vt:lpwstr>_Toc215524974</vt:lpwstr>
      </vt:variant>
      <vt:variant>
        <vt:i4>1048636</vt:i4>
      </vt:variant>
      <vt:variant>
        <vt:i4>179</vt:i4>
      </vt:variant>
      <vt:variant>
        <vt:i4>0</vt:i4>
      </vt:variant>
      <vt:variant>
        <vt:i4>5</vt:i4>
      </vt:variant>
      <vt:variant>
        <vt:lpwstr/>
      </vt:variant>
      <vt:variant>
        <vt:lpwstr>_Toc215524973</vt:lpwstr>
      </vt:variant>
      <vt:variant>
        <vt:i4>1048636</vt:i4>
      </vt:variant>
      <vt:variant>
        <vt:i4>173</vt:i4>
      </vt:variant>
      <vt:variant>
        <vt:i4>0</vt:i4>
      </vt:variant>
      <vt:variant>
        <vt:i4>5</vt:i4>
      </vt:variant>
      <vt:variant>
        <vt:lpwstr/>
      </vt:variant>
      <vt:variant>
        <vt:lpwstr>_Toc215524972</vt:lpwstr>
      </vt:variant>
      <vt:variant>
        <vt:i4>1048636</vt:i4>
      </vt:variant>
      <vt:variant>
        <vt:i4>167</vt:i4>
      </vt:variant>
      <vt:variant>
        <vt:i4>0</vt:i4>
      </vt:variant>
      <vt:variant>
        <vt:i4>5</vt:i4>
      </vt:variant>
      <vt:variant>
        <vt:lpwstr/>
      </vt:variant>
      <vt:variant>
        <vt:lpwstr>_Toc215524971</vt:lpwstr>
      </vt:variant>
      <vt:variant>
        <vt:i4>1048636</vt:i4>
      </vt:variant>
      <vt:variant>
        <vt:i4>161</vt:i4>
      </vt:variant>
      <vt:variant>
        <vt:i4>0</vt:i4>
      </vt:variant>
      <vt:variant>
        <vt:i4>5</vt:i4>
      </vt:variant>
      <vt:variant>
        <vt:lpwstr/>
      </vt:variant>
      <vt:variant>
        <vt:lpwstr>_Toc215524970</vt:lpwstr>
      </vt:variant>
      <vt:variant>
        <vt:i4>1114172</vt:i4>
      </vt:variant>
      <vt:variant>
        <vt:i4>155</vt:i4>
      </vt:variant>
      <vt:variant>
        <vt:i4>0</vt:i4>
      </vt:variant>
      <vt:variant>
        <vt:i4>5</vt:i4>
      </vt:variant>
      <vt:variant>
        <vt:lpwstr/>
      </vt:variant>
      <vt:variant>
        <vt:lpwstr>_Toc215524969</vt:lpwstr>
      </vt:variant>
      <vt:variant>
        <vt:i4>1114172</vt:i4>
      </vt:variant>
      <vt:variant>
        <vt:i4>149</vt:i4>
      </vt:variant>
      <vt:variant>
        <vt:i4>0</vt:i4>
      </vt:variant>
      <vt:variant>
        <vt:i4>5</vt:i4>
      </vt:variant>
      <vt:variant>
        <vt:lpwstr/>
      </vt:variant>
      <vt:variant>
        <vt:lpwstr>_Toc215524968</vt:lpwstr>
      </vt:variant>
      <vt:variant>
        <vt:i4>1114172</vt:i4>
      </vt:variant>
      <vt:variant>
        <vt:i4>143</vt:i4>
      </vt:variant>
      <vt:variant>
        <vt:i4>0</vt:i4>
      </vt:variant>
      <vt:variant>
        <vt:i4>5</vt:i4>
      </vt:variant>
      <vt:variant>
        <vt:lpwstr/>
      </vt:variant>
      <vt:variant>
        <vt:lpwstr>_Toc215524967</vt:lpwstr>
      </vt:variant>
      <vt:variant>
        <vt:i4>1114172</vt:i4>
      </vt:variant>
      <vt:variant>
        <vt:i4>137</vt:i4>
      </vt:variant>
      <vt:variant>
        <vt:i4>0</vt:i4>
      </vt:variant>
      <vt:variant>
        <vt:i4>5</vt:i4>
      </vt:variant>
      <vt:variant>
        <vt:lpwstr/>
      </vt:variant>
      <vt:variant>
        <vt:lpwstr>_Toc215524966</vt:lpwstr>
      </vt:variant>
      <vt:variant>
        <vt:i4>1114172</vt:i4>
      </vt:variant>
      <vt:variant>
        <vt:i4>131</vt:i4>
      </vt:variant>
      <vt:variant>
        <vt:i4>0</vt:i4>
      </vt:variant>
      <vt:variant>
        <vt:i4>5</vt:i4>
      </vt:variant>
      <vt:variant>
        <vt:lpwstr/>
      </vt:variant>
      <vt:variant>
        <vt:lpwstr>_Toc215524965</vt:lpwstr>
      </vt:variant>
      <vt:variant>
        <vt:i4>1114172</vt:i4>
      </vt:variant>
      <vt:variant>
        <vt:i4>125</vt:i4>
      </vt:variant>
      <vt:variant>
        <vt:i4>0</vt:i4>
      </vt:variant>
      <vt:variant>
        <vt:i4>5</vt:i4>
      </vt:variant>
      <vt:variant>
        <vt:lpwstr/>
      </vt:variant>
      <vt:variant>
        <vt:lpwstr>_Toc215524964</vt:lpwstr>
      </vt:variant>
      <vt:variant>
        <vt:i4>1114172</vt:i4>
      </vt:variant>
      <vt:variant>
        <vt:i4>119</vt:i4>
      </vt:variant>
      <vt:variant>
        <vt:i4>0</vt:i4>
      </vt:variant>
      <vt:variant>
        <vt:i4>5</vt:i4>
      </vt:variant>
      <vt:variant>
        <vt:lpwstr/>
      </vt:variant>
      <vt:variant>
        <vt:lpwstr>_Toc215524963</vt:lpwstr>
      </vt:variant>
      <vt:variant>
        <vt:i4>1114172</vt:i4>
      </vt:variant>
      <vt:variant>
        <vt:i4>113</vt:i4>
      </vt:variant>
      <vt:variant>
        <vt:i4>0</vt:i4>
      </vt:variant>
      <vt:variant>
        <vt:i4>5</vt:i4>
      </vt:variant>
      <vt:variant>
        <vt:lpwstr/>
      </vt:variant>
      <vt:variant>
        <vt:lpwstr>_Toc215524962</vt:lpwstr>
      </vt:variant>
      <vt:variant>
        <vt:i4>1114172</vt:i4>
      </vt:variant>
      <vt:variant>
        <vt:i4>107</vt:i4>
      </vt:variant>
      <vt:variant>
        <vt:i4>0</vt:i4>
      </vt:variant>
      <vt:variant>
        <vt:i4>5</vt:i4>
      </vt:variant>
      <vt:variant>
        <vt:lpwstr/>
      </vt:variant>
      <vt:variant>
        <vt:lpwstr>_Toc215524961</vt:lpwstr>
      </vt:variant>
      <vt:variant>
        <vt:i4>1114172</vt:i4>
      </vt:variant>
      <vt:variant>
        <vt:i4>101</vt:i4>
      </vt:variant>
      <vt:variant>
        <vt:i4>0</vt:i4>
      </vt:variant>
      <vt:variant>
        <vt:i4>5</vt:i4>
      </vt:variant>
      <vt:variant>
        <vt:lpwstr/>
      </vt:variant>
      <vt:variant>
        <vt:lpwstr>_Toc215524960</vt:lpwstr>
      </vt:variant>
      <vt:variant>
        <vt:i4>1179708</vt:i4>
      </vt:variant>
      <vt:variant>
        <vt:i4>95</vt:i4>
      </vt:variant>
      <vt:variant>
        <vt:i4>0</vt:i4>
      </vt:variant>
      <vt:variant>
        <vt:i4>5</vt:i4>
      </vt:variant>
      <vt:variant>
        <vt:lpwstr/>
      </vt:variant>
      <vt:variant>
        <vt:lpwstr>_Toc215524959</vt:lpwstr>
      </vt:variant>
      <vt:variant>
        <vt:i4>1179708</vt:i4>
      </vt:variant>
      <vt:variant>
        <vt:i4>89</vt:i4>
      </vt:variant>
      <vt:variant>
        <vt:i4>0</vt:i4>
      </vt:variant>
      <vt:variant>
        <vt:i4>5</vt:i4>
      </vt:variant>
      <vt:variant>
        <vt:lpwstr/>
      </vt:variant>
      <vt:variant>
        <vt:lpwstr>_Toc215524958</vt:lpwstr>
      </vt:variant>
      <vt:variant>
        <vt:i4>1179708</vt:i4>
      </vt:variant>
      <vt:variant>
        <vt:i4>83</vt:i4>
      </vt:variant>
      <vt:variant>
        <vt:i4>0</vt:i4>
      </vt:variant>
      <vt:variant>
        <vt:i4>5</vt:i4>
      </vt:variant>
      <vt:variant>
        <vt:lpwstr/>
      </vt:variant>
      <vt:variant>
        <vt:lpwstr>_Toc215524957</vt:lpwstr>
      </vt:variant>
      <vt:variant>
        <vt:i4>1179708</vt:i4>
      </vt:variant>
      <vt:variant>
        <vt:i4>77</vt:i4>
      </vt:variant>
      <vt:variant>
        <vt:i4>0</vt:i4>
      </vt:variant>
      <vt:variant>
        <vt:i4>5</vt:i4>
      </vt:variant>
      <vt:variant>
        <vt:lpwstr/>
      </vt:variant>
      <vt:variant>
        <vt:lpwstr>_Toc215524956</vt:lpwstr>
      </vt:variant>
      <vt:variant>
        <vt:i4>1179708</vt:i4>
      </vt:variant>
      <vt:variant>
        <vt:i4>71</vt:i4>
      </vt:variant>
      <vt:variant>
        <vt:i4>0</vt:i4>
      </vt:variant>
      <vt:variant>
        <vt:i4>5</vt:i4>
      </vt:variant>
      <vt:variant>
        <vt:lpwstr/>
      </vt:variant>
      <vt:variant>
        <vt:lpwstr>_Toc215524955</vt:lpwstr>
      </vt:variant>
      <vt:variant>
        <vt:i4>1179708</vt:i4>
      </vt:variant>
      <vt:variant>
        <vt:i4>65</vt:i4>
      </vt:variant>
      <vt:variant>
        <vt:i4>0</vt:i4>
      </vt:variant>
      <vt:variant>
        <vt:i4>5</vt:i4>
      </vt:variant>
      <vt:variant>
        <vt:lpwstr/>
      </vt:variant>
      <vt:variant>
        <vt:lpwstr>_Toc215524954</vt:lpwstr>
      </vt:variant>
      <vt:variant>
        <vt:i4>1179708</vt:i4>
      </vt:variant>
      <vt:variant>
        <vt:i4>59</vt:i4>
      </vt:variant>
      <vt:variant>
        <vt:i4>0</vt:i4>
      </vt:variant>
      <vt:variant>
        <vt:i4>5</vt:i4>
      </vt:variant>
      <vt:variant>
        <vt:lpwstr/>
      </vt:variant>
      <vt:variant>
        <vt:lpwstr>_Toc215524953</vt:lpwstr>
      </vt:variant>
      <vt:variant>
        <vt:i4>1179708</vt:i4>
      </vt:variant>
      <vt:variant>
        <vt:i4>53</vt:i4>
      </vt:variant>
      <vt:variant>
        <vt:i4>0</vt:i4>
      </vt:variant>
      <vt:variant>
        <vt:i4>5</vt:i4>
      </vt:variant>
      <vt:variant>
        <vt:lpwstr/>
      </vt:variant>
      <vt:variant>
        <vt:lpwstr>_Toc215524952</vt:lpwstr>
      </vt:variant>
      <vt:variant>
        <vt:i4>1179708</vt:i4>
      </vt:variant>
      <vt:variant>
        <vt:i4>47</vt:i4>
      </vt:variant>
      <vt:variant>
        <vt:i4>0</vt:i4>
      </vt:variant>
      <vt:variant>
        <vt:i4>5</vt:i4>
      </vt:variant>
      <vt:variant>
        <vt:lpwstr/>
      </vt:variant>
      <vt:variant>
        <vt:lpwstr>_Toc215524951</vt:lpwstr>
      </vt:variant>
      <vt:variant>
        <vt:i4>1179708</vt:i4>
      </vt:variant>
      <vt:variant>
        <vt:i4>41</vt:i4>
      </vt:variant>
      <vt:variant>
        <vt:i4>0</vt:i4>
      </vt:variant>
      <vt:variant>
        <vt:i4>5</vt:i4>
      </vt:variant>
      <vt:variant>
        <vt:lpwstr/>
      </vt:variant>
      <vt:variant>
        <vt:lpwstr>_Toc215524950</vt:lpwstr>
      </vt:variant>
      <vt:variant>
        <vt:i4>1245244</vt:i4>
      </vt:variant>
      <vt:variant>
        <vt:i4>35</vt:i4>
      </vt:variant>
      <vt:variant>
        <vt:i4>0</vt:i4>
      </vt:variant>
      <vt:variant>
        <vt:i4>5</vt:i4>
      </vt:variant>
      <vt:variant>
        <vt:lpwstr/>
      </vt:variant>
      <vt:variant>
        <vt:lpwstr>_Toc215524949</vt:lpwstr>
      </vt:variant>
      <vt:variant>
        <vt:i4>1245244</vt:i4>
      </vt:variant>
      <vt:variant>
        <vt:i4>29</vt:i4>
      </vt:variant>
      <vt:variant>
        <vt:i4>0</vt:i4>
      </vt:variant>
      <vt:variant>
        <vt:i4>5</vt:i4>
      </vt:variant>
      <vt:variant>
        <vt:lpwstr/>
      </vt:variant>
      <vt:variant>
        <vt:lpwstr>_Toc215524948</vt:lpwstr>
      </vt:variant>
      <vt:variant>
        <vt:i4>1245244</vt:i4>
      </vt:variant>
      <vt:variant>
        <vt:i4>23</vt:i4>
      </vt:variant>
      <vt:variant>
        <vt:i4>0</vt:i4>
      </vt:variant>
      <vt:variant>
        <vt:i4>5</vt:i4>
      </vt:variant>
      <vt:variant>
        <vt:lpwstr/>
      </vt:variant>
      <vt:variant>
        <vt:lpwstr>_Toc215524947</vt:lpwstr>
      </vt:variant>
      <vt:variant>
        <vt:i4>1245244</vt:i4>
      </vt:variant>
      <vt:variant>
        <vt:i4>17</vt:i4>
      </vt:variant>
      <vt:variant>
        <vt:i4>0</vt:i4>
      </vt:variant>
      <vt:variant>
        <vt:i4>5</vt:i4>
      </vt:variant>
      <vt:variant>
        <vt:lpwstr/>
      </vt:variant>
      <vt:variant>
        <vt:lpwstr>_Toc215524946</vt:lpwstr>
      </vt:variant>
      <vt:variant>
        <vt:i4>1245244</vt:i4>
      </vt:variant>
      <vt:variant>
        <vt:i4>14</vt:i4>
      </vt:variant>
      <vt:variant>
        <vt:i4>0</vt:i4>
      </vt:variant>
      <vt:variant>
        <vt:i4>5</vt:i4>
      </vt:variant>
      <vt:variant>
        <vt:lpwstr/>
      </vt:variant>
      <vt:variant>
        <vt:lpwstr>_Toc215524943</vt:lpwstr>
      </vt:variant>
      <vt:variant>
        <vt:i4>7864355</vt:i4>
      </vt:variant>
      <vt:variant>
        <vt:i4>9</vt:i4>
      </vt:variant>
      <vt:variant>
        <vt:i4>0</vt:i4>
      </vt:variant>
      <vt:variant>
        <vt:i4>5</vt:i4>
      </vt:variant>
      <vt:variant>
        <vt:lpwstr>https://www.legislation.gov.au/Details/C2018C00151</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2025-12-08T05:14:00Z</dcterms:created>
  <dcterms:modified xsi:type="dcterms:W3CDTF">2025-12-08T05:22:00Z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2025-12-07T23:13:49Z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5be60c3b-b9e7-44af-af83-00a7b7f00dbb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