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C583" w14:textId="468E3543" w:rsidR="0066416C" w:rsidRDefault="00FA650C" w:rsidP="007A1FA5">
      <w:bookmarkStart w:id="0" w:name="_Toc19289801"/>
      <w:r>
        <w:rPr>
          <w:noProof/>
        </w:rPr>
        <w:drawing>
          <wp:inline distT="0" distB="0" distL="0" distR="0" wp14:anchorId="12D61179" wp14:editId="5919FE63">
            <wp:extent cx="2238375" cy="647700"/>
            <wp:effectExtent l="0" t="0" r="0" b="0"/>
            <wp:docPr id="4" name="Picture 4"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 Department of Industry, Science and Resour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647700"/>
                    </a:xfrm>
                    <a:prstGeom prst="rect">
                      <a:avLst/>
                    </a:prstGeom>
                    <a:noFill/>
                    <a:ln>
                      <a:noFill/>
                    </a:ln>
                  </pic:spPr>
                </pic:pic>
              </a:graphicData>
            </a:graphic>
          </wp:inline>
        </w:drawing>
      </w:r>
      <w:r w:rsidR="0066416C">
        <w:t xml:space="preserve"> </w:t>
      </w:r>
    </w:p>
    <w:p w14:paraId="10BF13ED" w14:textId="77777777" w:rsidR="00E71FB1" w:rsidRDefault="00E71FB1" w:rsidP="0066416C">
      <w:pPr>
        <w:spacing w:after="600"/>
      </w:pPr>
    </w:p>
    <w:p w14:paraId="0D6C1CB4" w14:textId="77777777" w:rsidR="00E71FB1" w:rsidRDefault="00E71FB1" w:rsidP="0066416C">
      <w:pPr>
        <w:spacing w:after="600"/>
      </w:pPr>
    </w:p>
    <w:p w14:paraId="0795E250" w14:textId="35336087" w:rsidR="0066416C" w:rsidRDefault="00903913" w:rsidP="007B10EE">
      <w:pPr>
        <w:pStyle w:val="Title"/>
      </w:pPr>
      <w:bookmarkStart w:id="1" w:name="_Toc166146680"/>
      <w:bookmarkStart w:id="2" w:name="_Toc155191311"/>
      <w:bookmarkStart w:id="3" w:name="_Toc144911604"/>
      <w:bookmarkStart w:id="4" w:name="_Toc175902042"/>
      <w:bookmarkStart w:id="5" w:name="_Toc177050458"/>
      <w:bookmarkStart w:id="6" w:name="_Toc183621758"/>
      <w:bookmarkStart w:id="7" w:name="_Toc183622548"/>
      <w:bookmarkStart w:id="8" w:name="_Toc183625385"/>
      <w:bookmarkStart w:id="9" w:name="_Toc189219057"/>
      <w:bookmarkStart w:id="10" w:name="_Toc189749944"/>
      <w:bookmarkStart w:id="11" w:name="_Toc193955344"/>
      <w:bookmarkEnd w:id="0"/>
      <w:bookmarkEnd w:id="1"/>
      <w:bookmarkEnd w:id="2"/>
      <w:bookmarkEnd w:id="3"/>
      <w:r>
        <w:t>Offshore petroleum exploration</w:t>
      </w:r>
      <w:r w:rsidR="00DC36AD">
        <w:t xml:space="preserve"> work-bid</w:t>
      </w:r>
      <w:r w:rsidR="00DC18F9">
        <w:t xml:space="preserve"> permits</w:t>
      </w:r>
      <w:bookmarkEnd w:id="4"/>
      <w:bookmarkEnd w:id="5"/>
      <w:bookmarkEnd w:id="6"/>
      <w:bookmarkEnd w:id="7"/>
      <w:bookmarkEnd w:id="8"/>
      <w:bookmarkEnd w:id="9"/>
      <w:bookmarkEnd w:id="10"/>
      <w:bookmarkEnd w:id="11"/>
    </w:p>
    <w:p w14:paraId="1C17BE07" w14:textId="77777777" w:rsidR="0066416C" w:rsidRPr="00B108D8" w:rsidRDefault="00903913" w:rsidP="1315E805">
      <w:pPr>
        <w:pStyle w:val="Subtitle"/>
        <w:spacing w:after="480"/>
        <w:rPr>
          <w:color w:val="001B35"/>
          <w:sz w:val="26"/>
          <w:szCs w:val="26"/>
        </w:rPr>
      </w:pPr>
      <w:r>
        <w:t>Guideline</w:t>
      </w:r>
    </w:p>
    <w:p w14:paraId="55E1D767" w14:textId="018D8885" w:rsidR="0066416C" w:rsidRDefault="00EA5040" w:rsidP="0066416C">
      <w:pPr>
        <w:pStyle w:val="Authoranddate"/>
        <w:spacing w:after="600"/>
        <w:rPr>
          <w:sz w:val="32"/>
          <w:szCs w:val="32"/>
        </w:rPr>
      </w:pPr>
      <w:r>
        <w:rPr>
          <w:sz w:val="32"/>
          <w:szCs w:val="32"/>
        </w:rPr>
        <w:t>9</w:t>
      </w:r>
      <w:r w:rsidR="008D2E80">
        <w:rPr>
          <w:sz w:val="32"/>
          <w:szCs w:val="32"/>
        </w:rPr>
        <w:t xml:space="preserve"> </w:t>
      </w:r>
      <w:r w:rsidR="005C0C85">
        <w:rPr>
          <w:sz w:val="32"/>
          <w:szCs w:val="32"/>
        </w:rPr>
        <w:t>December 2025</w:t>
      </w:r>
    </w:p>
    <w:p w14:paraId="5411617C" w14:textId="77777777" w:rsidR="0066416C" w:rsidRPr="00B108D8" w:rsidRDefault="0066416C" w:rsidP="1315E805">
      <w:pPr>
        <w:pStyle w:val="Footer"/>
        <w:spacing w:after="120"/>
        <w:rPr>
          <w:color w:val="001B35"/>
        </w:rPr>
      </w:pPr>
      <w:r w:rsidRPr="00B108D8">
        <w:rPr>
          <w:color w:val="001B35"/>
        </w:rPr>
        <w:t>Our purpose is to help the government build a better future for all Australians through enabling a productive, resilient and sustainable economy, enriched by science and technology.</w:t>
      </w:r>
    </w:p>
    <w:p w14:paraId="39D5AE6F" w14:textId="322A4D8A" w:rsidR="0066416C" w:rsidRPr="00B108D8" w:rsidRDefault="0066416C" w:rsidP="1315E805">
      <w:pPr>
        <w:pStyle w:val="Footer"/>
        <w:rPr>
          <w:color w:val="001B35"/>
          <w:sz w:val="22"/>
        </w:rPr>
      </w:pPr>
      <w:r w:rsidRPr="00B108D8">
        <w:rPr>
          <w:color w:val="15659B"/>
          <w:sz w:val="22"/>
        </w:rPr>
        <w:t>|</w:t>
      </w:r>
      <w:r w:rsidRPr="00B108D8">
        <w:rPr>
          <w:b/>
          <w:bCs/>
          <w:color w:val="001B35"/>
          <w:sz w:val="22"/>
        </w:rPr>
        <w:t xml:space="preserve"> </w:t>
      </w:r>
      <w:r w:rsidR="005C0C85">
        <w:rPr>
          <w:b/>
          <w:bCs/>
          <w:color w:val="001B35"/>
          <w:sz w:val="22"/>
        </w:rPr>
        <w:t>www.nopta.gov.au</w:t>
      </w:r>
      <w:r w:rsidRPr="1315E805">
        <w:rPr>
          <w:sz w:val="24"/>
          <w:szCs w:val="24"/>
        </w:rPr>
        <w:br w:type="page"/>
      </w:r>
    </w:p>
    <w:p w14:paraId="5591B0BD" w14:textId="77777777" w:rsidR="0066416C" w:rsidRDefault="0066416C" w:rsidP="0066416C">
      <w:pPr>
        <w:pStyle w:val="Heading2"/>
      </w:pPr>
      <w:bookmarkStart w:id="12" w:name="_Toc19023739"/>
      <w:bookmarkStart w:id="13" w:name="_Toc19289802"/>
      <w:bookmarkStart w:id="14" w:name="_Toc144911605"/>
      <w:bookmarkStart w:id="15" w:name="_Toc155191312"/>
      <w:bookmarkStart w:id="16" w:name="_Toc175902043"/>
      <w:bookmarkStart w:id="17" w:name="_Toc177050459"/>
      <w:bookmarkStart w:id="18" w:name="_Toc183621759"/>
      <w:bookmarkStart w:id="19" w:name="_Toc183622549"/>
      <w:bookmarkStart w:id="20" w:name="_Toc183625386"/>
      <w:bookmarkStart w:id="21" w:name="_Ref189217247"/>
      <w:bookmarkStart w:id="22" w:name="_Toc189219058"/>
      <w:bookmarkStart w:id="23" w:name="_Toc189749945"/>
      <w:bookmarkStart w:id="24" w:name="_Toc193955345"/>
      <w:r>
        <w:lastRenderedPageBreak/>
        <w:t>Copyright</w:t>
      </w:r>
      <w:bookmarkEnd w:id="12"/>
      <w:bookmarkEnd w:id="13"/>
      <w:bookmarkEnd w:id="14"/>
      <w:bookmarkEnd w:id="15"/>
      <w:bookmarkEnd w:id="16"/>
      <w:bookmarkEnd w:id="17"/>
      <w:bookmarkEnd w:id="18"/>
      <w:bookmarkEnd w:id="19"/>
      <w:bookmarkEnd w:id="20"/>
      <w:bookmarkEnd w:id="21"/>
      <w:bookmarkEnd w:id="22"/>
      <w:bookmarkEnd w:id="23"/>
      <w:bookmarkEnd w:id="24"/>
    </w:p>
    <w:p w14:paraId="51362963" w14:textId="77777777" w:rsidR="0066416C" w:rsidRPr="0068286F" w:rsidRDefault="0066416C" w:rsidP="0066416C">
      <w:pPr>
        <w:rPr>
          <w:rStyle w:val="Strong"/>
        </w:rPr>
      </w:pPr>
      <w:r w:rsidRPr="1315E805">
        <w:rPr>
          <w:rStyle w:val="Strong"/>
        </w:rPr>
        <w:t xml:space="preserve">© Commonwealth of </w:t>
      </w:r>
      <w:r w:rsidRPr="007A1FA5">
        <w:rPr>
          <w:rStyle w:val="Strong"/>
        </w:rPr>
        <w:t>Australia</w:t>
      </w:r>
      <w:r w:rsidR="00903913" w:rsidRPr="007A1FA5">
        <w:rPr>
          <w:rStyle w:val="Strong"/>
        </w:rPr>
        <w:t xml:space="preserve"> 202</w:t>
      </w:r>
      <w:r w:rsidR="00E24F47" w:rsidRPr="007A1FA5">
        <w:rPr>
          <w:rStyle w:val="Strong"/>
        </w:rPr>
        <w:t>5</w:t>
      </w:r>
    </w:p>
    <w:p w14:paraId="25DE95EE" w14:textId="77777777" w:rsidR="0066416C" w:rsidRPr="0068286F" w:rsidRDefault="0066416C" w:rsidP="0066416C">
      <w:pPr>
        <w:rPr>
          <w:rStyle w:val="Strong"/>
        </w:rPr>
      </w:pPr>
      <w:r w:rsidRPr="1315E805">
        <w:rPr>
          <w:rStyle w:val="Strong"/>
        </w:rPr>
        <w:t>Ownership of intellectual property rights</w:t>
      </w:r>
    </w:p>
    <w:p w14:paraId="672A9291" w14:textId="77777777" w:rsidR="0066416C" w:rsidRDefault="0066416C" w:rsidP="0066416C">
      <w:r>
        <w:t>Unless otherwise noted, copyright (and any other intellectual property rights, if any) in this publication is owned by the Commonwealth of Australia.</w:t>
      </w:r>
    </w:p>
    <w:p w14:paraId="6745ACF9" w14:textId="6380B342" w:rsidR="0066416C" w:rsidRPr="001D216A" w:rsidRDefault="00FA650C" w:rsidP="0066416C">
      <w:pPr>
        <w:rPr>
          <w:rStyle w:val="Strong"/>
        </w:rPr>
      </w:pPr>
      <w:r w:rsidRPr="00B108D8">
        <w:rPr>
          <w:b/>
          <w:noProof/>
          <w:lang w:eastAsia="en-AU"/>
        </w:rPr>
        <w:drawing>
          <wp:inline distT="0" distB="0" distL="0" distR="0" wp14:anchorId="166C40C7" wp14:editId="10568D8A">
            <wp:extent cx="1133475"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0" cstate="print"/>
                    <a:srcRect/>
                    <a:stretch/>
                  </pic:blipFill>
                  <pic:spPr bwMode="auto">
                    <a:xfrm>
                      <a:off x="0" y="0"/>
                      <a:ext cx="1133475" cy="438150"/>
                    </a:xfrm>
                    <a:prstGeom prst="rect">
                      <a:avLst/>
                    </a:prstGeom>
                    <a:ln>
                      <a:noFill/>
                    </a:ln>
                  </pic:spPr>
                </pic:pic>
              </a:graphicData>
            </a:graphic>
          </wp:inline>
        </w:drawing>
      </w:r>
    </w:p>
    <w:p w14:paraId="7709C6A9" w14:textId="77777777" w:rsidR="0066416C" w:rsidRPr="001D216A" w:rsidRDefault="009B4687" w:rsidP="0066416C">
      <w:pPr>
        <w:rPr>
          <w:rStyle w:val="Strong"/>
        </w:rPr>
      </w:pPr>
      <w:hyperlink r:id="rId11">
        <w:r w:rsidRPr="1315E805">
          <w:rPr>
            <w:rStyle w:val="Hyperlink"/>
            <w:b/>
            <w:bCs/>
          </w:rPr>
          <w:t>Creative Commons Attribution 4.0 International Licence CC BY 4.0</w:t>
        </w:r>
      </w:hyperlink>
    </w:p>
    <w:p w14:paraId="4D174B69" w14:textId="77777777" w:rsidR="0066416C" w:rsidRPr="0066416C" w:rsidRDefault="0066416C" w:rsidP="0066416C">
      <w:r>
        <w:t xml:space="preserve">All material in this publication is licensed under a Creative Commons Attribution 4.0 International Licence, </w:t>
      </w:r>
      <w:proofErr w:type="gramStart"/>
      <w:r>
        <w:t>with the exception of</w:t>
      </w:r>
      <w:proofErr w:type="gramEnd"/>
      <w:r>
        <w:t>:</w:t>
      </w:r>
    </w:p>
    <w:p w14:paraId="4E4708AA" w14:textId="77777777" w:rsidR="00C22238" w:rsidRPr="00E64EC8" w:rsidRDefault="00C22238" w:rsidP="00E64EC8">
      <w:pPr>
        <w:pStyle w:val="ListParagraph"/>
        <w:numPr>
          <w:ilvl w:val="0"/>
          <w:numId w:val="39"/>
        </w:numPr>
        <w:ind w:left="720"/>
        <w:rPr>
          <w:rFonts w:asciiTheme="minorHAnsi" w:eastAsiaTheme="minorHAnsi" w:hAnsiTheme="minorHAnsi" w:cstheme="minorBidi"/>
        </w:rPr>
      </w:pPr>
      <w:r w:rsidRPr="00E64EC8">
        <w:rPr>
          <w:rFonts w:asciiTheme="minorHAnsi" w:eastAsiaTheme="minorHAnsi" w:hAnsiTheme="minorHAnsi" w:cstheme="minorBidi"/>
        </w:rPr>
        <w:t>the Commonwealth Coat of Arms</w:t>
      </w:r>
    </w:p>
    <w:p w14:paraId="16244FAE" w14:textId="77777777" w:rsidR="00C22238" w:rsidRPr="00E64EC8" w:rsidRDefault="00C22238" w:rsidP="00E64EC8">
      <w:pPr>
        <w:pStyle w:val="ListParagraph"/>
        <w:numPr>
          <w:ilvl w:val="0"/>
          <w:numId w:val="39"/>
        </w:numPr>
        <w:ind w:left="720"/>
        <w:rPr>
          <w:rFonts w:asciiTheme="minorHAnsi" w:eastAsiaTheme="minorHAnsi" w:hAnsiTheme="minorHAnsi" w:cstheme="minorBidi"/>
        </w:rPr>
      </w:pPr>
      <w:r w:rsidRPr="00E64EC8">
        <w:rPr>
          <w:rFonts w:asciiTheme="minorHAnsi" w:eastAsiaTheme="minorHAnsi" w:hAnsiTheme="minorHAnsi" w:cstheme="minorBidi"/>
        </w:rPr>
        <w:t>content supplied by third parties</w:t>
      </w:r>
    </w:p>
    <w:p w14:paraId="0A118B99" w14:textId="77777777" w:rsidR="00C22238" w:rsidRPr="00E64EC8" w:rsidRDefault="00C22238" w:rsidP="00E64EC8">
      <w:pPr>
        <w:pStyle w:val="ListParagraph"/>
        <w:numPr>
          <w:ilvl w:val="0"/>
          <w:numId w:val="39"/>
        </w:numPr>
        <w:ind w:left="720"/>
        <w:rPr>
          <w:rFonts w:asciiTheme="minorHAnsi" w:eastAsiaTheme="minorHAnsi" w:hAnsiTheme="minorHAnsi" w:cstheme="minorBidi"/>
        </w:rPr>
      </w:pPr>
      <w:r w:rsidRPr="00E64EC8">
        <w:rPr>
          <w:rFonts w:asciiTheme="minorHAnsi" w:eastAsiaTheme="minorHAnsi" w:hAnsiTheme="minorHAnsi" w:cstheme="minorBidi"/>
        </w:rPr>
        <w:t>logos</w:t>
      </w:r>
    </w:p>
    <w:p w14:paraId="5E2527B3" w14:textId="77777777" w:rsidR="00C22238" w:rsidRPr="00E64EC8" w:rsidRDefault="00C22238" w:rsidP="00E64EC8">
      <w:pPr>
        <w:pStyle w:val="ListParagraph"/>
        <w:numPr>
          <w:ilvl w:val="0"/>
          <w:numId w:val="39"/>
        </w:numPr>
        <w:ind w:left="720"/>
        <w:rPr>
          <w:rFonts w:asciiTheme="minorHAnsi" w:eastAsiaTheme="minorHAnsi" w:hAnsiTheme="minorHAnsi" w:cstheme="minorBidi"/>
        </w:rPr>
      </w:pPr>
      <w:r w:rsidRPr="00E64EC8">
        <w:rPr>
          <w:rFonts w:asciiTheme="minorHAnsi" w:eastAsiaTheme="minorHAnsi" w:hAnsiTheme="minorHAnsi" w:cstheme="minorBidi"/>
        </w:rPr>
        <w:t>any material protected by trademark or otherwise noted in this publication.</w:t>
      </w:r>
    </w:p>
    <w:p w14:paraId="58A3F721" w14:textId="77777777" w:rsidR="0066416C" w:rsidRPr="0066416C" w:rsidRDefault="0066416C" w:rsidP="0066416C">
      <w: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2">
        <w:r w:rsidRPr="1315E805">
          <w:rPr>
            <w:rStyle w:val="Hyperlink"/>
          </w:rPr>
          <w:t>https://creativecommons.org/licenses/by/4.0/</w:t>
        </w:r>
      </w:hyperlink>
      <w:r>
        <w:t xml:space="preserve">. The full licence terms are available from </w:t>
      </w:r>
      <w:hyperlink r:id="rId13">
        <w:r w:rsidRPr="1315E805">
          <w:rPr>
            <w:rStyle w:val="Hyperlink"/>
          </w:rPr>
          <w:t>https://creativecommons.org/licenses/by/4.0/legalcode</w:t>
        </w:r>
      </w:hyperlink>
      <w:r>
        <w:t>.</w:t>
      </w:r>
    </w:p>
    <w:p w14:paraId="254C9A3C" w14:textId="34AB18E8" w:rsidR="000F50CE" w:rsidRDefault="000F50CE" w:rsidP="000F50CE">
      <w:r>
        <w:t>Content contained herein should be attributed as</w:t>
      </w:r>
      <w:r w:rsidR="00457451">
        <w:t xml:space="preserve"> the </w:t>
      </w:r>
      <w:r w:rsidR="00740192">
        <w:t>O</w:t>
      </w:r>
      <w:r w:rsidR="00457451" w:rsidRPr="00140DEF">
        <w:rPr>
          <w:i/>
          <w:iCs/>
        </w:rPr>
        <w:t>ffshore petroleum exploration work-bid guideline</w:t>
      </w:r>
      <w:r w:rsidR="00140DEF" w:rsidRPr="00140DEF">
        <w:rPr>
          <w:i/>
          <w:iCs/>
        </w:rPr>
        <w:t xml:space="preserve">, </w:t>
      </w:r>
      <w:r w:rsidRPr="00140DEF">
        <w:rPr>
          <w:i/>
          <w:iCs/>
        </w:rPr>
        <w:t>Australian Government Department of Industry, Science and Resources</w:t>
      </w:r>
      <w:r w:rsidRPr="00140DEF">
        <w:t>.</w:t>
      </w:r>
    </w:p>
    <w:p w14:paraId="06C5C332" w14:textId="77777777" w:rsidR="00B81C11" w:rsidRDefault="0066416C" w:rsidP="009B4687">
      <w:r>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6BDE0F02" w14:textId="77777777" w:rsidR="00B81C11" w:rsidRPr="001D216A" w:rsidRDefault="00B81C11" w:rsidP="00B81C11">
      <w:pPr>
        <w:pStyle w:val="Heading2"/>
      </w:pPr>
      <w:bookmarkStart w:id="25" w:name="_Toc19023740"/>
      <w:bookmarkStart w:id="26" w:name="_Toc19289803"/>
      <w:bookmarkStart w:id="27" w:name="_Toc144911606"/>
      <w:bookmarkStart w:id="28" w:name="_Toc155191314"/>
      <w:bookmarkStart w:id="29" w:name="_Toc175902044"/>
      <w:bookmarkStart w:id="30" w:name="_Toc177050460"/>
      <w:bookmarkStart w:id="31" w:name="_Toc183621760"/>
      <w:bookmarkStart w:id="32" w:name="_Toc183622550"/>
      <w:bookmarkStart w:id="33" w:name="_Toc183625387"/>
      <w:bookmarkStart w:id="34" w:name="_Toc189219059"/>
      <w:bookmarkStart w:id="35" w:name="_Toc189749946"/>
      <w:bookmarkStart w:id="36" w:name="_Toc193955346"/>
      <w:r>
        <w:lastRenderedPageBreak/>
        <w:t>Disclaimer</w:t>
      </w:r>
      <w:bookmarkEnd w:id="25"/>
      <w:bookmarkEnd w:id="26"/>
      <w:bookmarkEnd w:id="27"/>
      <w:bookmarkEnd w:id="28"/>
      <w:bookmarkEnd w:id="29"/>
      <w:bookmarkEnd w:id="30"/>
      <w:bookmarkEnd w:id="31"/>
      <w:bookmarkEnd w:id="32"/>
      <w:bookmarkEnd w:id="33"/>
      <w:bookmarkEnd w:id="34"/>
      <w:bookmarkEnd w:id="35"/>
      <w:bookmarkEnd w:id="36"/>
    </w:p>
    <w:p w14:paraId="40F2A242" w14:textId="2761AC7A" w:rsidR="00903913" w:rsidRDefault="00B81C11" w:rsidP="00903913">
      <w:r>
        <w:t xml:space="preserve">The purpose of this publication is to </w:t>
      </w:r>
      <w:r w:rsidR="00903913">
        <w:t xml:space="preserve">provide information on the grant, administration and management of offshore petroleum exploration permits under the </w:t>
      </w:r>
      <w:hyperlink r:id="rId14">
        <w:r w:rsidR="00903913" w:rsidRPr="1315E805">
          <w:rPr>
            <w:i/>
            <w:iCs/>
          </w:rPr>
          <w:t>Offshore Petroleum and Greenhouse Gas Storage Act 2006</w:t>
        </w:r>
      </w:hyperlink>
      <w:r w:rsidR="00903913">
        <w:t xml:space="preserve"> (OPGGS Act). This guideline also assists applicants and titleholders to understand the expectations of the Joint Authority when making decisions on applications.</w:t>
      </w:r>
    </w:p>
    <w:p w14:paraId="3747926C" w14:textId="4C9CEF34" w:rsidR="00B81C11" w:rsidRDefault="00B81C11" w:rsidP="00B81C11">
      <w:r>
        <w:t>The Commonwealth as represented by the Department of Industry, Science</w:t>
      </w:r>
      <w:r w:rsidR="005C111D">
        <w:t xml:space="preserve"> </w:t>
      </w:r>
      <w:r>
        <w:t>and Resources has exercised due care and skill in the preparation and compilation of the information in this publication.</w:t>
      </w:r>
    </w:p>
    <w:p w14:paraId="4FC907E9" w14:textId="77777777" w:rsidR="00B81C11" w:rsidRDefault="00B81C11" w:rsidP="00B81C11">
      <w:r>
        <w:t>The Commonwealth does not guarantee the accuracy, reliability or completeness of the information contained in this publication. Interested parties should make their own independent inquires and obtain their own independent professional advice prior to relying on, or making any decisions in relation to, the information provided in this publication.</w:t>
      </w:r>
    </w:p>
    <w:p w14:paraId="6E4144D7" w14:textId="77777777" w:rsidR="00E14F58" w:rsidRPr="00BA0B22" w:rsidRDefault="00B81C11" w:rsidP="00E14F58">
      <w:r>
        <w:t xml:space="preserve">The Commonwealth accepts no responsibility or liability for any damage, loss or expense incurred </w:t>
      </w:r>
      <w:proofErr w:type="gramStart"/>
      <w:r>
        <w:t>as a result of</w:t>
      </w:r>
      <w:proofErr w:type="gramEnd"/>
      <w:r>
        <w:t xml:space="preserve"> the reliance on information contained in this publication. This publication does not indicate commitment by the Commonwealth to a particular course of action.</w:t>
      </w:r>
    </w:p>
    <w:p w14:paraId="58FAEC15" w14:textId="77777777" w:rsidR="00DD41C7" w:rsidRDefault="0066416C" w:rsidP="0066416C">
      <w:pPr>
        <w:sectPr w:rsidR="00DD41C7" w:rsidSect="00DD41C7">
          <w:footerReference w:type="default" r:id="rId15"/>
          <w:headerReference w:type="first" r:id="rId16"/>
          <w:pgSz w:w="11906" w:h="16838"/>
          <w:pgMar w:top="1276" w:right="1440" w:bottom="1440" w:left="1440" w:header="851" w:footer="708" w:gutter="0"/>
          <w:pgNumType w:fmt="lowerRoman" w:start="1"/>
          <w:cols w:space="708"/>
          <w:titlePg/>
          <w:docGrid w:linePitch="360"/>
        </w:sectPr>
      </w:pPr>
      <w:r>
        <w:br w:type="page"/>
      </w:r>
    </w:p>
    <w:sdt>
      <w:sdtPr>
        <w:rPr>
          <w:rFonts w:ascii="Aptos" w:eastAsia="Aptos" w:hAnsi="Aptos"/>
          <w:color w:val="auto"/>
          <w:sz w:val="20"/>
          <w:szCs w:val="22"/>
          <w:lang w:val="en-AU"/>
        </w:rPr>
        <w:id w:val="-90013162"/>
        <w:docPartObj>
          <w:docPartGallery w:val="Table of Contents"/>
          <w:docPartUnique/>
        </w:docPartObj>
      </w:sdtPr>
      <w:sdtEndPr>
        <w:rPr>
          <w:b/>
          <w:bCs/>
          <w:noProof/>
          <w:szCs w:val="20"/>
        </w:rPr>
      </w:sdtEndPr>
      <w:sdtContent>
        <w:p w14:paraId="47F36A56" w14:textId="77777777" w:rsidR="00897128" w:rsidRDefault="00D574F7" w:rsidP="00D574F7">
          <w:pPr>
            <w:pStyle w:val="TOCHeading"/>
            <w:rPr>
              <w:noProof/>
            </w:rPr>
          </w:pPr>
          <w:r>
            <w:t>Contents</w:t>
          </w:r>
          <w:r>
            <w:fldChar w:fldCharType="begin"/>
          </w:r>
          <w:r>
            <w:instrText xml:space="preserve"> TOC \o "1-3" \h \z \u </w:instrText>
          </w:r>
          <w:r>
            <w:fldChar w:fldCharType="separate"/>
          </w:r>
        </w:p>
        <w:p w14:paraId="51B6112F" w14:textId="42B65C18" w:rsidR="00897128" w:rsidRDefault="00897128" w:rsidP="00C97674">
          <w:pPr>
            <w:pStyle w:val="TOC2"/>
            <w:rPr>
              <w:rFonts w:asciiTheme="minorHAnsi" w:eastAsiaTheme="minorEastAsia" w:hAnsiTheme="minorHAnsi" w:cstheme="minorBidi"/>
              <w:noProof/>
              <w:kern w:val="2"/>
              <w:sz w:val="24"/>
              <w:szCs w:val="24"/>
              <w:lang w:eastAsia="en-AU"/>
              <w14:ligatures w14:val="standardContextual"/>
            </w:rPr>
          </w:pPr>
          <w:hyperlink w:anchor="_Toc193955347" w:history="1">
            <w:r w:rsidRPr="009E2044">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9E2044">
              <w:rPr>
                <w:rStyle w:val="Hyperlink"/>
                <w:noProof/>
              </w:rPr>
              <w:t>Overview</w:t>
            </w:r>
            <w:r>
              <w:rPr>
                <w:noProof/>
                <w:webHidden/>
              </w:rPr>
              <w:tab/>
            </w:r>
            <w:r>
              <w:rPr>
                <w:noProof/>
                <w:webHidden/>
              </w:rPr>
              <w:fldChar w:fldCharType="begin"/>
            </w:r>
            <w:r>
              <w:rPr>
                <w:noProof/>
                <w:webHidden/>
              </w:rPr>
              <w:instrText xml:space="preserve"> PAGEREF _Toc193955347 \h </w:instrText>
            </w:r>
            <w:r>
              <w:rPr>
                <w:noProof/>
                <w:webHidden/>
              </w:rPr>
            </w:r>
            <w:r>
              <w:rPr>
                <w:noProof/>
                <w:webHidden/>
              </w:rPr>
              <w:fldChar w:fldCharType="separate"/>
            </w:r>
            <w:r w:rsidR="002B1B9C">
              <w:rPr>
                <w:noProof/>
                <w:webHidden/>
              </w:rPr>
              <w:t>2</w:t>
            </w:r>
            <w:r>
              <w:rPr>
                <w:noProof/>
                <w:webHidden/>
              </w:rPr>
              <w:fldChar w:fldCharType="end"/>
            </w:r>
          </w:hyperlink>
        </w:p>
        <w:p w14:paraId="50BE2073" w14:textId="020C726D"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48" w:history="1">
            <w:r w:rsidRPr="009E2044">
              <w:rPr>
                <w:rStyle w:val="Hyperlink"/>
                <w:noProof/>
              </w:rPr>
              <w:t>Decision-maker</w:t>
            </w:r>
            <w:r>
              <w:rPr>
                <w:noProof/>
                <w:webHidden/>
              </w:rPr>
              <w:tab/>
            </w:r>
            <w:r>
              <w:rPr>
                <w:noProof/>
                <w:webHidden/>
              </w:rPr>
              <w:fldChar w:fldCharType="begin"/>
            </w:r>
            <w:r>
              <w:rPr>
                <w:noProof/>
                <w:webHidden/>
              </w:rPr>
              <w:instrText xml:space="preserve"> PAGEREF _Toc193955348 \h </w:instrText>
            </w:r>
            <w:r>
              <w:rPr>
                <w:noProof/>
                <w:webHidden/>
              </w:rPr>
            </w:r>
            <w:r>
              <w:rPr>
                <w:noProof/>
                <w:webHidden/>
              </w:rPr>
              <w:fldChar w:fldCharType="separate"/>
            </w:r>
            <w:r w:rsidR="002B1B9C">
              <w:rPr>
                <w:noProof/>
                <w:webHidden/>
              </w:rPr>
              <w:t>2</w:t>
            </w:r>
            <w:r>
              <w:rPr>
                <w:noProof/>
                <w:webHidden/>
              </w:rPr>
              <w:fldChar w:fldCharType="end"/>
            </w:r>
          </w:hyperlink>
        </w:p>
        <w:p w14:paraId="28EFB698" w14:textId="7785858D"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49" w:history="1">
            <w:r w:rsidRPr="009E2044">
              <w:rPr>
                <w:rStyle w:val="Hyperlink"/>
                <w:noProof/>
              </w:rPr>
              <w:t>Decision-making</w:t>
            </w:r>
            <w:r>
              <w:rPr>
                <w:noProof/>
                <w:webHidden/>
              </w:rPr>
              <w:tab/>
            </w:r>
            <w:r>
              <w:rPr>
                <w:noProof/>
                <w:webHidden/>
              </w:rPr>
              <w:fldChar w:fldCharType="begin"/>
            </w:r>
            <w:r>
              <w:rPr>
                <w:noProof/>
                <w:webHidden/>
              </w:rPr>
              <w:instrText xml:space="preserve"> PAGEREF _Toc193955349 \h </w:instrText>
            </w:r>
            <w:r>
              <w:rPr>
                <w:noProof/>
                <w:webHidden/>
              </w:rPr>
            </w:r>
            <w:r>
              <w:rPr>
                <w:noProof/>
                <w:webHidden/>
              </w:rPr>
              <w:fldChar w:fldCharType="separate"/>
            </w:r>
            <w:r w:rsidR="002B1B9C">
              <w:rPr>
                <w:noProof/>
                <w:webHidden/>
              </w:rPr>
              <w:t>2</w:t>
            </w:r>
            <w:r>
              <w:rPr>
                <w:noProof/>
                <w:webHidden/>
              </w:rPr>
              <w:fldChar w:fldCharType="end"/>
            </w:r>
          </w:hyperlink>
        </w:p>
        <w:p w14:paraId="0F3C9E64" w14:textId="52E1138B"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50" w:history="1">
            <w:r w:rsidRPr="009E2044">
              <w:rPr>
                <w:rStyle w:val="Hyperlink"/>
                <w:noProof/>
              </w:rPr>
              <w:t>Information gathering powers</w:t>
            </w:r>
            <w:r>
              <w:rPr>
                <w:noProof/>
                <w:webHidden/>
              </w:rPr>
              <w:tab/>
            </w:r>
            <w:r>
              <w:rPr>
                <w:noProof/>
                <w:webHidden/>
              </w:rPr>
              <w:fldChar w:fldCharType="begin"/>
            </w:r>
            <w:r>
              <w:rPr>
                <w:noProof/>
                <w:webHidden/>
              </w:rPr>
              <w:instrText xml:space="preserve"> PAGEREF _Toc193955350 \h </w:instrText>
            </w:r>
            <w:r>
              <w:rPr>
                <w:noProof/>
                <w:webHidden/>
              </w:rPr>
            </w:r>
            <w:r>
              <w:rPr>
                <w:noProof/>
                <w:webHidden/>
              </w:rPr>
              <w:fldChar w:fldCharType="separate"/>
            </w:r>
            <w:r w:rsidR="002B1B9C">
              <w:rPr>
                <w:noProof/>
                <w:webHidden/>
              </w:rPr>
              <w:t>3</w:t>
            </w:r>
            <w:r>
              <w:rPr>
                <w:noProof/>
                <w:webHidden/>
              </w:rPr>
              <w:fldChar w:fldCharType="end"/>
            </w:r>
          </w:hyperlink>
        </w:p>
        <w:p w14:paraId="23952C82" w14:textId="163B4F0A"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51" w:history="1">
            <w:r w:rsidRPr="009E2044">
              <w:rPr>
                <w:rStyle w:val="Hyperlink"/>
                <w:noProof/>
              </w:rPr>
              <w:t>Application requirements</w:t>
            </w:r>
            <w:r>
              <w:rPr>
                <w:noProof/>
                <w:webHidden/>
              </w:rPr>
              <w:tab/>
            </w:r>
            <w:r>
              <w:rPr>
                <w:noProof/>
                <w:webHidden/>
              </w:rPr>
              <w:fldChar w:fldCharType="begin"/>
            </w:r>
            <w:r>
              <w:rPr>
                <w:noProof/>
                <w:webHidden/>
              </w:rPr>
              <w:instrText xml:space="preserve"> PAGEREF _Toc193955351 \h </w:instrText>
            </w:r>
            <w:r>
              <w:rPr>
                <w:noProof/>
                <w:webHidden/>
              </w:rPr>
            </w:r>
            <w:r>
              <w:rPr>
                <w:noProof/>
                <w:webHidden/>
              </w:rPr>
              <w:fldChar w:fldCharType="separate"/>
            </w:r>
            <w:r w:rsidR="002B1B9C">
              <w:rPr>
                <w:noProof/>
                <w:webHidden/>
              </w:rPr>
              <w:t>3</w:t>
            </w:r>
            <w:r>
              <w:rPr>
                <w:noProof/>
                <w:webHidden/>
              </w:rPr>
              <w:fldChar w:fldCharType="end"/>
            </w:r>
          </w:hyperlink>
        </w:p>
        <w:p w14:paraId="2CD94A53" w14:textId="7EB00D34"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52" w:history="1">
            <w:r w:rsidRPr="009E2044">
              <w:rPr>
                <w:rStyle w:val="Hyperlink"/>
                <w:noProof/>
              </w:rPr>
              <w:t>Submission requirements</w:t>
            </w:r>
            <w:r>
              <w:rPr>
                <w:noProof/>
                <w:webHidden/>
              </w:rPr>
              <w:tab/>
            </w:r>
            <w:r>
              <w:rPr>
                <w:noProof/>
                <w:webHidden/>
              </w:rPr>
              <w:fldChar w:fldCharType="begin"/>
            </w:r>
            <w:r>
              <w:rPr>
                <w:noProof/>
                <w:webHidden/>
              </w:rPr>
              <w:instrText xml:space="preserve"> PAGEREF _Toc193955352 \h </w:instrText>
            </w:r>
            <w:r>
              <w:rPr>
                <w:noProof/>
                <w:webHidden/>
              </w:rPr>
            </w:r>
            <w:r>
              <w:rPr>
                <w:noProof/>
                <w:webHidden/>
              </w:rPr>
              <w:fldChar w:fldCharType="separate"/>
            </w:r>
            <w:r w:rsidR="002B1B9C">
              <w:rPr>
                <w:noProof/>
                <w:webHidden/>
              </w:rPr>
              <w:t>3</w:t>
            </w:r>
            <w:r>
              <w:rPr>
                <w:noProof/>
                <w:webHidden/>
              </w:rPr>
              <w:fldChar w:fldCharType="end"/>
            </w:r>
          </w:hyperlink>
        </w:p>
        <w:p w14:paraId="2705167D" w14:textId="78DC9A5D" w:rsidR="00897128" w:rsidRDefault="00897128" w:rsidP="00941287">
          <w:pPr>
            <w:pStyle w:val="TOC2"/>
            <w:rPr>
              <w:rFonts w:asciiTheme="minorHAnsi" w:eastAsiaTheme="minorEastAsia" w:hAnsiTheme="minorHAnsi" w:cstheme="minorBidi"/>
              <w:noProof/>
              <w:kern w:val="2"/>
              <w:sz w:val="24"/>
              <w:szCs w:val="24"/>
              <w:lang w:eastAsia="en-AU"/>
              <w14:ligatures w14:val="standardContextual"/>
            </w:rPr>
          </w:pPr>
          <w:hyperlink w:anchor="_Toc193955353" w:history="1">
            <w:r w:rsidRPr="009E2044">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9E2044">
              <w:rPr>
                <w:rStyle w:val="Hyperlink"/>
                <w:noProof/>
              </w:rPr>
              <w:t>Applying for an exploration permit</w:t>
            </w:r>
            <w:r>
              <w:rPr>
                <w:noProof/>
                <w:webHidden/>
              </w:rPr>
              <w:tab/>
            </w:r>
            <w:r>
              <w:rPr>
                <w:noProof/>
                <w:webHidden/>
              </w:rPr>
              <w:fldChar w:fldCharType="begin"/>
            </w:r>
            <w:r>
              <w:rPr>
                <w:noProof/>
                <w:webHidden/>
              </w:rPr>
              <w:instrText xml:space="preserve"> PAGEREF _Toc193955353 \h </w:instrText>
            </w:r>
            <w:r>
              <w:rPr>
                <w:noProof/>
                <w:webHidden/>
              </w:rPr>
            </w:r>
            <w:r>
              <w:rPr>
                <w:noProof/>
                <w:webHidden/>
              </w:rPr>
              <w:fldChar w:fldCharType="separate"/>
            </w:r>
            <w:r w:rsidR="002B1B9C">
              <w:rPr>
                <w:noProof/>
                <w:webHidden/>
              </w:rPr>
              <w:t>6</w:t>
            </w:r>
            <w:r>
              <w:rPr>
                <w:noProof/>
                <w:webHidden/>
              </w:rPr>
              <w:fldChar w:fldCharType="end"/>
            </w:r>
          </w:hyperlink>
        </w:p>
        <w:p w14:paraId="093C8611" w14:textId="0BC25929"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54" w:history="1">
            <w:r w:rsidRPr="009E2044">
              <w:rPr>
                <w:rStyle w:val="Hyperlink"/>
                <w:noProof/>
              </w:rPr>
              <w:t>Detailed application requirements</w:t>
            </w:r>
            <w:r>
              <w:rPr>
                <w:noProof/>
                <w:webHidden/>
              </w:rPr>
              <w:tab/>
            </w:r>
            <w:r>
              <w:rPr>
                <w:noProof/>
                <w:webHidden/>
              </w:rPr>
              <w:fldChar w:fldCharType="begin"/>
            </w:r>
            <w:r>
              <w:rPr>
                <w:noProof/>
                <w:webHidden/>
              </w:rPr>
              <w:instrText xml:space="preserve"> PAGEREF _Toc193955354 \h </w:instrText>
            </w:r>
            <w:r>
              <w:rPr>
                <w:noProof/>
                <w:webHidden/>
              </w:rPr>
            </w:r>
            <w:r>
              <w:rPr>
                <w:noProof/>
                <w:webHidden/>
              </w:rPr>
              <w:fldChar w:fldCharType="separate"/>
            </w:r>
            <w:r w:rsidR="002B1B9C">
              <w:rPr>
                <w:noProof/>
                <w:webHidden/>
              </w:rPr>
              <w:t>6</w:t>
            </w:r>
            <w:r>
              <w:rPr>
                <w:noProof/>
                <w:webHidden/>
              </w:rPr>
              <w:fldChar w:fldCharType="end"/>
            </w:r>
          </w:hyperlink>
        </w:p>
        <w:p w14:paraId="71EFE6AE" w14:textId="53952EC5"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55" w:history="1">
            <w:r w:rsidRPr="009E2044">
              <w:rPr>
                <w:rStyle w:val="Hyperlink"/>
                <w:noProof/>
              </w:rPr>
              <w:t>Past performance</w:t>
            </w:r>
            <w:r>
              <w:rPr>
                <w:noProof/>
                <w:webHidden/>
              </w:rPr>
              <w:tab/>
            </w:r>
            <w:r>
              <w:rPr>
                <w:noProof/>
                <w:webHidden/>
              </w:rPr>
              <w:fldChar w:fldCharType="begin"/>
            </w:r>
            <w:r>
              <w:rPr>
                <w:noProof/>
                <w:webHidden/>
              </w:rPr>
              <w:instrText xml:space="preserve"> PAGEREF _Toc193955355 \h </w:instrText>
            </w:r>
            <w:r>
              <w:rPr>
                <w:noProof/>
                <w:webHidden/>
              </w:rPr>
            </w:r>
            <w:r>
              <w:rPr>
                <w:noProof/>
                <w:webHidden/>
              </w:rPr>
              <w:fldChar w:fldCharType="separate"/>
            </w:r>
            <w:r w:rsidR="002B1B9C">
              <w:rPr>
                <w:noProof/>
                <w:webHidden/>
              </w:rPr>
              <w:t>7</w:t>
            </w:r>
            <w:r>
              <w:rPr>
                <w:noProof/>
                <w:webHidden/>
              </w:rPr>
              <w:fldChar w:fldCharType="end"/>
            </w:r>
          </w:hyperlink>
        </w:p>
        <w:p w14:paraId="1B719D5F" w14:textId="2095E90C"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56" w:history="1">
            <w:r w:rsidRPr="009E2044">
              <w:rPr>
                <w:rStyle w:val="Hyperlink"/>
                <w:noProof/>
              </w:rPr>
              <w:t>Bid assessment</w:t>
            </w:r>
            <w:r>
              <w:rPr>
                <w:noProof/>
                <w:webHidden/>
              </w:rPr>
              <w:tab/>
            </w:r>
            <w:r>
              <w:rPr>
                <w:noProof/>
                <w:webHidden/>
              </w:rPr>
              <w:fldChar w:fldCharType="begin"/>
            </w:r>
            <w:r>
              <w:rPr>
                <w:noProof/>
                <w:webHidden/>
              </w:rPr>
              <w:instrText xml:space="preserve"> PAGEREF _Toc193955356 \h </w:instrText>
            </w:r>
            <w:r>
              <w:rPr>
                <w:noProof/>
                <w:webHidden/>
              </w:rPr>
            </w:r>
            <w:r>
              <w:rPr>
                <w:noProof/>
                <w:webHidden/>
              </w:rPr>
              <w:fldChar w:fldCharType="separate"/>
            </w:r>
            <w:r w:rsidR="002B1B9C">
              <w:rPr>
                <w:noProof/>
                <w:webHidden/>
              </w:rPr>
              <w:t>11</w:t>
            </w:r>
            <w:r>
              <w:rPr>
                <w:noProof/>
                <w:webHidden/>
              </w:rPr>
              <w:fldChar w:fldCharType="end"/>
            </w:r>
          </w:hyperlink>
        </w:p>
        <w:p w14:paraId="70AEF83C" w14:textId="4C62C517"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57" w:history="1">
            <w:r w:rsidRPr="009E2044">
              <w:rPr>
                <w:rStyle w:val="Hyperlink"/>
                <w:noProof/>
              </w:rPr>
              <w:t>Refusal to grant an exploration permit</w:t>
            </w:r>
            <w:r>
              <w:rPr>
                <w:noProof/>
                <w:webHidden/>
              </w:rPr>
              <w:tab/>
            </w:r>
            <w:r>
              <w:rPr>
                <w:noProof/>
                <w:webHidden/>
              </w:rPr>
              <w:fldChar w:fldCharType="begin"/>
            </w:r>
            <w:r>
              <w:rPr>
                <w:noProof/>
                <w:webHidden/>
              </w:rPr>
              <w:instrText xml:space="preserve"> PAGEREF _Toc193955357 \h </w:instrText>
            </w:r>
            <w:r>
              <w:rPr>
                <w:noProof/>
                <w:webHidden/>
              </w:rPr>
            </w:r>
            <w:r>
              <w:rPr>
                <w:noProof/>
                <w:webHidden/>
              </w:rPr>
              <w:fldChar w:fldCharType="separate"/>
            </w:r>
            <w:r w:rsidR="002B1B9C">
              <w:rPr>
                <w:noProof/>
                <w:webHidden/>
              </w:rPr>
              <w:t>13</w:t>
            </w:r>
            <w:r>
              <w:rPr>
                <w:noProof/>
                <w:webHidden/>
              </w:rPr>
              <w:fldChar w:fldCharType="end"/>
            </w:r>
          </w:hyperlink>
        </w:p>
        <w:p w14:paraId="037614E1" w14:textId="4C011B20" w:rsidR="00897128" w:rsidRDefault="00897128" w:rsidP="00941287">
          <w:pPr>
            <w:pStyle w:val="TOC2"/>
            <w:rPr>
              <w:rFonts w:asciiTheme="minorHAnsi" w:eastAsiaTheme="minorEastAsia" w:hAnsiTheme="minorHAnsi" w:cstheme="minorBidi"/>
              <w:noProof/>
              <w:kern w:val="2"/>
              <w:sz w:val="24"/>
              <w:szCs w:val="24"/>
              <w:lang w:eastAsia="en-AU"/>
              <w14:ligatures w14:val="standardContextual"/>
            </w:rPr>
          </w:pPr>
          <w:hyperlink w:anchor="_Toc193955358" w:history="1">
            <w:r w:rsidRPr="009E2044">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9E2044">
              <w:rPr>
                <w:rStyle w:val="Hyperlink"/>
                <w:noProof/>
              </w:rPr>
              <w:t>Petroleum exploration permit conditions and administration</w:t>
            </w:r>
            <w:r>
              <w:rPr>
                <w:noProof/>
                <w:webHidden/>
              </w:rPr>
              <w:tab/>
            </w:r>
            <w:r>
              <w:rPr>
                <w:noProof/>
                <w:webHidden/>
              </w:rPr>
              <w:fldChar w:fldCharType="begin"/>
            </w:r>
            <w:r>
              <w:rPr>
                <w:noProof/>
                <w:webHidden/>
              </w:rPr>
              <w:instrText xml:space="preserve"> PAGEREF _Toc193955358 \h </w:instrText>
            </w:r>
            <w:r>
              <w:rPr>
                <w:noProof/>
                <w:webHidden/>
              </w:rPr>
            </w:r>
            <w:r>
              <w:rPr>
                <w:noProof/>
                <w:webHidden/>
              </w:rPr>
              <w:fldChar w:fldCharType="separate"/>
            </w:r>
            <w:r w:rsidR="002B1B9C">
              <w:rPr>
                <w:noProof/>
                <w:webHidden/>
              </w:rPr>
              <w:t>14</w:t>
            </w:r>
            <w:r>
              <w:rPr>
                <w:noProof/>
                <w:webHidden/>
              </w:rPr>
              <w:fldChar w:fldCharType="end"/>
            </w:r>
          </w:hyperlink>
        </w:p>
        <w:p w14:paraId="640BB19C" w14:textId="638D4881"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59" w:history="1">
            <w:r w:rsidRPr="009E2044">
              <w:rPr>
                <w:rStyle w:val="Hyperlink"/>
                <w:noProof/>
              </w:rPr>
              <w:t>Technical and financial capacity</w:t>
            </w:r>
            <w:r>
              <w:rPr>
                <w:noProof/>
                <w:webHidden/>
              </w:rPr>
              <w:tab/>
            </w:r>
            <w:r>
              <w:rPr>
                <w:noProof/>
                <w:webHidden/>
              </w:rPr>
              <w:fldChar w:fldCharType="begin"/>
            </w:r>
            <w:r>
              <w:rPr>
                <w:noProof/>
                <w:webHidden/>
              </w:rPr>
              <w:instrText xml:space="preserve"> PAGEREF _Toc193955359 \h </w:instrText>
            </w:r>
            <w:r>
              <w:rPr>
                <w:noProof/>
                <w:webHidden/>
              </w:rPr>
            </w:r>
            <w:r>
              <w:rPr>
                <w:noProof/>
                <w:webHidden/>
              </w:rPr>
              <w:fldChar w:fldCharType="separate"/>
            </w:r>
            <w:r w:rsidR="002B1B9C">
              <w:rPr>
                <w:noProof/>
                <w:webHidden/>
              </w:rPr>
              <w:t>14</w:t>
            </w:r>
            <w:r>
              <w:rPr>
                <w:noProof/>
                <w:webHidden/>
              </w:rPr>
              <w:fldChar w:fldCharType="end"/>
            </w:r>
          </w:hyperlink>
        </w:p>
        <w:p w14:paraId="2FA99E84" w14:textId="634B09FB"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60" w:history="1">
            <w:r w:rsidRPr="009E2044">
              <w:rPr>
                <w:rStyle w:val="Hyperlink"/>
                <w:noProof/>
              </w:rPr>
              <w:t>Work program commitments</w:t>
            </w:r>
            <w:r>
              <w:rPr>
                <w:noProof/>
                <w:webHidden/>
              </w:rPr>
              <w:tab/>
            </w:r>
            <w:r>
              <w:rPr>
                <w:noProof/>
                <w:webHidden/>
              </w:rPr>
              <w:fldChar w:fldCharType="begin"/>
            </w:r>
            <w:r>
              <w:rPr>
                <w:noProof/>
                <w:webHidden/>
              </w:rPr>
              <w:instrText xml:space="preserve"> PAGEREF _Toc193955360 \h </w:instrText>
            </w:r>
            <w:r>
              <w:rPr>
                <w:noProof/>
                <w:webHidden/>
              </w:rPr>
            </w:r>
            <w:r>
              <w:rPr>
                <w:noProof/>
                <w:webHidden/>
              </w:rPr>
              <w:fldChar w:fldCharType="separate"/>
            </w:r>
            <w:r w:rsidR="002B1B9C">
              <w:rPr>
                <w:noProof/>
                <w:webHidden/>
              </w:rPr>
              <w:t>15</w:t>
            </w:r>
            <w:r>
              <w:rPr>
                <w:noProof/>
                <w:webHidden/>
              </w:rPr>
              <w:fldChar w:fldCharType="end"/>
            </w:r>
          </w:hyperlink>
        </w:p>
        <w:p w14:paraId="1932F690" w14:textId="31EA989F"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61" w:history="1">
            <w:r w:rsidRPr="009E2044">
              <w:rPr>
                <w:rStyle w:val="Hyperlink"/>
                <w:noProof/>
              </w:rPr>
              <w:t>Suspension or a suspension and extension</w:t>
            </w:r>
            <w:r>
              <w:rPr>
                <w:noProof/>
                <w:webHidden/>
              </w:rPr>
              <w:tab/>
            </w:r>
            <w:r>
              <w:rPr>
                <w:noProof/>
                <w:webHidden/>
              </w:rPr>
              <w:fldChar w:fldCharType="begin"/>
            </w:r>
            <w:r>
              <w:rPr>
                <w:noProof/>
                <w:webHidden/>
              </w:rPr>
              <w:instrText xml:space="preserve"> PAGEREF _Toc193955361 \h </w:instrText>
            </w:r>
            <w:r>
              <w:rPr>
                <w:noProof/>
                <w:webHidden/>
              </w:rPr>
            </w:r>
            <w:r>
              <w:rPr>
                <w:noProof/>
                <w:webHidden/>
              </w:rPr>
              <w:fldChar w:fldCharType="separate"/>
            </w:r>
            <w:r w:rsidR="002B1B9C">
              <w:rPr>
                <w:noProof/>
                <w:webHidden/>
              </w:rPr>
              <w:t>16</w:t>
            </w:r>
            <w:r>
              <w:rPr>
                <w:noProof/>
                <w:webHidden/>
              </w:rPr>
              <w:fldChar w:fldCharType="end"/>
            </w:r>
          </w:hyperlink>
        </w:p>
        <w:p w14:paraId="5329A629" w14:textId="0105F838"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62" w:history="1">
            <w:r w:rsidRPr="009E2044">
              <w:rPr>
                <w:rStyle w:val="Hyperlink"/>
                <w:noProof/>
              </w:rPr>
              <w:t>Force majeure</w:t>
            </w:r>
            <w:r>
              <w:rPr>
                <w:noProof/>
                <w:webHidden/>
              </w:rPr>
              <w:tab/>
            </w:r>
            <w:r>
              <w:rPr>
                <w:noProof/>
                <w:webHidden/>
              </w:rPr>
              <w:fldChar w:fldCharType="begin"/>
            </w:r>
            <w:r>
              <w:rPr>
                <w:noProof/>
                <w:webHidden/>
              </w:rPr>
              <w:instrText xml:space="preserve"> PAGEREF _Toc193955362 \h </w:instrText>
            </w:r>
            <w:r>
              <w:rPr>
                <w:noProof/>
                <w:webHidden/>
              </w:rPr>
            </w:r>
            <w:r>
              <w:rPr>
                <w:noProof/>
                <w:webHidden/>
              </w:rPr>
              <w:fldChar w:fldCharType="separate"/>
            </w:r>
            <w:r w:rsidR="002B1B9C">
              <w:rPr>
                <w:noProof/>
                <w:webHidden/>
              </w:rPr>
              <w:t>17</w:t>
            </w:r>
            <w:r>
              <w:rPr>
                <w:noProof/>
                <w:webHidden/>
              </w:rPr>
              <w:fldChar w:fldCharType="end"/>
            </w:r>
          </w:hyperlink>
        </w:p>
        <w:p w14:paraId="7FD86768" w14:textId="6C355C05"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63" w:history="1">
            <w:r w:rsidRPr="009E2044">
              <w:rPr>
                <w:rStyle w:val="Hyperlink"/>
                <w:noProof/>
              </w:rPr>
              <w:t>Technical grounds</w:t>
            </w:r>
            <w:r>
              <w:rPr>
                <w:noProof/>
                <w:webHidden/>
              </w:rPr>
              <w:tab/>
            </w:r>
            <w:r>
              <w:rPr>
                <w:noProof/>
                <w:webHidden/>
              </w:rPr>
              <w:fldChar w:fldCharType="begin"/>
            </w:r>
            <w:r>
              <w:rPr>
                <w:noProof/>
                <w:webHidden/>
              </w:rPr>
              <w:instrText xml:space="preserve"> PAGEREF _Toc193955363 \h </w:instrText>
            </w:r>
            <w:r>
              <w:rPr>
                <w:noProof/>
                <w:webHidden/>
              </w:rPr>
            </w:r>
            <w:r>
              <w:rPr>
                <w:noProof/>
                <w:webHidden/>
              </w:rPr>
              <w:fldChar w:fldCharType="separate"/>
            </w:r>
            <w:r w:rsidR="002B1B9C">
              <w:rPr>
                <w:noProof/>
                <w:webHidden/>
              </w:rPr>
              <w:t>18</w:t>
            </w:r>
            <w:r>
              <w:rPr>
                <w:noProof/>
                <w:webHidden/>
              </w:rPr>
              <w:fldChar w:fldCharType="end"/>
            </w:r>
          </w:hyperlink>
        </w:p>
        <w:p w14:paraId="2C03EBEE" w14:textId="619EEB49"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64" w:history="1">
            <w:r w:rsidRPr="009E2044">
              <w:rPr>
                <w:rStyle w:val="Hyperlink"/>
                <w:noProof/>
              </w:rPr>
              <w:t>Merits</w:t>
            </w:r>
            <w:r>
              <w:rPr>
                <w:noProof/>
                <w:webHidden/>
              </w:rPr>
              <w:tab/>
            </w:r>
            <w:r>
              <w:rPr>
                <w:noProof/>
                <w:webHidden/>
              </w:rPr>
              <w:fldChar w:fldCharType="begin"/>
            </w:r>
            <w:r>
              <w:rPr>
                <w:noProof/>
                <w:webHidden/>
              </w:rPr>
              <w:instrText xml:space="preserve"> PAGEREF _Toc193955364 \h </w:instrText>
            </w:r>
            <w:r>
              <w:rPr>
                <w:noProof/>
                <w:webHidden/>
              </w:rPr>
            </w:r>
            <w:r>
              <w:rPr>
                <w:noProof/>
                <w:webHidden/>
              </w:rPr>
              <w:fldChar w:fldCharType="separate"/>
            </w:r>
            <w:r w:rsidR="002B1B9C">
              <w:rPr>
                <w:noProof/>
                <w:webHidden/>
              </w:rPr>
              <w:t>18</w:t>
            </w:r>
            <w:r>
              <w:rPr>
                <w:noProof/>
                <w:webHidden/>
              </w:rPr>
              <w:fldChar w:fldCharType="end"/>
            </w:r>
          </w:hyperlink>
        </w:p>
        <w:p w14:paraId="2D7ED9B6" w14:textId="687BB764"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65" w:history="1">
            <w:r w:rsidRPr="009E2044">
              <w:rPr>
                <w:rStyle w:val="Hyperlink"/>
                <w:noProof/>
              </w:rPr>
              <w:t>Variations</w:t>
            </w:r>
            <w:r>
              <w:rPr>
                <w:noProof/>
                <w:webHidden/>
              </w:rPr>
              <w:tab/>
            </w:r>
            <w:r>
              <w:rPr>
                <w:noProof/>
                <w:webHidden/>
              </w:rPr>
              <w:fldChar w:fldCharType="begin"/>
            </w:r>
            <w:r>
              <w:rPr>
                <w:noProof/>
                <w:webHidden/>
              </w:rPr>
              <w:instrText xml:space="preserve"> PAGEREF _Toc193955365 \h </w:instrText>
            </w:r>
            <w:r>
              <w:rPr>
                <w:noProof/>
                <w:webHidden/>
              </w:rPr>
            </w:r>
            <w:r>
              <w:rPr>
                <w:noProof/>
                <w:webHidden/>
              </w:rPr>
              <w:fldChar w:fldCharType="separate"/>
            </w:r>
            <w:r w:rsidR="002B1B9C">
              <w:rPr>
                <w:noProof/>
                <w:webHidden/>
              </w:rPr>
              <w:t>18</w:t>
            </w:r>
            <w:r>
              <w:rPr>
                <w:noProof/>
                <w:webHidden/>
              </w:rPr>
              <w:fldChar w:fldCharType="end"/>
            </w:r>
          </w:hyperlink>
        </w:p>
        <w:p w14:paraId="7672E332" w14:textId="70546DD3"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66" w:history="1">
            <w:r w:rsidRPr="009E2044">
              <w:rPr>
                <w:rStyle w:val="Hyperlink"/>
                <w:noProof/>
              </w:rPr>
              <w:t>Exemptions</w:t>
            </w:r>
            <w:r>
              <w:rPr>
                <w:noProof/>
                <w:webHidden/>
              </w:rPr>
              <w:tab/>
            </w:r>
            <w:r>
              <w:rPr>
                <w:noProof/>
                <w:webHidden/>
              </w:rPr>
              <w:fldChar w:fldCharType="begin"/>
            </w:r>
            <w:r>
              <w:rPr>
                <w:noProof/>
                <w:webHidden/>
              </w:rPr>
              <w:instrText xml:space="preserve"> PAGEREF _Toc193955366 \h </w:instrText>
            </w:r>
            <w:r>
              <w:rPr>
                <w:noProof/>
                <w:webHidden/>
              </w:rPr>
            </w:r>
            <w:r>
              <w:rPr>
                <w:noProof/>
                <w:webHidden/>
              </w:rPr>
              <w:fldChar w:fldCharType="separate"/>
            </w:r>
            <w:r w:rsidR="002B1B9C">
              <w:rPr>
                <w:noProof/>
                <w:webHidden/>
              </w:rPr>
              <w:t>20</w:t>
            </w:r>
            <w:r>
              <w:rPr>
                <w:noProof/>
                <w:webHidden/>
              </w:rPr>
              <w:fldChar w:fldCharType="end"/>
            </w:r>
          </w:hyperlink>
        </w:p>
        <w:p w14:paraId="3082EB54" w14:textId="0BE71FE5"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67" w:history="1">
            <w:r w:rsidRPr="009E2044">
              <w:rPr>
                <w:rStyle w:val="Hyperlink"/>
                <w:noProof/>
              </w:rPr>
              <w:t>Surrenders</w:t>
            </w:r>
            <w:r>
              <w:rPr>
                <w:noProof/>
                <w:webHidden/>
              </w:rPr>
              <w:tab/>
            </w:r>
            <w:r>
              <w:rPr>
                <w:noProof/>
                <w:webHidden/>
              </w:rPr>
              <w:fldChar w:fldCharType="begin"/>
            </w:r>
            <w:r>
              <w:rPr>
                <w:noProof/>
                <w:webHidden/>
              </w:rPr>
              <w:instrText xml:space="preserve"> PAGEREF _Toc193955367 \h </w:instrText>
            </w:r>
            <w:r>
              <w:rPr>
                <w:noProof/>
                <w:webHidden/>
              </w:rPr>
            </w:r>
            <w:r>
              <w:rPr>
                <w:noProof/>
                <w:webHidden/>
              </w:rPr>
              <w:fldChar w:fldCharType="separate"/>
            </w:r>
            <w:r w:rsidR="002B1B9C">
              <w:rPr>
                <w:noProof/>
                <w:webHidden/>
              </w:rPr>
              <w:t>20</w:t>
            </w:r>
            <w:r>
              <w:rPr>
                <w:noProof/>
                <w:webHidden/>
              </w:rPr>
              <w:fldChar w:fldCharType="end"/>
            </w:r>
          </w:hyperlink>
        </w:p>
        <w:p w14:paraId="298ABA3A" w14:textId="43BE54B9"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68" w:history="1">
            <w:r w:rsidRPr="009E2044">
              <w:rPr>
                <w:rStyle w:val="Hyperlink"/>
                <w:noProof/>
              </w:rPr>
              <w:t>Expiry</w:t>
            </w:r>
            <w:r>
              <w:rPr>
                <w:noProof/>
                <w:webHidden/>
              </w:rPr>
              <w:tab/>
            </w:r>
            <w:r>
              <w:rPr>
                <w:noProof/>
                <w:webHidden/>
              </w:rPr>
              <w:fldChar w:fldCharType="begin"/>
            </w:r>
            <w:r>
              <w:rPr>
                <w:noProof/>
                <w:webHidden/>
              </w:rPr>
              <w:instrText xml:space="preserve"> PAGEREF _Toc193955368 \h </w:instrText>
            </w:r>
            <w:r>
              <w:rPr>
                <w:noProof/>
                <w:webHidden/>
              </w:rPr>
            </w:r>
            <w:r>
              <w:rPr>
                <w:noProof/>
                <w:webHidden/>
              </w:rPr>
              <w:fldChar w:fldCharType="separate"/>
            </w:r>
            <w:r w:rsidR="002B1B9C">
              <w:rPr>
                <w:noProof/>
                <w:webHidden/>
              </w:rPr>
              <w:t>21</w:t>
            </w:r>
            <w:r>
              <w:rPr>
                <w:noProof/>
                <w:webHidden/>
              </w:rPr>
              <w:fldChar w:fldCharType="end"/>
            </w:r>
          </w:hyperlink>
        </w:p>
        <w:p w14:paraId="4A170C33" w14:textId="767C6A26"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69" w:history="1">
            <w:r w:rsidRPr="009E2044">
              <w:rPr>
                <w:rStyle w:val="Hyperlink"/>
                <w:noProof/>
              </w:rPr>
              <w:t>Cancellation</w:t>
            </w:r>
            <w:r>
              <w:rPr>
                <w:noProof/>
                <w:webHidden/>
              </w:rPr>
              <w:tab/>
            </w:r>
            <w:r>
              <w:rPr>
                <w:noProof/>
                <w:webHidden/>
              </w:rPr>
              <w:fldChar w:fldCharType="begin"/>
            </w:r>
            <w:r>
              <w:rPr>
                <w:noProof/>
                <w:webHidden/>
              </w:rPr>
              <w:instrText xml:space="preserve"> PAGEREF _Toc193955369 \h </w:instrText>
            </w:r>
            <w:r>
              <w:rPr>
                <w:noProof/>
                <w:webHidden/>
              </w:rPr>
            </w:r>
            <w:r>
              <w:rPr>
                <w:noProof/>
                <w:webHidden/>
              </w:rPr>
              <w:fldChar w:fldCharType="separate"/>
            </w:r>
            <w:r w:rsidR="002B1B9C">
              <w:rPr>
                <w:noProof/>
                <w:webHidden/>
              </w:rPr>
              <w:t>22</w:t>
            </w:r>
            <w:r>
              <w:rPr>
                <w:noProof/>
                <w:webHidden/>
              </w:rPr>
              <w:fldChar w:fldCharType="end"/>
            </w:r>
          </w:hyperlink>
        </w:p>
        <w:p w14:paraId="713BE527" w14:textId="509E92A3"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70" w:history="1">
            <w:r w:rsidRPr="009E2044">
              <w:rPr>
                <w:rStyle w:val="Hyperlink"/>
                <w:noProof/>
              </w:rPr>
              <w:t>Good Standing Agreements</w:t>
            </w:r>
            <w:r>
              <w:rPr>
                <w:noProof/>
                <w:webHidden/>
              </w:rPr>
              <w:tab/>
            </w:r>
            <w:r>
              <w:rPr>
                <w:noProof/>
                <w:webHidden/>
              </w:rPr>
              <w:fldChar w:fldCharType="begin"/>
            </w:r>
            <w:r>
              <w:rPr>
                <w:noProof/>
                <w:webHidden/>
              </w:rPr>
              <w:instrText xml:space="preserve"> PAGEREF _Toc193955370 \h </w:instrText>
            </w:r>
            <w:r>
              <w:rPr>
                <w:noProof/>
                <w:webHidden/>
              </w:rPr>
            </w:r>
            <w:r>
              <w:rPr>
                <w:noProof/>
                <w:webHidden/>
              </w:rPr>
              <w:fldChar w:fldCharType="separate"/>
            </w:r>
            <w:r w:rsidR="002B1B9C">
              <w:rPr>
                <w:noProof/>
                <w:webHidden/>
              </w:rPr>
              <w:t>22</w:t>
            </w:r>
            <w:r>
              <w:rPr>
                <w:noProof/>
                <w:webHidden/>
              </w:rPr>
              <w:fldChar w:fldCharType="end"/>
            </w:r>
          </w:hyperlink>
        </w:p>
        <w:p w14:paraId="21D30733" w14:textId="0867E849" w:rsidR="00897128" w:rsidRDefault="00897128" w:rsidP="00941287">
          <w:pPr>
            <w:pStyle w:val="TOC2"/>
            <w:rPr>
              <w:rFonts w:asciiTheme="minorHAnsi" w:eastAsiaTheme="minorEastAsia" w:hAnsiTheme="minorHAnsi" w:cstheme="minorBidi"/>
              <w:noProof/>
              <w:kern w:val="2"/>
              <w:sz w:val="24"/>
              <w:szCs w:val="24"/>
              <w:lang w:eastAsia="en-AU"/>
              <w14:ligatures w14:val="standardContextual"/>
            </w:rPr>
          </w:pPr>
          <w:hyperlink w:anchor="_Toc193955371" w:history="1">
            <w:r w:rsidRPr="009E2044">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9E2044">
              <w:rPr>
                <w:rStyle w:val="Hyperlink"/>
                <w:noProof/>
              </w:rPr>
              <w:t>Renewing an exploration permit</w:t>
            </w:r>
            <w:r>
              <w:rPr>
                <w:noProof/>
                <w:webHidden/>
              </w:rPr>
              <w:tab/>
            </w:r>
            <w:r>
              <w:rPr>
                <w:noProof/>
                <w:webHidden/>
              </w:rPr>
              <w:fldChar w:fldCharType="begin"/>
            </w:r>
            <w:r>
              <w:rPr>
                <w:noProof/>
                <w:webHidden/>
              </w:rPr>
              <w:instrText xml:space="preserve"> PAGEREF _Toc193955371 \h </w:instrText>
            </w:r>
            <w:r>
              <w:rPr>
                <w:noProof/>
                <w:webHidden/>
              </w:rPr>
            </w:r>
            <w:r>
              <w:rPr>
                <w:noProof/>
                <w:webHidden/>
              </w:rPr>
              <w:fldChar w:fldCharType="separate"/>
            </w:r>
            <w:r w:rsidR="002B1B9C">
              <w:rPr>
                <w:noProof/>
                <w:webHidden/>
              </w:rPr>
              <w:t>24</w:t>
            </w:r>
            <w:r>
              <w:rPr>
                <w:noProof/>
                <w:webHidden/>
              </w:rPr>
              <w:fldChar w:fldCharType="end"/>
            </w:r>
          </w:hyperlink>
        </w:p>
        <w:p w14:paraId="37C7F716" w14:textId="7C499C97"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72" w:history="1">
            <w:r w:rsidRPr="009E2044">
              <w:rPr>
                <w:rStyle w:val="Hyperlink"/>
                <w:noProof/>
              </w:rPr>
              <w:t>Overview</w:t>
            </w:r>
            <w:r>
              <w:rPr>
                <w:noProof/>
                <w:webHidden/>
              </w:rPr>
              <w:tab/>
            </w:r>
            <w:r>
              <w:rPr>
                <w:noProof/>
                <w:webHidden/>
              </w:rPr>
              <w:fldChar w:fldCharType="begin"/>
            </w:r>
            <w:r>
              <w:rPr>
                <w:noProof/>
                <w:webHidden/>
              </w:rPr>
              <w:instrText xml:space="preserve"> PAGEREF _Toc193955372 \h </w:instrText>
            </w:r>
            <w:r>
              <w:rPr>
                <w:noProof/>
                <w:webHidden/>
              </w:rPr>
            </w:r>
            <w:r>
              <w:rPr>
                <w:noProof/>
                <w:webHidden/>
              </w:rPr>
              <w:fldChar w:fldCharType="separate"/>
            </w:r>
            <w:r w:rsidR="002B1B9C">
              <w:rPr>
                <w:noProof/>
                <w:webHidden/>
              </w:rPr>
              <w:t>24</w:t>
            </w:r>
            <w:r>
              <w:rPr>
                <w:noProof/>
                <w:webHidden/>
              </w:rPr>
              <w:fldChar w:fldCharType="end"/>
            </w:r>
          </w:hyperlink>
        </w:p>
        <w:p w14:paraId="0D5ECC61" w14:textId="57F39924"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73" w:history="1">
            <w:r w:rsidRPr="009E2044">
              <w:rPr>
                <w:rStyle w:val="Hyperlink"/>
                <w:noProof/>
              </w:rPr>
              <w:t>How to apply</w:t>
            </w:r>
            <w:r>
              <w:rPr>
                <w:noProof/>
                <w:webHidden/>
              </w:rPr>
              <w:tab/>
            </w:r>
            <w:r>
              <w:rPr>
                <w:noProof/>
                <w:webHidden/>
              </w:rPr>
              <w:fldChar w:fldCharType="begin"/>
            </w:r>
            <w:r>
              <w:rPr>
                <w:noProof/>
                <w:webHidden/>
              </w:rPr>
              <w:instrText xml:space="preserve"> PAGEREF _Toc193955373 \h </w:instrText>
            </w:r>
            <w:r>
              <w:rPr>
                <w:noProof/>
                <w:webHidden/>
              </w:rPr>
            </w:r>
            <w:r>
              <w:rPr>
                <w:noProof/>
                <w:webHidden/>
              </w:rPr>
              <w:fldChar w:fldCharType="separate"/>
            </w:r>
            <w:r w:rsidR="002B1B9C">
              <w:rPr>
                <w:noProof/>
                <w:webHidden/>
              </w:rPr>
              <w:t>24</w:t>
            </w:r>
            <w:r>
              <w:rPr>
                <w:noProof/>
                <w:webHidden/>
              </w:rPr>
              <w:fldChar w:fldCharType="end"/>
            </w:r>
          </w:hyperlink>
        </w:p>
        <w:p w14:paraId="08D3605C" w14:textId="1F520100"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74" w:history="1">
            <w:r w:rsidRPr="009E2044">
              <w:rPr>
                <w:rStyle w:val="Hyperlink"/>
                <w:noProof/>
              </w:rPr>
              <w:t>Criteria</w:t>
            </w:r>
            <w:r>
              <w:rPr>
                <w:noProof/>
                <w:webHidden/>
              </w:rPr>
              <w:tab/>
            </w:r>
            <w:r>
              <w:rPr>
                <w:noProof/>
                <w:webHidden/>
              </w:rPr>
              <w:fldChar w:fldCharType="begin"/>
            </w:r>
            <w:r>
              <w:rPr>
                <w:noProof/>
                <w:webHidden/>
              </w:rPr>
              <w:instrText xml:space="preserve"> PAGEREF _Toc193955374 \h </w:instrText>
            </w:r>
            <w:r>
              <w:rPr>
                <w:noProof/>
                <w:webHidden/>
              </w:rPr>
            </w:r>
            <w:r>
              <w:rPr>
                <w:noProof/>
                <w:webHidden/>
              </w:rPr>
              <w:fldChar w:fldCharType="separate"/>
            </w:r>
            <w:r w:rsidR="002B1B9C">
              <w:rPr>
                <w:noProof/>
                <w:webHidden/>
              </w:rPr>
              <w:t>24</w:t>
            </w:r>
            <w:r>
              <w:rPr>
                <w:noProof/>
                <w:webHidden/>
              </w:rPr>
              <w:fldChar w:fldCharType="end"/>
            </w:r>
          </w:hyperlink>
        </w:p>
        <w:p w14:paraId="302468F6" w14:textId="10EEF4B2"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75" w:history="1">
            <w:r w:rsidRPr="009E2044">
              <w:rPr>
                <w:rStyle w:val="Hyperlink"/>
                <w:noProof/>
              </w:rPr>
              <w:t>Work program</w:t>
            </w:r>
            <w:r>
              <w:rPr>
                <w:noProof/>
                <w:webHidden/>
              </w:rPr>
              <w:tab/>
            </w:r>
            <w:r>
              <w:rPr>
                <w:noProof/>
                <w:webHidden/>
              </w:rPr>
              <w:fldChar w:fldCharType="begin"/>
            </w:r>
            <w:r>
              <w:rPr>
                <w:noProof/>
                <w:webHidden/>
              </w:rPr>
              <w:instrText xml:space="preserve"> PAGEREF _Toc193955375 \h </w:instrText>
            </w:r>
            <w:r>
              <w:rPr>
                <w:noProof/>
                <w:webHidden/>
              </w:rPr>
            </w:r>
            <w:r>
              <w:rPr>
                <w:noProof/>
                <w:webHidden/>
              </w:rPr>
              <w:fldChar w:fldCharType="separate"/>
            </w:r>
            <w:r w:rsidR="002B1B9C">
              <w:rPr>
                <w:noProof/>
                <w:webHidden/>
              </w:rPr>
              <w:t>25</w:t>
            </w:r>
            <w:r>
              <w:rPr>
                <w:noProof/>
                <w:webHidden/>
              </w:rPr>
              <w:fldChar w:fldCharType="end"/>
            </w:r>
          </w:hyperlink>
        </w:p>
        <w:p w14:paraId="7FDB8067" w14:textId="57A3D4CD"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76" w:history="1">
            <w:r w:rsidRPr="009E2044">
              <w:rPr>
                <w:rStyle w:val="Hyperlink"/>
                <w:noProof/>
              </w:rPr>
              <w:t>Technical and financial capacity</w:t>
            </w:r>
            <w:r>
              <w:rPr>
                <w:noProof/>
                <w:webHidden/>
              </w:rPr>
              <w:tab/>
            </w:r>
            <w:r>
              <w:rPr>
                <w:noProof/>
                <w:webHidden/>
              </w:rPr>
              <w:fldChar w:fldCharType="begin"/>
            </w:r>
            <w:r>
              <w:rPr>
                <w:noProof/>
                <w:webHidden/>
              </w:rPr>
              <w:instrText xml:space="preserve"> PAGEREF _Toc193955376 \h </w:instrText>
            </w:r>
            <w:r>
              <w:rPr>
                <w:noProof/>
                <w:webHidden/>
              </w:rPr>
            </w:r>
            <w:r>
              <w:rPr>
                <w:noProof/>
                <w:webHidden/>
              </w:rPr>
              <w:fldChar w:fldCharType="separate"/>
            </w:r>
            <w:r w:rsidR="002B1B9C">
              <w:rPr>
                <w:noProof/>
                <w:webHidden/>
              </w:rPr>
              <w:t>27</w:t>
            </w:r>
            <w:r>
              <w:rPr>
                <w:noProof/>
                <w:webHidden/>
              </w:rPr>
              <w:fldChar w:fldCharType="end"/>
            </w:r>
          </w:hyperlink>
        </w:p>
        <w:p w14:paraId="22D9E3DC" w14:textId="70033684" w:rsidR="00897128" w:rsidRDefault="00897128">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193955377" w:history="1">
            <w:r w:rsidRPr="009E2044">
              <w:rPr>
                <w:rStyle w:val="Hyperlink"/>
                <w:noProof/>
              </w:rPr>
              <w:t>Refusal to renew</w:t>
            </w:r>
            <w:r>
              <w:rPr>
                <w:noProof/>
                <w:webHidden/>
              </w:rPr>
              <w:tab/>
            </w:r>
            <w:r>
              <w:rPr>
                <w:noProof/>
                <w:webHidden/>
              </w:rPr>
              <w:fldChar w:fldCharType="begin"/>
            </w:r>
            <w:r>
              <w:rPr>
                <w:noProof/>
                <w:webHidden/>
              </w:rPr>
              <w:instrText xml:space="preserve"> PAGEREF _Toc193955377 \h </w:instrText>
            </w:r>
            <w:r>
              <w:rPr>
                <w:noProof/>
                <w:webHidden/>
              </w:rPr>
            </w:r>
            <w:r>
              <w:rPr>
                <w:noProof/>
                <w:webHidden/>
              </w:rPr>
              <w:fldChar w:fldCharType="separate"/>
            </w:r>
            <w:r w:rsidR="002B1B9C">
              <w:rPr>
                <w:noProof/>
                <w:webHidden/>
              </w:rPr>
              <w:t>27</w:t>
            </w:r>
            <w:r>
              <w:rPr>
                <w:noProof/>
                <w:webHidden/>
              </w:rPr>
              <w:fldChar w:fldCharType="end"/>
            </w:r>
          </w:hyperlink>
        </w:p>
        <w:p w14:paraId="1C072CE4" w14:textId="65466FB3" w:rsidR="00897128" w:rsidRDefault="00897128" w:rsidP="00941287">
          <w:pPr>
            <w:pStyle w:val="TOC2"/>
            <w:rPr>
              <w:rFonts w:asciiTheme="minorHAnsi" w:eastAsiaTheme="minorEastAsia" w:hAnsiTheme="minorHAnsi" w:cstheme="minorBidi"/>
              <w:noProof/>
              <w:kern w:val="2"/>
              <w:sz w:val="24"/>
              <w:szCs w:val="24"/>
              <w:lang w:eastAsia="en-AU"/>
              <w14:ligatures w14:val="standardContextual"/>
            </w:rPr>
          </w:pPr>
          <w:hyperlink w:anchor="_Toc193955378" w:history="1">
            <w:r w:rsidRPr="009E2044">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9E2044">
              <w:rPr>
                <w:rStyle w:val="Hyperlink"/>
                <w:noProof/>
              </w:rPr>
              <w:t>Table of revisions</w:t>
            </w:r>
            <w:r>
              <w:rPr>
                <w:noProof/>
                <w:webHidden/>
              </w:rPr>
              <w:tab/>
            </w:r>
            <w:r>
              <w:rPr>
                <w:noProof/>
                <w:webHidden/>
              </w:rPr>
              <w:fldChar w:fldCharType="begin"/>
            </w:r>
            <w:r>
              <w:rPr>
                <w:noProof/>
                <w:webHidden/>
              </w:rPr>
              <w:instrText xml:space="preserve"> PAGEREF _Toc193955378 \h </w:instrText>
            </w:r>
            <w:r>
              <w:rPr>
                <w:noProof/>
                <w:webHidden/>
              </w:rPr>
            </w:r>
            <w:r>
              <w:rPr>
                <w:noProof/>
                <w:webHidden/>
              </w:rPr>
              <w:fldChar w:fldCharType="separate"/>
            </w:r>
            <w:r w:rsidR="002B1B9C">
              <w:rPr>
                <w:noProof/>
                <w:webHidden/>
              </w:rPr>
              <w:t>29</w:t>
            </w:r>
            <w:r>
              <w:rPr>
                <w:noProof/>
                <w:webHidden/>
              </w:rPr>
              <w:fldChar w:fldCharType="end"/>
            </w:r>
          </w:hyperlink>
        </w:p>
        <w:p w14:paraId="53263CE7" w14:textId="6A22AC8A" w:rsidR="00903913" w:rsidRPr="00E13217" w:rsidRDefault="00D574F7" w:rsidP="00F079D8">
          <w:pPr>
            <w:rPr>
              <w:b/>
              <w:bCs/>
              <w:noProof/>
            </w:rPr>
          </w:pPr>
          <w:r>
            <w:rPr>
              <w:b/>
              <w:bCs/>
              <w:noProof/>
            </w:rPr>
            <w:fldChar w:fldCharType="end"/>
          </w:r>
        </w:p>
      </w:sdtContent>
    </w:sdt>
    <w:p w14:paraId="6AF5E35E" w14:textId="476C872B" w:rsidR="00903913" w:rsidRDefault="002D4FC9" w:rsidP="007507EE">
      <w:pPr>
        <w:pStyle w:val="Heading2"/>
        <w:numPr>
          <w:ilvl w:val="0"/>
          <w:numId w:val="12"/>
        </w:numPr>
      </w:pPr>
      <w:bookmarkStart w:id="37" w:name="_Toc82718890"/>
      <w:bookmarkStart w:id="38" w:name="_Toc82718891"/>
      <w:bookmarkStart w:id="39" w:name="_Toc82718892"/>
      <w:bookmarkStart w:id="40" w:name="_Toc82718893"/>
      <w:bookmarkStart w:id="41" w:name="_Toc82718894"/>
      <w:bookmarkStart w:id="42" w:name="_Toc82718895"/>
      <w:bookmarkStart w:id="43" w:name="_Toc82718896"/>
      <w:bookmarkStart w:id="44" w:name="_Toc83042898"/>
      <w:bookmarkStart w:id="45" w:name="_Overview_of_an"/>
      <w:bookmarkStart w:id="46" w:name="_Toc173153833"/>
      <w:bookmarkStart w:id="47" w:name="_Toc173153834"/>
      <w:bookmarkStart w:id="48" w:name="_Toc173153835"/>
      <w:bookmarkStart w:id="49" w:name="_Toc173153836"/>
      <w:bookmarkStart w:id="50" w:name="_Toc173153837"/>
      <w:bookmarkStart w:id="51" w:name="_Toc173153838"/>
      <w:bookmarkStart w:id="52" w:name="_Toc173153839"/>
      <w:bookmarkStart w:id="53" w:name="_Toc173153840"/>
      <w:bookmarkStart w:id="54" w:name="_Toc173153841"/>
      <w:bookmarkStart w:id="55" w:name="_Toc173153842"/>
      <w:bookmarkStart w:id="56" w:name="_Toc83042899"/>
      <w:bookmarkStart w:id="57" w:name="_Toc83395015"/>
      <w:bookmarkStart w:id="58" w:name="_Toc90044299"/>
      <w:bookmarkStart w:id="59" w:name="_Ref170990413"/>
      <w:bookmarkStart w:id="60" w:name="_Ref170990468"/>
      <w:bookmarkStart w:id="61" w:name="_Ref177050331"/>
      <w:bookmarkStart w:id="62" w:name="_Toc183622551"/>
      <w:bookmarkStart w:id="63" w:name="_Ref183680865"/>
      <w:bookmarkStart w:id="64" w:name="_Ref189216300"/>
      <w:bookmarkStart w:id="65" w:name="_Ref189217251"/>
      <w:bookmarkStart w:id="66" w:name="_Toc19395534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lastRenderedPageBreak/>
        <w:t>O</w:t>
      </w:r>
      <w:r w:rsidR="00903913">
        <w:t>verview</w:t>
      </w:r>
      <w:bookmarkEnd w:id="56"/>
      <w:bookmarkEnd w:id="57"/>
      <w:bookmarkEnd w:id="58"/>
      <w:bookmarkEnd w:id="59"/>
      <w:bookmarkEnd w:id="60"/>
      <w:bookmarkEnd w:id="61"/>
      <w:bookmarkEnd w:id="62"/>
      <w:bookmarkEnd w:id="63"/>
      <w:bookmarkEnd w:id="64"/>
      <w:bookmarkEnd w:id="65"/>
      <w:bookmarkEnd w:id="66"/>
    </w:p>
    <w:p w14:paraId="76208C60" w14:textId="3AC197D9" w:rsidR="009D0AE3" w:rsidRPr="007F07AC" w:rsidRDefault="00903913" w:rsidP="00736AB8">
      <w:pPr>
        <w:pStyle w:val="ListParagraph"/>
        <w:numPr>
          <w:ilvl w:val="1"/>
          <w:numId w:val="12"/>
        </w:numPr>
        <w:ind w:left="850" w:hanging="714"/>
      </w:pPr>
      <w:r w:rsidRPr="00E62BC2">
        <w:t xml:space="preserve">An exploration permit </w:t>
      </w:r>
      <w:r w:rsidR="00F476B5">
        <w:t xml:space="preserve">granted </w:t>
      </w:r>
      <w:r w:rsidR="00F476B5" w:rsidRPr="00D4124E">
        <w:rPr>
          <w:i/>
          <w:iCs/>
        </w:rPr>
        <w:t>under the Offshore Petroleum and Greenhouse Gas Storage Act (2006</w:t>
      </w:r>
      <w:r w:rsidR="00F476B5" w:rsidRPr="00083687">
        <w:rPr>
          <w:i/>
          <w:iCs/>
        </w:rPr>
        <w:t>)</w:t>
      </w:r>
      <w:r w:rsidR="00F476B5">
        <w:t xml:space="preserve"> (</w:t>
      </w:r>
      <w:r w:rsidR="00F476B5" w:rsidRPr="00AF4925">
        <w:t>OPGGS Act</w:t>
      </w:r>
      <w:r w:rsidR="00F476B5">
        <w:t xml:space="preserve">) </w:t>
      </w:r>
      <w:r w:rsidR="001C3B3D">
        <w:t>authorises</w:t>
      </w:r>
      <w:r w:rsidRPr="00E62BC2">
        <w:t xml:space="preserve"> the titleholder to explore </w:t>
      </w:r>
      <w:r w:rsidR="008F35D8">
        <w:t xml:space="preserve">for </w:t>
      </w:r>
      <w:r w:rsidR="00BB7DA9">
        <w:t>and</w:t>
      </w:r>
      <w:r w:rsidR="008F35D8">
        <w:t xml:space="preserve"> to recover</w:t>
      </w:r>
      <w:r w:rsidR="00BB7DA9">
        <w:t xml:space="preserve"> </w:t>
      </w:r>
      <w:r w:rsidR="00E95BE5">
        <w:t>petroleum</w:t>
      </w:r>
      <w:r w:rsidR="00482E75">
        <w:t xml:space="preserve"> </w:t>
      </w:r>
      <w:r w:rsidR="008F35D8">
        <w:t xml:space="preserve">on an appraisal basis, and to </w:t>
      </w:r>
      <w:r w:rsidR="00482E75">
        <w:t xml:space="preserve">explore for potential greenhouse gas </w:t>
      </w:r>
      <w:r w:rsidR="00F01BB1">
        <w:t>storage formations and injection sites</w:t>
      </w:r>
      <w:r w:rsidR="00E95BE5">
        <w:t xml:space="preserve"> </w:t>
      </w:r>
      <w:r w:rsidRPr="00E62BC2">
        <w:t xml:space="preserve">within the permit area. Exploration activities, such as seismic </w:t>
      </w:r>
      <w:r w:rsidR="002B7923">
        <w:t xml:space="preserve">data acquisition </w:t>
      </w:r>
      <w:r w:rsidRPr="00E62BC2">
        <w:t xml:space="preserve">and exploration drilling, can occur subject to relevant regulatory approvals. This includes acceptance of an environment plan, well operations management plan and safety case </w:t>
      </w:r>
      <w:r w:rsidR="00B20194">
        <w:t xml:space="preserve">as relevant </w:t>
      </w:r>
      <w:r w:rsidRPr="00E62BC2">
        <w:t xml:space="preserve">by the National Offshore Petroleum Safety and Environmental </w:t>
      </w:r>
      <w:r w:rsidRPr="007F07AC">
        <w:t>Management Authority (NOPSEMA).</w:t>
      </w:r>
    </w:p>
    <w:p w14:paraId="59B62932" w14:textId="4C8056DC" w:rsidR="00DB58DA" w:rsidRPr="007F07AC" w:rsidRDefault="0077556F" w:rsidP="007507EE">
      <w:pPr>
        <w:pStyle w:val="ListParagraph"/>
        <w:numPr>
          <w:ilvl w:val="1"/>
          <w:numId w:val="12"/>
        </w:numPr>
        <w:ind w:left="851" w:hanging="716"/>
      </w:pPr>
      <w:r w:rsidRPr="007F07AC">
        <w:t>The registered holder of a</w:t>
      </w:r>
      <w:r w:rsidR="00DB58DA" w:rsidRPr="007F07AC">
        <w:t xml:space="preserve"> petroleum exploration </w:t>
      </w:r>
      <w:r w:rsidR="00E71BD1" w:rsidRPr="007F07AC">
        <w:t xml:space="preserve">permit </w:t>
      </w:r>
      <w:r w:rsidRPr="007F07AC">
        <w:t xml:space="preserve">(the </w:t>
      </w:r>
      <w:r w:rsidR="00DB58DA" w:rsidRPr="007F07AC">
        <w:t>permittee</w:t>
      </w:r>
      <w:r w:rsidRPr="007F07AC">
        <w:t>)</w:t>
      </w:r>
      <w:r w:rsidR="00DB58DA" w:rsidRPr="007F07AC">
        <w:t xml:space="preserve"> is authorised in accordance with th</w:t>
      </w:r>
      <w:r w:rsidR="00E71BD1" w:rsidRPr="007F07AC">
        <w:t xml:space="preserve">e OPGGS Act and </w:t>
      </w:r>
      <w:r w:rsidR="00DB58DA" w:rsidRPr="007F07AC">
        <w:t>conditions (if any) to which the permit is subject</w:t>
      </w:r>
      <w:r w:rsidR="008F2788" w:rsidRPr="007F07AC">
        <w:t xml:space="preserve"> to</w:t>
      </w:r>
      <w:r w:rsidR="00DB58DA" w:rsidRPr="007F07AC">
        <w:t>:</w:t>
      </w:r>
    </w:p>
    <w:p w14:paraId="3C5759C7" w14:textId="30E41D24" w:rsidR="00DB58DA" w:rsidRPr="007F07AC" w:rsidRDefault="00DB58DA" w:rsidP="007507EE">
      <w:pPr>
        <w:pStyle w:val="ListParagraph"/>
        <w:numPr>
          <w:ilvl w:val="2"/>
          <w:numId w:val="12"/>
        </w:numPr>
        <w:ind w:left="1418" w:hanging="425"/>
      </w:pPr>
      <w:r w:rsidRPr="007F07AC">
        <w:t>explore in the permit area for a potential greenhouse gas storage formation</w:t>
      </w:r>
      <w:r w:rsidR="00C17729">
        <w:t>.</w:t>
      </w:r>
    </w:p>
    <w:p w14:paraId="7E1BEF5F" w14:textId="3A3ECBD0" w:rsidR="00DB58DA" w:rsidRPr="007F07AC" w:rsidRDefault="00DB58DA" w:rsidP="007507EE">
      <w:pPr>
        <w:pStyle w:val="ListParagraph"/>
        <w:numPr>
          <w:ilvl w:val="2"/>
          <w:numId w:val="12"/>
        </w:numPr>
        <w:ind w:left="1418" w:hanging="425"/>
      </w:pPr>
      <w:r w:rsidRPr="007F07AC">
        <w:t>explore in the permit area for a potential greenhouse gas injection site</w:t>
      </w:r>
      <w:r w:rsidR="00C17729">
        <w:t>.</w:t>
      </w:r>
    </w:p>
    <w:p w14:paraId="10BB05AD" w14:textId="61024EE3" w:rsidR="00DB58DA" w:rsidRPr="007F07AC" w:rsidRDefault="00DB58DA" w:rsidP="007507EE">
      <w:pPr>
        <w:pStyle w:val="ListParagraph"/>
        <w:numPr>
          <w:ilvl w:val="2"/>
          <w:numId w:val="12"/>
        </w:numPr>
        <w:ind w:left="1418" w:hanging="425"/>
      </w:pPr>
      <w:r w:rsidRPr="007F07AC">
        <w:t>carry out such operations and execute such works in the permit area as are necessary for those purposes.</w:t>
      </w:r>
    </w:p>
    <w:p w14:paraId="5F0790BB" w14:textId="3DADC397" w:rsidR="00A322CA" w:rsidRPr="007F07AC" w:rsidRDefault="00A322CA" w:rsidP="00A322CA">
      <w:pPr>
        <w:pStyle w:val="ListParagraph"/>
        <w:numPr>
          <w:ilvl w:val="1"/>
          <w:numId w:val="12"/>
        </w:numPr>
        <w:ind w:left="851" w:hanging="716"/>
      </w:pPr>
      <w:r w:rsidRPr="007F07AC">
        <w:t xml:space="preserve">While the </w:t>
      </w:r>
      <w:r w:rsidR="00110BCD" w:rsidRPr="007F07AC">
        <w:t>permittee</w:t>
      </w:r>
      <w:r w:rsidRPr="007F07AC">
        <w:t xml:space="preserve"> is authorised to explore for potential GHG storage formations and injection sites, sections 312 and 312A of the OPGGS Act do not authorise a petroleum exploration permit holder to apply for a declaration of identified storage formation. </w:t>
      </w:r>
    </w:p>
    <w:p w14:paraId="71D5828E" w14:textId="636C8D68" w:rsidR="009D0AE3" w:rsidRDefault="00903913" w:rsidP="007507EE">
      <w:pPr>
        <w:pStyle w:val="ListParagraph"/>
        <w:numPr>
          <w:ilvl w:val="1"/>
          <w:numId w:val="12"/>
        </w:numPr>
        <w:ind w:left="851" w:hanging="716"/>
      </w:pPr>
      <w:r w:rsidRPr="00E62BC2">
        <w:t>An exploration permit is awarded, subject to conditions, for an initial term of six years, which may be suspended, extended and/or varied in certain circumstances. At the end of the initial term, the exploration permit may be renewed for two further terms of five years each.</w:t>
      </w:r>
    </w:p>
    <w:p w14:paraId="26FE7115" w14:textId="45958B99" w:rsidR="009D0AE3" w:rsidRDefault="00903913" w:rsidP="007507EE">
      <w:pPr>
        <w:pStyle w:val="ListParagraph"/>
        <w:numPr>
          <w:ilvl w:val="1"/>
          <w:numId w:val="12"/>
        </w:numPr>
        <w:ind w:left="851" w:hanging="716"/>
      </w:pPr>
      <w:r w:rsidRPr="00E62BC2">
        <w:t xml:space="preserve">If a petroleum discovery is made during the term of an exploration permit please refer to </w:t>
      </w:r>
      <w:hyperlink r:id="rId17" w:tooltip="LInk to factsheet" w:history="1">
        <w:r w:rsidRPr="00740192">
          <w:t>Petroleum Discoveries Factsheet</w:t>
        </w:r>
      </w:hyperlink>
      <w:r w:rsidRPr="00740192">
        <w:t xml:space="preserve"> and </w:t>
      </w:r>
      <w:hyperlink r:id="rId18" w:tooltip="Link to guideline" w:history="1">
        <w:r w:rsidRPr="00740192">
          <w:t>Declaration of a location guideline</w:t>
        </w:r>
      </w:hyperlink>
      <w:r w:rsidRPr="00740192">
        <w:t xml:space="preserve"> for next</w:t>
      </w:r>
      <w:r w:rsidRPr="00E62BC2">
        <w:t xml:space="preserve"> steps.</w:t>
      </w:r>
    </w:p>
    <w:p w14:paraId="2BDDB276" w14:textId="773E32AD" w:rsidR="00E761D0" w:rsidRDefault="00E761D0" w:rsidP="00E761D0">
      <w:pPr>
        <w:pStyle w:val="ListParagraph"/>
        <w:numPr>
          <w:ilvl w:val="1"/>
          <w:numId w:val="12"/>
        </w:numPr>
        <w:ind w:left="851" w:hanging="716"/>
      </w:pPr>
      <w:r w:rsidRPr="00F32608">
        <w:t>NOPTA monitors compliance with work programs and additional conditions through mechanisms such as the annual titles assessment report. NOPTA will advise the Joint Authority on any non-compliance issues as appropriate.</w:t>
      </w:r>
    </w:p>
    <w:p w14:paraId="11DA58DC" w14:textId="77777777" w:rsidR="00A24FE3" w:rsidRPr="00D3795A" w:rsidRDefault="00A24FE3" w:rsidP="00A24FE3">
      <w:pPr>
        <w:pStyle w:val="Heading3"/>
      </w:pPr>
      <w:bookmarkStart w:id="67" w:name="_Toc183622552"/>
      <w:bookmarkStart w:id="68" w:name="_Toc193955348"/>
      <w:r>
        <w:t>Decision-</w:t>
      </w:r>
      <w:r w:rsidRPr="00D3795A">
        <w:t>maker</w:t>
      </w:r>
      <w:bookmarkEnd w:id="67"/>
      <w:bookmarkEnd w:id="68"/>
    </w:p>
    <w:p w14:paraId="008FB755" w14:textId="1D941F13" w:rsidR="00555FC8" w:rsidRPr="00B108D8" w:rsidRDefault="00A24FE3" w:rsidP="007507EE">
      <w:pPr>
        <w:pStyle w:val="ListParagraph"/>
        <w:numPr>
          <w:ilvl w:val="1"/>
          <w:numId w:val="12"/>
        </w:numPr>
        <w:ind w:left="851" w:hanging="716"/>
        <w:rPr>
          <w:rFonts w:cs="Aptos"/>
        </w:rPr>
      </w:pPr>
      <w:r w:rsidRPr="00B108D8">
        <w:rPr>
          <w:rFonts w:cs="Aptos"/>
        </w:rPr>
        <w:t xml:space="preserve">The relevant </w:t>
      </w:r>
      <w:r w:rsidR="00684D5A" w:rsidRPr="00B108D8">
        <w:rPr>
          <w:rFonts w:cs="Aptos"/>
        </w:rPr>
        <w:t>offshore petroleum</w:t>
      </w:r>
      <w:r w:rsidRPr="00B108D8">
        <w:rPr>
          <w:rFonts w:cs="Aptos"/>
        </w:rPr>
        <w:t xml:space="preserve"> Joint Authority is the decision maker on applications for the grant, renewal and surrender of petroleum exploration permits</w:t>
      </w:r>
      <w:r w:rsidR="008F2788">
        <w:rPr>
          <w:rFonts w:cs="Aptos"/>
        </w:rPr>
        <w:t>,</w:t>
      </w:r>
      <w:r w:rsidRPr="00B108D8">
        <w:rPr>
          <w:rFonts w:cs="Aptos"/>
        </w:rPr>
        <w:t xml:space="preserve"> as well as variation and suspension of, and exemption from permit conditions and the extension of permit terms.</w:t>
      </w:r>
    </w:p>
    <w:p w14:paraId="2478EF54" w14:textId="4574D6B7" w:rsidR="002A2C8E" w:rsidRPr="002A2C8E" w:rsidRDefault="002A2C8E" w:rsidP="007507EE">
      <w:pPr>
        <w:pStyle w:val="ListParagraph"/>
        <w:numPr>
          <w:ilvl w:val="2"/>
          <w:numId w:val="12"/>
        </w:numPr>
        <w:ind w:left="1418" w:hanging="425"/>
      </w:pPr>
      <w:r>
        <w:t xml:space="preserve">The Joint Authority </w:t>
      </w:r>
      <w:r w:rsidR="001C3B3D">
        <w:t>for an offshore area of a State (other than Tasmania</w:t>
      </w:r>
      <w:r w:rsidR="00D427A2">
        <w:t>)</w:t>
      </w:r>
      <w:r w:rsidR="001C3B3D">
        <w:t xml:space="preserve"> </w:t>
      </w:r>
      <w:r>
        <w:t>comprise</w:t>
      </w:r>
      <w:r w:rsidR="001C3B3D">
        <w:t>s</w:t>
      </w:r>
      <w:r>
        <w:t xml:space="preserve"> </w:t>
      </w:r>
      <w:r w:rsidR="00552012">
        <w:t>the</w:t>
      </w:r>
      <w:r w:rsidDel="001C3B3D">
        <w:t xml:space="preserve"> </w:t>
      </w:r>
      <w:r w:rsidR="001C3B3D">
        <w:t xml:space="preserve">responsible </w:t>
      </w:r>
      <w:r>
        <w:t xml:space="preserve">Commonwealth </w:t>
      </w:r>
      <w:r w:rsidR="001C3B3D">
        <w:t>Minister and the responsible State Minister.  The responsible Commonwealth Minister is the Joint Authority for the offshore area of Tasmania</w:t>
      </w:r>
      <w:r w:rsidR="002042FE">
        <w:t xml:space="preserve"> and the Territory of Ashmore and Cartier Islands</w:t>
      </w:r>
      <w:r w:rsidR="001C3B3D">
        <w:t xml:space="preserve">.  The responsible Commonwealth Minister and the responsible Northern-Territory Minister comprise the Commonwealth-Northern Territory Offshore Petroleum Joint Authority. </w:t>
      </w:r>
    </w:p>
    <w:p w14:paraId="4E822CE0" w14:textId="2E5DFB54" w:rsidR="00A24FE3" w:rsidRPr="00B108D8" w:rsidRDefault="00A24FE3" w:rsidP="007507EE">
      <w:pPr>
        <w:pStyle w:val="ListParagraph"/>
        <w:numPr>
          <w:ilvl w:val="1"/>
          <w:numId w:val="12"/>
        </w:numPr>
        <w:ind w:left="851" w:hanging="716"/>
        <w:rPr>
          <w:rFonts w:cs="Aptos"/>
        </w:rPr>
      </w:pPr>
      <w:r w:rsidRPr="00B108D8">
        <w:rPr>
          <w:rFonts w:cs="Aptos"/>
        </w:rPr>
        <w:t xml:space="preserve">Applications are assessed by NOPTA </w:t>
      </w:r>
      <w:r w:rsidR="00552012">
        <w:rPr>
          <w:rFonts w:cs="Aptos"/>
        </w:rPr>
        <w:t>who then provide</w:t>
      </w:r>
      <w:r w:rsidRPr="00B108D8">
        <w:rPr>
          <w:rFonts w:cs="Aptos"/>
        </w:rPr>
        <w:t xml:space="preserve"> advice to the relevant Joint Authority.</w:t>
      </w:r>
    </w:p>
    <w:p w14:paraId="73007E07" w14:textId="77777777" w:rsidR="000E51A4" w:rsidRPr="003E44E6" w:rsidRDefault="000E51A4" w:rsidP="00095C1F">
      <w:pPr>
        <w:pStyle w:val="Heading3"/>
      </w:pPr>
      <w:bookmarkStart w:id="69" w:name="_Toc183622553"/>
      <w:bookmarkStart w:id="70" w:name="_Toc193955349"/>
      <w:r w:rsidRPr="003E44E6">
        <w:t>Decision-making</w:t>
      </w:r>
      <w:bookmarkEnd w:id="69"/>
      <w:bookmarkEnd w:id="70"/>
    </w:p>
    <w:p w14:paraId="74EFC33B" w14:textId="64D3D52A" w:rsidR="00555FC8" w:rsidRDefault="000E51A4" w:rsidP="007507EE">
      <w:pPr>
        <w:pStyle w:val="ListParagraph"/>
        <w:numPr>
          <w:ilvl w:val="1"/>
          <w:numId w:val="12"/>
        </w:numPr>
        <w:ind w:left="851" w:hanging="716"/>
      </w:pPr>
      <w:r w:rsidRPr="00B108D8">
        <w:rPr>
          <w:rFonts w:cs="Aptos"/>
        </w:rPr>
        <w:t xml:space="preserve">The OPGGS Act provides that the </w:t>
      </w:r>
      <w:r w:rsidR="00303D7E">
        <w:rPr>
          <w:rFonts w:cs="Aptos"/>
        </w:rPr>
        <w:t xml:space="preserve">Joint Authority is the </w:t>
      </w:r>
      <w:r w:rsidRPr="00B108D8">
        <w:rPr>
          <w:rFonts w:cs="Aptos"/>
        </w:rPr>
        <w:t>decision maker</w:t>
      </w:r>
      <w:r w:rsidR="00303D7E">
        <w:rPr>
          <w:rFonts w:cs="Aptos"/>
        </w:rPr>
        <w:t xml:space="preserve"> for considering an application for a petroleum exploration permit.  The Joint Authority </w:t>
      </w:r>
      <w:r w:rsidRPr="00B108D8">
        <w:rPr>
          <w:rFonts w:cs="Aptos"/>
        </w:rPr>
        <w:t xml:space="preserve">must (or in some cases, may) have regard to certain matters when making decisions in respect of certain applications for or in respect of petroleum titles. </w:t>
      </w:r>
      <w:r>
        <w:t>These include:</w:t>
      </w:r>
    </w:p>
    <w:p w14:paraId="3152DBD8" w14:textId="77777777" w:rsidR="00303D7E" w:rsidRDefault="00303D7E" w:rsidP="007507EE">
      <w:pPr>
        <w:pStyle w:val="ListParagraph"/>
        <w:numPr>
          <w:ilvl w:val="2"/>
          <w:numId w:val="12"/>
        </w:numPr>
        <w:ind w:left="1418" w:hanging="425"/>
      </w:pPr>
      <w:r w:rsidRPr="00303D7E">
        <w:lastRenderedPageBreak/>
        <w:t xml:space="preserve">whether the technical advice and financial resources available to the applicant are sufficient to: </w:t>
      </w:r>
    </w:p>
    <w:p w14:paraId="585AA569" w14:textId="77777777" w:rsidR="00303D7E" w:rsidRDefault="00303D7E" w:rsidP="00303D7E">
      <w:pPr>
        <w:pStyle w:val="ListParagraph"/>
        <w:ind w:left="1418"/>
      </w:pPr>
      <w:r w:rsidRPr="00303D7E">
        <w:t>(</w:t>
      </w:r>
      <w:proofErr w:type="spellStart"/>
      <w:r w:rsidRPr="00303D7E">
        <w:t>i</w:t>
      </w:r>
      <w:proofErr w:type="spellEnd"/>
      <w:r w:rsidRPr="00303D7E">
        <w:t xml:space="preserve">) carry out the operations and works that will be authorised by the permit; and </w:t>
      </w:r>
    </w:p>
    <w:p w14:paraId="73229CEF" w14:textId="318B567D" w:rsidR="00303D7E" w:rsidRDefault="00303D7E" w:rsidP="0098087E">
      <w:pPr>
        <w:pStyle w:val="ListParagraph"/>
        <w:ind w:left="1418"/>
      </w:pPr>
      <w:r w:rsidRPr="00303D7E">
        <w:t>(ii) discharge the obligations that will be imposed under this Act, or a legislative instrument under this Act, in relation to the permit</w:t>
      </w:r>
      <w:r w:rsidR="0099314E">
        <w:t>.</w:t>
      </w:r>
    </w:p>
    <w:p w14:paraId="2D21B5D5" w14:textId="11BDB084" w:rsidR="00555FC8" w:rsidRDefault="000E51A4" w:rsidP="007507EE">
      <w:pPr>
        <w:pStyle w:val="ListParagraph"/>
        <w:numPr>
          <w:ilvl w:val="2"/>
          <w:numId w:val="12"/>
        </w:numPr>
        <w:ind w:left="1418" w:hanging="425"/>
      </w:pPr>
      <w:r>
        <w:t xml:space="preserve">the matters </w:t>
      </w:r>
      <w:r w:rsidR="00303D7E">
        <w:t>specified</w:t>
      </w:r>
      <w:r>
        <w:t xml:space="preserve"> in s</w:t>
      </w:r>
      <w:r w:rsidR="00234956">
        <w:t>ection</w:t>
      </w:r>
      <w:r>
        <w:t xml:space="preserve"> 695YB of the OPGGS Act</w:t>
      </w:r>
      <w:r w:rsidR="00303D7E">
        <w:t xml:space="preserve"> as they apply to the applicant</w:t>
      </w:r>
      <w:r w:rsidR="0099314E">
        <w:t>.</w:t>
      </w:r>
    </w:p>
    <w:p w14:paraId="35963CD9" w14:textId="062DE1E8" w:rsidR="00303D7E" w:rsidRDefault="00303D7E" w:rsidP="007507EE">
      <w:pPr>
        <w:pStyle w:val="ListParagraph"/>
        <w:numPr>
          <w:ilvl w:val="2"/>
          <w:numId w:val="12"/>
        </w:numPr>
        <w:ind w:left="1418" w:hanging="425"/>
      </w:pPr>
      <w:r>
        <w:t>if the applicant is a body corporate, the matters specified in section 695YB as they apply to an officer of the body corporate</w:t>
      </w:r>
      <w:r w:rsidR="004A0899">
        <w:t>.</w:t>
      </w:r>
    </w:p>
    <w:p w14:paraId="783C973A" w14:textId="2FECAF08" w:rsidR="000E51A4" w:rsidRDefault="000E51A4" w:rsidP="007507EE">
      <w:pPr>
        <w:pStyle w:val="ListParagraph"/>
        <w:numPr>
          <w:ilvl w:val="2"/>
          <w:numId w:val="12"/>
        </w:numPr>
        <w:ind w:left="1418" w:hanging="425"/>
      </w:pPr>
      <w:r>
        <w:t>any other matters prescribed by the regulations.</w:t>
      </w:r>
    </w:p>
    <w:p w14:paraId="47827A24" w14:textId="4FE57422" w:rsidR="000E51A4" w:rsidRPr="00B108D8" w:rsidRDefault="000E51A4" w:rsidP="007507EE">
      <w:pPr>
        <w:pStyle w:val="ListParagraph"/>
        <w:numPr>
          <w:ilvl w:val="1"/>
          <w:numId w:val="12"/>
        </w:numPr>
        <w:ind w:left="851" w:hanging="716"/>
        <w:rPr>
          <w:rFonts w:cs="Aptos"/>
        </w:rPr>
      </w:pPr>
      <w:r w:rsidRPr="00B108D8">
        <w:rPr>
          <w:rFonts w:cs="Aptos"/>
        </w:rPr>
        <w:t>The decision maker may also have regard to any other matter</w:t>
      </w:r>
      <w:r w:rsidR="00303D7E">
        <w:rPr>
          <w:rFonts w:cs="Aptos"/>
        </w:rPr>
        <w:t xml:space="preserve"> the Joint Authority considers relevant</w:t>
      </w:r>
      <w:r w:rsidRPr="00B108D8">
        <w:rPr>
          <w:rFonts w:cs="Aptos"/>
        </w:rPr>
        <w:t>.</w:t>
      </w:r>
    </w:p>
    <w:p w14:paraId="3F106628" w14:textId="00823331" w:rsidR="00507925" w:rsidRPr="00B108D8" w:rsidRDefault="000E51A4" w:rsidP="00501370">
      <w:pPr>
        <w:pStyle w:val="ListParagraph"/>
        <w:numPr>
          <w:ilvl w:val="1"/>
          <w:numId w:val="12"/>
        </w:numPr>
        <w:ind w:left="851" w:hanging="716"/>
        <w:rPr>
          <w:rFonts w:cs="Aptos"/>
        </w:rPr>
      </w:pPr>
      <w:r w:rsidRPr="00B108D8">
        <w:rPr>
          <w:rFonts w:cs="Aptos"/>
        </w:rPr>
        <w:t xml:space="preserve">Where the </w:t>
      </w:r>
      <w:r w:rsidR="00303D7E">
        <w:rPr>
          <w:rFonts w:cs="Aptos"/>
        </w:rPr>
        <w:t>Joint Authority</w:t>
      </w:r>
      <w:r w:rsidRPr="00B108D8">
        <w:rPr>
          <w:rFonts w:cs="Aptos"/>
        </w:rPr>
        <w:t>, is not satisfied that the applicant has access to sufficient technical advice and financial resources or does not meet the suitability criteria (where relevant), the application must (or in some cases may) be refused.</w:t>
      </w:r>
    </w:p>
    <w:p w14:paraId="264BD040" w14:textId="77777777" w:rsidR="000E51A4" w:rsidRPr="00270201" w:rsidRDefault="000E51A4" w:rsidP="00270201">
      <w:pPr>
        <w:pStyle w:val="Calloutbox"/>
      </w:pPr>
      <w:r w:rsidRPr="00270201">
        <w:t xml:space="preserve">Matters relating to the assessment of the suitability of an applicant can be found in the </w:t>
      </w:r>
      <w:hyperlink r:id="rId19" w:history="1">
        <w:r w:rsidRPr="00270201">
          <w:rPr>
            <w:rStyle w:val="Hyperlink"/>
            <w:rFonts w:cs="Aptos"/>
          </w:rPr>
          <w:t>Guideline: Applicant suitability</w:t>
        </w:r>
      </w:hyperlink>
      <w:r w:rsidRPr="00270201">
        <w:t>.</w:t>
      </w:r>
    </w:p>
    <w:p w14:paraId="77F2B861" w14:textId="77777777" w:rsidR="00A24FE3" w:rsidRPr="00563AF9" w:rsidRDefault="00A24FE3" w:rsidP="00A24FE3">
      <w:pPr>
        <w:pStyle w:val="Heading3"/>
      </w:pPr>
      <w:bookmarkStart w:id="71" w:name="_Toc183622554"/>
      <w:bookmarkStart w:id="72" w:name="_Toc193955350"/>
      <w:r w:rsidRPr="00563AF9">
        <w:t>Information gathering powers</w:t>
      </w:r>
      <w:bookmarkEnd w:id="71"/>
      <w:bookmarkEnd w:id="72"/>
    </w:p>
    <w:p w14:paraId="35985408" w14:textId="0E088470" w:rsidR="00A24FE3" w:rsidRPr="00B108D8" w:rsidRDefault="00AB5182" w:rsidP="007507EE">
      <w:pPr>
        <w:pStyle w:val="ListParagraph"/>
        <w:numPr>
          <w:ilvl w:val="1"/>
          <w:numId w:val="12"/>
        </w:numPr>
        <w:ind w:left="851" w:hanging="716"/>
        <w:rPr>
          <w:rFonts w:cs="Aptos"/>
        </w:rPr>
      </w:pPr>
      <w:r w:rsidRPr="00B108D8">
        <w:rPr>
          <w:rFonts w:cs="Aptos"/>
        </w:rPr>
        <w:t xml:space="preserve">Section 258 of the OPGGS Act provides </w:t>
      </w:r>
      <w:r w:rsidR="007F7833">
        <w:rPr>
          <w:rFonts w:cs="Aptos"/>
        </w:rPr>
        <w:t>t</w:t>
      </w:r>
      <w:r w:rsidR="00A24FE3" w:rsidRPr="00B108D8">
        <w:rPr>
          <w:rFonts w:cs="Aptos"/>
        </w:rPr>
        <w:t xml:space="preserve">he Titles Administrator powers to require applicants to provide further information about an application. Where further information is required, applicants will be notified in </w:t>
      </w:r>
      <w:proofErr w:type="gramStart"/>
      <w:r w:rsidR="00A24FE3" w:rsidRPr="00B108D8">
        <w:rPr>
          <w:rFonts w:cs="Aptos"/>
        </w:rPr>
        <w:t>writing</w:t>
      </w:r>
      <w:proofErr w:type="gramEnd"/>
      <w:r w:rsidR="007F7833">
        <w:rPr>
          <w:rFonts w:cs="Aptos"/>
        </w:rPr>
        <w:t xml:space="preserve"> and t</w:t>
      </w:r>
      <w:r w:rsidR="00A24FE3" w:rsidRPr="00B108D8">
        <w:rPr>
          <w:rFonts w:cs="Aptos"/>
        </w:rPr>
        <w:t>he notice will specify the time within which the information is to be provided.</w:t>
      </w:r>
    </w:p>
    <w:p w14:paraId="2FDC74E0" w14:textId="77777777" w:rsidR="00555FC8" w:rsidRPr="00B108D8" w:rsidRDefault="00A24FE3" w:rsidP="007507EE">
      <w:pPr>
        <w:pStyle w:val="ListParagraph"/>
        <w:numPr>
          <w:ilvl w:val="1"/>
          <w:numId w:val="12"/>
        </w:numPr>
        <w:ind w:left="851" w:hanging="716"/>
        <w:rPr>
          <w:rFonts w:cs="Aptos"/>
        </w:rPr>
      </w:pPr>
      <w:r w:rsidRPr="00B108D8">
        <w:rPr>
          <w:rFonts w:cs="Aptos"/>
        </w:rPr>
        <w:t>Failure to provide the required information may result in the Joint Authority deciding to refuse to consider the application or take any action (or further action) in relation to the application</w:t>
      </w:r>
      <w:r w:rsidR="00555FC8" w:rsidRPr="00B108D8">
        <w:rPr>
          <w:rFonts w:cs="Aptos"/>
        </w:rPr>
        <w:t>.</w:t>
      </w:r>
    </w:p>
    <w:p w14:paraId="377C712B" w14:textId="77777777" w:rsidR="00555FC8" w:rsidRDefault="00555FC8" w:rsidP="00555FC8">
      <w:pPr>
        <w:pStyle w:val="Heading3"/>
      </w:pPr>
      <w:bookmarkStart w:id="73" w:name="_Toc183622555"/>
      <w:bookmarkStart w:id="74" w:name="_Toc193955351"/>
      <w:r>
        <w:t>Application requirements</w:t>
      </w:r>
      <w:bookmarkEnd w:id="73"/>
      <w:bookmarkEnd w:id="74"/>
    </w:p>
    <w:p w14:paraId="3C0E5683" w14:textId="585D64B1" w:rsidR="008E731A" w:rsidRPr="00C97350" w:rsidRDefault="008E731A" w:rsidP="007507EE">
      <w:pPr>
        <w:pStyle w:val="ListParagraph"/>
        <w:numPr>
          <w:ilvl w:val="1"/>
          <w:numId w:val="12"/>
        </w:numPr>
        <w:ind w:left="851" w:hanging="716"/>
      </w:pPr>
      <w:r w:rsidRPr="00C97350">
        <w:t>When preparing an application</w:t>
      </w:r>
      <w:r w:rsidR="00D232A1">
        <w:t>,</w:t>
      </w:r>
      <w:r w:rsidRPr="00C97350">
        <w:t xml:space="preserve"> the applicant should review the associated documents relevant to that application including:</w:t>
      </w:r>
    </w:p>
    <w:p w14:paraId="0D19BBE8" w14:textId="7C794B09" w:rsidR="008E731A" w:rsidRPr="001B0C86" w:rsidRDefault="008E731A" w:rsidP="007507EE">
      <w:pPr>
        <w:pStyle w:val="ListParagraph"/>
        <w:numPr>
          <w:ilvl w:val="2"/>
          <w:numId w:val="12"/>
        </w:numPr>
        <w:ind w:left="1418" w:hanging="425"/>
      </w:pPr>
      <w:r w:rsidRPr="001B0C86">
        <w:t>provisions within the OPGGS Act</w:t>
      </w:r>
      <w:r w:rsidR="00BB7F61">
        <w:t>.</w:t>
      </w:r>
    </w:p>
    <w:p w14:paraId="2F4A5E5E" w14:textId="54408836" w:rsidR="008E731A" w:rsidRPr="001B0C86" w:rsidRDefault="008E731A" w:rsidP="007507EE">
      <w:pPr>
        <w:pStyle w:val="ListParagraph"/>
        <w:numPr>
          <w:ilvl w:val="2"/>
          <w:numId w:val="12"/>
        </w:numPr>
        <w:ind w:left="1418" w:hanging="425"/>
      </w:pPr>
      <w:hyperlink r:id="rId20" w:tooltip="Link to regulations" w:history="1">
        <w:r w:rsidRPr="001B0C86">
          <w:t>regulations</w:t>
        </w:r>
      </w:hyperlink>
      <w:r w:rsidR="00BB7F61">
        <w:t>.</w:t>
      </w:r>
    </w:p>
    <w:p w14:paraId="531300A2" w14:textId="4AB667D8" w:rsidR="008E731A" w:rsidRPr="001B0C86" w:rsidRDefault="008E731A" w:rsidP="007507EE">
      <w:pPr>
        <w:pStyle w:val="ListParagraph"/>
        <w:numPr>
          <w:ilvl w:val="2"/>
          <w:numId w:val="12"/>
        </w:numPr>
        <w:ind w:left="1418" w:hanging="425"/>
      </w:pPr>
      <w:r w:rsidRPr="001B0C86">
        <w:t xml:space="preserve">subject matter </w:t>
      </w:r>
      <w:hyperlink r:id="rId21" w:tooltip="Link to guidance" w:history="1">
        <w:r w:rsidRPr="001B0C86">
          <w:t>guidelines and factsheets</w:t>
        </w:r>
      </w:hyperlink>
      <w:r w:rsidRPr="001B0C86">
        <w:t xml:space="preserve"> </w:t>
      </w:r>
      <w:r w:rsidR="0087780C">
        <w:t>available on NOPTA’s website</w:t>
      </w:r>
      <w:r w:rsidR="00BB7F61">
        <w:t>.</w:t>
      </w:r>
    </w:p>
    <w:p w14:paraId="35D24916" w14:textId="52BA9658" w:rsidR="008E731A" w:rsidRPr="001B0C86" w:rsidRDefault="008E731A" w:rsidP="007507EE">
      <w:pPr>
        <w:pStyle w:val="ListParagraph"/>
        <w:numPr>
          <w:ilvl w:val="2"/>
          <w:numId w:val="12"/>
        </w:numPr>
        <w:ind w:left="1418" w:hanging="425"/>
      </w:pPr>
      <w:hyperlink r:id="rId22" w:history="1">
        <w:r w:rsidRPr="00172002">
          <w:rPr>
            <w:rStyle w:val="Hyperlink"/>
          </w:rPr>
          <w:t>NOPTA Forms Guidance–Petroleum</w:t>
        </w:r>
      </w:hyperlink>
      <w:r w:rsidRPr="001B0C86">
        <w:t>. This consolidated application guidance document covers submission requirements and details, forms execution (signatures), notification requirements and other government considerations such as foreign investment and prior usage rights.</w:t>
      </w:r>
    </w:p>
    <w:p w14:paraId="5F4A9FE4" w14:textId="61810ECC" w:rsidR="008E731A" w:rsidRPr="008E731A" w:rsidRDefault="008E731A" w:rsidP="007507EE">
      <w:pPr>
        <w:pStyle w:val="ListParagraph"/>
        <w:numPr>
          <w:ilvl w:val="2"/>
          <w:numId w:val="12"/>
        </w:numPr>
        <w:ind w:left="1418" w:hanging="425"/>
      </w:pPr>
      <w:hyperlink r:id="rId23" w:tooltip="Link to forms" w:history="1">
        <w:r w:rsidRPr="001B0C86">
          <w:t>application forms</w:t>
        </w:r>
      </w:hyperlink>
      <w:r w:rsidR="00270201">
        <w:t>.</w:t>
      </w:r>
    </w:p>
    <w:p w14:paraId="4CE4D1EF" w14:textId="77777777" w:rsidR="000E51A4" w:rsidRPr="000C6312" w:rsidRDefault="000E51A4" w:rsidP="008E731A">
      <w:pPr>
        <w:pStyle w:val="Heading3"/>
      </w:pPr>
      <w:bookmarkStart w:id="75" w:name="_Toc183622556"/>
      <w:bookmarkStart w:id="76" w:name="_Toc193955352"/>
      <w:r w:rsidRPr="000C6312">
        <w:t>Submission requirements</w:t>
      </w:r>
      <w:bookmarkEnd w:id="75"/>
      <w:bookmarkEnd w:id="76"/>
    </w:p>
    <w:p w14:paraId="01568B14" w14:textId="024B75AB" w:rsidR="000E51A4" w:rsidRPr="00B108D8" w:rsidRDefault="000E51A4" w:rsidP="007507EE">
      <w:pPr>
        <w:pStyle w:val="ListParagraph"/>
        <w:numPr>
          <w:ilvl w:val="1"/>
          <w:numId w:val="12"/>
        </w:numPr>
        <w:ind w:left="851" w:hanging="716"/>
        <w:rPr>
          <w:rFonts w:cs="Aptos"/>
        </w:rPr>
      </w:pPr>
      <w:r w:rsidRPr="00B108D8">
        <w:rPr>
          <w:rFonts w:cs="Aptos"/>
        </w:rPr>
        <w:t>To be validly made all applications must</w:t>
      </w:r>
      <w:r w:rsidR="007F7833">
        <w:rPr>
          <w:rFonts w:cs="Aptos"/>
        </w:rPr>
        <w:t xml:space="preserve"> be</w:t>
      </w:r>
      <w:r w:rsidRPr="00B108D8">
        <w:rPr>
          <w:rFonts w:cs="Aptos"/>
        </w:rPr>
        <w:t>:</w:t>
      </w:r>
    </w:p>
    <w:p w14:paraId="70223C27" w14:textId="4E30630A" w:rsidR="000E51A4" w:rsidRPr="009416D6" w:rsidRDefault="000E51A4" w:rsidP="007507EE">
      <w:pPr>
        <w:pStyle w:val="ListParagraph"/>
        <w:numPr>
          <w:ilvl w:val="2"/>
          <w:numId w:val="12"/>
        </w:numPr>
        <w:ind w:left="1418" w:hanging="425"/>
      </w:pPr>
      <w:r w:rsidRPr="009416D6">
        <w:t>in the approved form</w:t>
      </w:r>
      <w:r w:rsidR="00BB7F61">
        <w:t>.</w:t>
      </w:r>
    </w:p>
    <w:p w14:paraId="6C6AA5B8" w14:textId="31545737" w:rsidR="000E51A4" w:rsidRPr="009416D6" w:rsidRDefault="000E51A4" w:rsidP="007507EE">
      <w:pPr>
        <w:pStyle w:val="ListParagraph"/>
        <w:numPr>
          <w:ilvl w:val="2"/>
          <w:numId w:val="12"/>
        </w:numPr>
        <w:ind w:left="1418" w:hanging="425"/>
      </w:pPr>
      <w:r w:rsidRPr="009416D6">
        <w:t>accompanied by any information or documents required by the form</w:t>
      </w:r>
      <w:r w:rsidR="00BB7F61">
        <w:t>.</w:t>
      </w:r>
    </w:p>
    <w:p w14:paraId="52646B78" w14:textId="0BA2B7FE" w:rsidR="000E51A4" w:rsidRPr="009416D6" w:rsidRDefault="000E51A4" w:rsidP="007507EE">
      <w:pPr>
        <w:pStyle w:val="ListParagraph"/>
        <w:numPr>
          <w:ilvl w:val="2"/>
          <w:numId w:val="12"/>
        </w:numPr>
        <w:ind w:left="1418" w:hanging="425"/>
      </w:pPr>
      <w:r w:rsidRPr="009416D6">
        <w:lastRenderedPageBreak/>
        <w:t>submitted in the approved manner</w:t>
      </w:r>
      <w:r w:rsidR="00BB7F61">
        <w:t>.</w:t>
      </w:r>
    </w:p>
    <w:p w14:paraId="717BBC86" w14:textId="36C866C2" w:rsidR="000E51A4" w:rsidRPr="009416D6" w:rsidRDefault="000E51A4" w:rsidP="007507EE">
      <w:pPr>
        <w:pStyle w:val="ListParagraph"/>
        <w:numPr>
          <w:ilvl w:val="2"/>
          <w:numId w:val="12"/>
        </w:numPr>
        <w:ind w:left="1418" w:hanging="425"/>
      </w:pPr>
      <w:r w:rsidRPr="009416D6">
        <w:t>accompanied by the application fee.</w:t>
      </w:r>
    </w:p>
    <w:p w14:paraId="32FC4A08" w14:textId="0C5419FB" w:rsidR="000E51A4" w:rsidRPr="00B108D8" w:rsidRDefault="000E51A4" w:rsidP="007507EE">
      <w:pPr>
        <w:pStyle w:val="ListParagraph"/>
        <w:numPr>
          <w:ilvl w:val="1"/>
          <w:numId w:val="12"/>
        </w:numPr>
        <w:ind w:left="851" w:hanging="716"/>
        <w:rPr>
          <w:rFonts w:cs="Aptos"/>
        </w:rPr>
      </w:pPr>
      <w:r w:rsidRPr="00B108D8">
        <w:rPr>
          <w:rFonts w:cs="Aptos"/>
        </w:rPr>
        <w:t xml:space="preserve">Applicants should also familiarise themselves with the </w:t>
      </w:r>
      <w:hyperlink r:id="rId24" w:history="1">
        <w:r w:rsidRPr="009416D6">
          <w:rPr>
            <w:rStyle w:val="Hyperlink"/>
            <w:rFonts w:cs="Aptos"/>
          </w:rPr>
          <w:t>Factsheet:</w:t>
        </w:r>
        <w:r w:rsidR="00862F41">
          <w:rPr>
            <w:rStyle w:val="Hyperlink"/>
            <w:rFonts w:cs="Aptos"/>
          </w:rPr>
          <w:t xml:space="preserve"> Declarations of experience and disclosures</w:t>
        </w:r>
        <w:r w:rsidR="003D7B79">
          <w:rPr>
            <w:rStyle w:val="Hyperlink"/>
            <w:rFonts w:cs="Aptos"/>
          </w:rPr>
          <w:t xml:space="preserve"> </w:t>
        </w:r>
      </w:hyperlink>
      <w:r w:rsidRPr="00B108D8">
        <w:rPr>
          <w:rFonts w:cs="Aptos"/>
        </w:rPr>
        <w:t>and determine if a declaration or change of circumstances form is required to be submitted with an application.</w:t>
      </w:r>
    </w:p>
    <w:p w14:paraId="13B0D75F" w14:textId="77777777" w:rsidR="000E51A4" w:rsidRDefault="000E51A4" w:rsidP="00270201">
      <w:pPr>
        <w:pStyle w:val="Calloutbox"/>
        <w:rPr>
          <w:rFonts w:cs="Aptos"/>
        </w:rPr>
      </w:pPr>
      <w:r w:rsidRPr="00270201">
        <w:rPr>
          <w:rFonts w:cs="Aptos"/>
        </w:rPr>
        <w:t xml:space="preserve">For further information on submission requirements refer to the </w:t>
      </w:r>
      <w:hyperlink r:id="rId25" w:history="1">
        <w:r w:rsidRPr="00270201">
          <w:rPr>
            <w:rStyle w:val="Hyperlink"/>
            <w:rFonts w:cs="Aptos"/>
          </w:rPr>
          <w:t>NOPTA Forms Guidance–Petroleum</w:t>
        </w:r>
      </w:hyperlink>
      <w:r w:rsidRPr="00270201">
        <w:rPr>
          <w:rFonts w:cs="Aptos"/>
        </w:rPr>
        <w:t>.</w:t>
      </w:r>
    </w:p>
    <w:p w14:paraId="3A2705A3" w14:textId="77777777" w:rsidR="00F079D8" w:rsidRPr="00F079D8" w:rsidRDefault="00F079D8" w:rsidP="00F079D8"/>
    <w:p w14:paraId="3369235C" w14:textId="77777777" w:rsidR="00F079D8" w:rsidRPr="00F079D8" w:rsidRDefault="00F079D8" w:rsidP="00F079D8"/>
    <w:p w14:paraId="7FF23E2D" w14:textId="77777777" w:rsidR="00F079D8" w:rsidRPr="00F079D8" w:rsidRDefault="00F079D8" w:rsidP="00F079D8"/>
    <w:p w14:paraId="6B1F2D90" w14:textId="77777777" w:rsidR="00F079D8" w:rsidRPr="00F079D8" w:rsidRDefault="00F079D8" w:rsidP="00F079D8"/>
    <w:p w14:paraId="463A0DE0" w14:textId="77777777" w:rsidR="00F079D8" w:rsidRPr="00F079D8" w:rsidRDefault="00F079D8" w:rsidP="00F079D8"/>
    <w:p w14:paraId="138DA64C" w14:textId="77777777" w:rsidR="00F079D8" w:rsidRPr="00F079D8" w:rsidRDefault="00F079D8" w:rsidP="00F079D8"/>
    <w:p w14:paraId="517806B4" w14:textId="77777777" w:rsidR="00F079D8" w:rsidRPr="00F079D8" w:rsidRDefault="00F079D8" w:rsidP="00F079D8"/>
    <w:p w14:paraId="6E5C33AF" w14:textId="77777777" w:rsidR="00F079D8" w:rsidRPr="00F079D8" w:rsidRDefault="00F079D8" w:rsidP="00F079D8"/>
    <w:p w14:paraId="0BB57477" w14:textId="77777777" w:rsidR="00F079D8" w:rsidRPr="00F079D8" w:rsidRDefault="00F079D8" w:rsidP="00F079D8"/>
    <w:p w14:paraId="331AFB73" w14:textId="77777777" w:rsidR="00F079D8" w:rsidRPr="00F079D8" w:rsidRDefault="00F079D8" w:rsidP="00F079D8"/>
    <w:p w14:paraId="3D018F52" w14:textId="77777777" w:rsidR="00F079D8" w:rsidRPr="00F079D8" w:rsidRDefault="00F079D8" w:rsidP="00F079D8"/>
    <w:p w14:paraId="6B8A1890" w14:textId="77777777" w:rsidR="00F079D8" w:rsidRPr="00F079D8" w:rsidRDefault="00F079D8" w:rsidP="00F079D8"/>
    <w:p w14:paraId="63A4F782" w14:textId="77777777" w:rsidR="00F079D8" w:rsidRPr="00F079D8" w:rsidRDefault="00F079D8" w:rsidP="00F079D8"/>
    <w:p w14:paraId="162CE13C" w14:textId="77777777" w:rsidR="00F079D8" w:rsidRPr="00F079D8" w:rsidRDefault="00F079D8" w:rsidP="00F079D8"/>
    <w:p w14:paraId="142DE9E4" w14:textId="77777777" w:rsidR="00F079D8" w:rsidRPr="00F079D8" w:rsidRDefault="00F079D8" w:rsidP="00F079D8"/>
    <w:p w14:paraId="03ED7B78" w14:textId="77777777" w:rsidR="00F079D8" w:rsidRPr="00F079D8" w:rsidRDefault="00F079D8" w:rsidP="00F079D8"/>
    <w:p w14:paraId="319EC846" w14:textId="77777777" w:rsidR="00F079D8" w:rsidRPr="00F079D8" w:rsidRDefault="00F079D8" w:rsidP="00F079D8"/>
    <w:p w14:paraId="4D39D4FE" w14:textId="77777777" w:rsidR="00F079D8" w:rsidRPr="00F079D8" w:rsidRDefault="00F079D8" w:rsidP="00F079D8"/>
    <w:p w14:paraId="0CB02F45" w14:textId="77777777" w:rsidR="00F079D8" w:rsidRPr="00F079D8" w:rsidRDefault="00F079D8" w:rsidP="00F079D8"/>
    <w:p w14:paraId="778894BA" w14:textId="77777777" w:rsidR="00F079D8" w:rsidRPr="00F079D8" w:rsidRDefault="00F079D8" w:rsidP="00F079D8"/>
    <w:p w14:paraId="235BEEBF" w14:textId="77777777" w:rsidR="00F079D8" w:rsidRPr="00F079D8" w:rsidRDefault="00F079D8" w:rsidP="00F079D8"/>
    <w:p w14:paraId="54ACF97E" w14:textId="77777777" w:rsidR="00F079D8" w:rsidRPr="00F079D8" w:rsidRDefault="00F079D8" w:rsidP="00F079D8"/>
    <w:p w14:paraId="22AA21DB" w14:textId="77777777" w:rsidR="00F079D8" w:rsidRPr="00F079D8" w:rsidRDefault="00F079D8" w:rsidP="00F079D8"/>
    <w:p w14:paraId="2EF8716A" w14:textId="77777777" w:rsidR="00F079D8" w:rsidRPr="00F079D8" w:rsidRDefault="00F079D8" w:rsidP="00F079D8"/>
    <w:p w14:paraId="529CFC43" w14:textId="77777777" w:rsidR="00F079D8" w:rsidRPr="00F079D8" w:rsidRDefault="00F079D8" w:rsidP="00F079D8"/>
    <w:p w14:paraId="235BBA6A" w14:textId="77777777" w:rsidR="00F079D8" w:rsidRPr="00F079D8" w:rsidRDefault="00F079D8" w:rsidP="00F079D8"/>
    <w:p w14:paraId="76BBA12D" w14:textId="77777777" w:rsidR="00F079D8" w:rsidRPr="00F079D8" w:rsidRDefault="00F079D8" w:rsidP="00F079D8"/>
    <w:p w14:paraId="3EE11443" w14:textId="77777777" w:rsidR="00F079D8" w:rsidRPr="00F079D8" w:rsidRDefault="00F079D8" w:rsidP="00F079D8"/>
    <w:p w14:paraId="4D7A2CBD" w14:textId="77777777" w:rsidR="00F079D8" w:rsidRPr="00F079D8" w:rsidRDefault="00F079D8" w:rsidP="00F079D8"/>
    <w:p w14:paraId="70842DFD" w14:textId="77777777" w:rsidR="00F079D8" w:rsidRPr="00F079D8" w:rsidRDefault="00F079D8" w:rsidP="00F079D8"/>
    <w:p w14:paraId="0A46ECFB" w14:textId="77777777" w:rsidR="00F079D8" w:rsidRPr="00F079D8" w:rsidRDefault="00F079D8" w:rsidP="00F079D8"/>
    <w:p w14:paraId="74DCB0B6" w14:textId="77777777" w:rsidR="00F079D8" w:rsidRPr="00F079D8" w:rsidRDefault="00F079D8" w:rsidP="00F079D8"/>
    <w:p w14:paraId="72409A5D" w14:textId="77777777" w:rsidR="00F079D8" w:rsidRPr="00F079D8" w:rsidRDefault="00F079D8" w:rsidP="00F079D8"/>
    <w:p w14:paraId="3E6229EF" w14:textId="77777777" w:rsidR="00F079D8" w:rsidRPr="00F079D8" w:rsidRDefault="00F079D8" w:rsidP="00F079D8">
      <w:pPr>
        <w:jc w:val="right"/>
      </w:pPr>
    </w:p>
    <w:p w14:paraId="3D53765B" w14:textId="77777777" w:rsidR="00F079D8" w:rsidRPr="00F079D8" w:rsidRDefault="00F079D8" w:rsidP="00F079D8"/>
    <w:p w14:paraId="7E1EE5E2" w14:textId="7124373B" w:rsidR="00903913" w:rsidRDefault="00A56749" w:rsidP="007507EE">
      <w:pPr>
        <w:pStyle w:val="Heading2"/>
        <w:numPr>
          <w:ilvl w:val="0"/>
          <w:numId w:val="12"/>
        </w:numPr>
      </w:pPr>
      <w:bookmarkStart w:id="77" w:name="_Toc173153849"/>
      <w:bookmarkStart w:id="78" w:name="_Toc173153850"/>
      <w:bookmarkStart w:id="79" w:name="_Toc173153851"/>
      <w:bookmarkStart w:id="80" w:name="_Toc82718900"/>
      <w:bookmarkStart w:id="81" w:name="_Toc83042901"/>
      <w:bookmarkStart w:id="82" w:name="_Toc82718901"/>
      <w:bookmarkStart w:id="83" w:name="_Toc83042902"/>
      <w:bookmarkStart w:id="84" w:name="_Toc82718902"/>
      <w:bookmarkStart w:id="85" w:name="_Toc83042903"/>
      <w:bookmarkStart w:id="86" w:name="_Toc173153852"/>
      <w:bookmarkStart w:id="87" w:name="_Toc173153853"/>
      <w:bookmarkStart w:id="88" w:name="_Toc173153854"/>
      <w:bookmarkStart w:id="89" w:name="_Toc173153855"/>
      <w:bookmarkStart w:id="90" w:name="_Toc173153856"/>
      <w:bookmarkStart w:id="91" w:name="_Toc173153857"/>
      <w:bookmarkStart w:id="92" w:name="_Toc81487622"/>
      <w:bookmarkStart w:id="93" w:name="_Toc83042904"/>
      <w:bookmarkStart w:id="94" w:name="_Toc83395017"/>
      <w:bookmarkStart w:id="95" w:name="_Toc90044301"/>
      <w:bookmarkStart w:id="96" w:name="_Toc183622557"/>
      <w:bookmarkStart w:id="97" w:name="_Toc193955353"/>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lastRenderedPageBreak/>
        <w:t>Applying for</w:t>
      </w:r>
      <w:r w:rsidR="0028017D">
        <w:t xml:space="preserve"> a</w:t>
      </w:r>
      <w:r>
        <w:t>n</w:t>
      </w:r>
      <w:r w:rsidR="00761811">
        <w:t xml:space="preserve"> </w:t>
      </w:r>
      <w:r w:rsidR="00903913">
        <w:t>exploration permit</w:t>
      </w:r>
      <w:bookmarkEnd w:id="92"/>
      <w:bookmarkEnd w:id="93"/>
      <w:bookmarkEnd w:id="94"/>
      <w:bookmarkEnd w:id="95"/>
      <w:bookmarkEnd w:id="96"/>
      <w:bookmarkEnd w:id="97"/>
    </w:p>
    <w:p w14:paraId="6B06E4D1" w14:textId="7AB036F6" w:rsidR="00903913" w:rsidRPr="00E62BC2" w:rsidRDefault="00903913" w:rsidP="007507EE">
      <w:pPr>
        <w:pStyle w:val="ListParagraph"/>
        <w:numPr>
          <w:ilvl w:val="1"/>
          <w:numId w:val="12"/>
        </w:numPr>
        <w:ind w:left="851" w:hanging="716"/>
      </w:pPr>
      <w:r w:rsidRPr="00E62BC2">
        <w:t>To responsibly manage resources, the Australian Government seeks to ensure applicants are capable, competent, able to responsibly manage their activities and meet all regulatory obligations</w:t>
      </w:r>
      <w:r w:rsidR="00DC18F9" w:rsidRPr="00E62BC2">
        <w:t xml:space="preserve"> </w:t>
      </w:r>
      <w:r w:rsidR="00BE0508" w:rsidRPr="00E62BC2">
        <w:t>from exploration through to decommissioning.</w:t>
      </w:r>
    </w:p>
    <w:p w14:paraId="0285096F" w14:textId="3DB1ABA0" w:rsidR="00903913" w:rsidRPr="00E62BC2" w:rsidRDefault="00903913" w:rsidP="007507EE">
      <w:pPr>
        <w:pStyle w:val="ListParagraph"/>
        <w:numPr>
          <w:ilvl w:val="1"/>
          <w:numId w:val="12"/>
        </w:numPr>
        <w:ind w:left="851" w:hanging="716"/>
      </w:pPr>
      <w:r w:rsidRPr="00E62BC2">
        <w:t>The Joint Authority awards exploration permits to the applicant who proposes an exploration strategy and work program that will significantly advance the assessment and understanding of the petroleum potential of the area and who has a satisfactory record of past performance.</w:t>
      </w:r>
    </w:p>
    <w:p w14:paraId="035D51B2" w14:textId="5E096A3D" w:rsidR="005C0D19" w:rsidRDefault="00903913" w:rsidP="007507EE">
      <w:pPr>
        <w:pStyle w:val="ListParagraph"/>
        <w:numPr>
          <w:ilvl w:val="1"/>
          <w:numId w:val="12"/>
        </w:numPr>
        <w:ind w:left="851" w:hanging="716"/>
      </w:pPr>
      <w:r w:rsidRPr="00E62BC2">
        <w:t>The Joint Authority, in accordance with sections 105(3)</w:t>
      </w:r>
      <w:r w:rsidR="00CE4EF2">
        <w:t xml:space="preserve"> and </w:t>
      </w:r>
      <w:r w:rsidRPr="00E62BC2">
        <w:t>(4)</w:t>
      </w:r>
      <w:r w:rsidR="00A42344">
        <w:t xml:space="preserve"> </w:t>
      </w:r>
      <w:r w:rsidR="00BE0508" w:rsidRPr="00E62BC2">
        <w:t>of the OPGGS Act</w:t>
      </w:r>
      <w:r w:rsidRPr="00E62BC2">
        <w:t>, must consider</w:t>
      </w:r>
      <w:r w:rsidR="005C0D19">
        <w:t>:</w:t>
      </w:r>
    </w:p>
    <w:p w14:paraId="530E8254" w14:textId="7C46AE49" w:rsidR="005C0D19" w:rsidRDefault="005C0D19" w:rsidP="0098087E">
      <w:pPr>
        <w:pStyle w:val="ListParagraph"/>
        <w:numPr>
          <w:ilvl w:val="0"/>
          <w:numId w:val="25"/>
        </w:numPr>
      </w:pPr>
      <w:r>
        <w:t xml:space="preserve">whether </w:t>
      </w:r>
      <w:r w:rsidR="00903913" w:rsidRPr="00E62BC2">
        <w:t>the technical advice and financial resources available to the applicant</w:t>
      </w:r>
      <w:r w:rsidR="007E4220">
        <w:t xml:space="preserve"> are sufficient</w:t>
      </w:r>
      <w:r w:rsidR="00903913" w:rsidRPr="00E62BC2">
        <w:t xml:space="preserve"> to</w:t>
      </w:r>
      <w:r>
        <w:t>:</w:t>
      </w:r>
    </w:p>
    <w:p w14:paraId="2E5ED404" w14:textId="77777777" w:rsidR="003A5129" w:rsidRDefault="005C0D19" w:rsidP="00797378">
      <w:pPr>
        <w:pStyle w:val="ListParagraph"/>
        <w:numPr>
          <w:ilvl w:val="2"/>
          <w:numId w:val="35"/>
        </w:numPr>
        <w:ind w:left="1551"/>
      </w:pPr>
      <w:r>
        <w:t>carry out the operations and works that will be authorised by the permit; and</w:t>
      </w:r>
    </w:p>
    <w:p w14:paraId="452B4420" w14:textId="10F1FC0A" w:rsidR="005C0D19" w:rsidRDefault="005C0D19" w:rsidP="00797378">
      <w:pPr>
        <w:pStyle w:val="ListParagraph"/>
        <w:numPr>
          <w:ilvl w:val="2"/>
          <w:numId w:val="35"/>
        </w:numPr>
        <w:ind w:left="1551"/>
      </w:pPr>
      <w:r>
        <w:t>discharge the obligations that will be imposed under the OPGGS Act, or a legislative instrument under the Act, in relation to the permit; and</w:t>
      </w:r>
    </w:p>
    <w:p w14:paraId="44C7A331" w14:textId="1A570923" w:rsidR="00903913" w:rsidRDefault="00903913" w:rsidP="0098087E">
      <w:pPr>
        <w:pStyle w:val="ListParagraph"/>
        <w:numPr>
          <w:ilvl w:val="0"/>
          <w:numId w:val="25"/>
        </w:numPr>
      </w:pPr>
      <w:r w:rsidRPr="00E62BC2">
        <w:t xml:space="preserve">the matters </w:t>
      </w:r>
      <w:r w:rsidR="005C0D19">
        <w:t>specified</w:t>
      </w:r>
      <w:r w:rsidR="005C0D19" w:rsidRPr="00E62BC2">
        <w:t xml:space="preserve"> </w:t>
      </w:r>
      <w:r w:rsidRPr="00E62BC2">
        <w:t>in s</w:t>
      </w:r>
      <w:r w:rsidR="004D60B1">
        <w:t>ection</w:t>
      </w:r>
      <w:r w:rsidRPr="00E62BC2">
        <w:t xml:space="preserve"> 695YB of the OPGGS Act</w:t>
      </w:r>
      <w:r w:rsidR="005C0D19">
        <w:t xml:space="preserve"> as they apply to the applicant; and</w:t>
      </w:r>
    </w:p>
    <w:p w14:paraId="5B294576" w14:textId="15885E6A" w:rsidR="005C0D19" w:rsidRDefault="005C0D19" w:rsidP="00391F4E">
      <w:pPr>
        <w:pStyle w:val="ListParagraph"/>
        <w:ind w:left="1211" w:hanging="360"/>
      </w:pPr>
      <w:r>
        <w:t>(c)</w:t>
      </w:r>
      <w:r>
        <w:tab/>
        <w:t>if the applicant is a body corporate – the matters specified in section 695YB as they apply to an officer of the applicant; and</w:t>
      </w:r>
    </w:p>
    <w:p w14:paraId="06A2ABE8" w14:textId="00B139AC" w:rsidR="00541F66" w:rsidRDefault="005C0D19" w:rsidP="00541F66">
      <w:pPr>
        <w:pStyle w:val="ListParagraph"/>
        <w:ind w:left="851"/>
      </w:pPr>
      <w:r>
        <w:t xml:space="preserve">(d) </w:t>
      </w:r>
      <w:r w:rsidR="00391F4E">
        <w:t xml:space="preserve"> </w:t>
      </w:r>
      <w:r>
        <w:t xml:space="preserve"> any other matters prescribed by the regulations.</w:t>
      </w:r>
    </w:p>
    <w:p w14:paraId="0114F5E8" w14:textId="5D9E4341" w:rsidR="00541F66" w:rsidRPr="00E62BC2" w:rsidRDefault="00541F66" w:rsidP="00F663AE">
      <w:pPr>
        <w:pStyle w:val="ListParagraph"/>
        <w:ind w:left="851"/>
      </w:pPr>
      <w:r w:rsidRPr="00CD2343">
        <w:t>The decision maker may also have regard to any other matter the Joint Authority considers</w:t>
      </w:r>
      <w:r w:rsidRPr="00541F66">
        <w:rPr>
          <w:rFonts w:cs="Aptos"/>
        </w:rPr>
        <w:t xml:space="preserve"> relevant.</w:t>
      </w:r>
    </w:p>
    <w:p w14:paraId="39CC6DAA" w14:textId="53785670" w:rsidR="00903913" w:rsidRPr="00E62BC2" w:rsidRDefault="00903913" w:rsidP="007507EE">
      <w:pPr>
        <w:pStyle w:val="ListParagraph"/>
        <w:numPr>
          <w:ilvl w:val="1"/>
          <w:numId w:val="12"/>
        </w:numPr>
        <w:ind w:left="851" w:hanging="716"/>
      </w:pPr>
      <w:r w:rsidRPr="00E62BC2">
        <w:t xml:space="preserve">The Joint Authority recognises the essential role of operational activities </w:t>
      </w:r>
      <w:r w:rsidR="00E70290">
        <w:t xml:space="preserve">such as </w:t>
      </w:r>
      <w:r w:rsidRPr="00E62BC2">
        <w:t>wells and seismic</w:t>
      </w:r>
      <w:r w:rsidR="005C0D19">
        <w:t xml:space="preserve"> </w:t>
      </w:r>
      <w:r w:rsidR="00CF6200">
        <w:t>acquisition</w:t>
      </w:r>
      <w:r w:rsidRPr="00E62BC2" w:rsidDel="00661CDA">
        <w:t xml:space="preserve"> </w:t>
      </w:r>
      <w:r w:rsidRPr="00E62BC2">
        <w:t xml:space="preserve">in the discovery of petroleum. However, depending on the nature of the area, an exploration well in the primary term </w:t>
      </w:r>
      <w:r w:rsidR="00E70290" w:rsidRPr="00E62BC2">
        <w:t xml:space="preserve">or the acquisition of new seismic data </w:t>
      </w:r>
      <w:r w:rsidRPr="00E62BC2">
        <w:t xml:space="preserve">may not place an applicant above another applicant who proposes a work program that is logical, coherent and supportable and </w:t>
      </w:r>
      <w:proofErr w:type="gramStart"/>
      <w:r w:rsidRPr="00E62BC2">
        <w:t>is considered to be</w:t>
      </w:r>
      <w:proofErr w:type="gramEnd"/>
      <w:r w:rsidRPr="00E62BC2">
        <w:t xml:space="preserve"> commensurate with the perceived prospectivity of the area.</w:t>
      </w:r>
    </w:p>
    <w:p w14:paraId="46CFF89C" w14:textId="3C76BF5D" w:rsidR="00CE4EF2" w:rsidRDefault="00903913" w:rsidP="007507EE">
      <w:pPr>
        <w:pStyle w:val="ListParagraph"/>
        <w:numPr>
          <w:ilvl w:val="1"/>
          <w:numId w:val="12"/>
        </w:numPr>
        <w:ind w:left="851" w:hanging="716"/>
      </w:pPr>
      <w:r w:rsidRPr="00E62BC2">
        <w:t>The Joint Authority awards exploration permits subject to a set of standard conditions. If deemed appropriate, the Joint Authority may also place additional conditions on the permit</w:t>
      </w:r>
      <w:r w:rsidR="00892215">
        <w:t>—</w:t>
      </w:r>
      <w:hyperlink r:id="rId26" w:tooltip="Link to Act" w:history="1">
        <w:r w:rsidRPr="00E62BC2">
          <w:t>section 99 (1) of the OPGGS Act</w:t>
        </w:r>
      </w:hyperlink>
      <w:r w:rsidRPr="00E62BC2">
        <w:t>.</w:t>
      </w:r>
    </w:p>
    <w:p w14:paraId="056F246F" w14:textId="51CF6447" w:rsidR="00903913" w:rsidRPr="009A73BF" w:rsidRDefault="005C6BAC" w:rsidP="0028017D">
      <w:pPr>
        <w:pStyle w:val="Heading3"/>
      </w:pPr>
      <w:bookmarkStart w:id="98" w:name="_Toc79078045"/>
      <w:bookmarkStart w:id="99" w:name="_Toc81487625"/>
      <w:bookmarkStart w:id="100" w:name="_Toc83042907"/>
      <w:bookmarkStart w:id="101" w:name="_Toc83395020"/>
      <w:bookmarkStart w:id="102" w:name="_Toc90044304"/>
      <w:bookmarkStart w:id="103" w:name="_Toc183622558"/>
      <w:bookmarkStart w:id="104" w:name="_Toc193955354"/>
      <w:r>
        <w:t>Detailed a</w:t>
      </w:r>
      <w:r w:rsidR="00903913">
        <w:t>pplication requirements</w:t>
      </w:r>
      <w:bookmarkEnd w:id="98"/>
      <w:bookmarkEnd w:id="99"/>
      <w:bookmarkEnd w:id="100"/>
      <w:bookmarkEnd w:id="101"/>
      <w:bookmarkEnd w:id="102"/>
      <w:bookmarkEnd w:id="103"/>
      <w:bookmarkEnd w:id="104"/>
    </w:p>
    <w:p w14:paraId="13D577BD" w14:textId="64ED7818" w:rsidR="00903913" w:rsidRPr="00E62BC2" w:rsidRDefault="00903913" w:rsidP="007507EE">
      <w:pPr>
        <w:pStyle w:val="ListParagraph"/>
        <w:numPr>
          <w:ilvl w:val="1"/>
          <w:numId w:val="12"/>
        </w:numPr>
        <w:ind w:left="851" w:hanging="716"/>
      </w:pPr>
      <w:r w:rsidRPr="00E62BC2">
        <w:t>To be validly made the application must</w:t>
      </w:r>
      <w:r w:rsidR="00E62BC2">
        <w:t xml:space="preserve"> be</w:t>
      </w:r>
      <w:r w:rsidRPr="00E62BC2">
        <w:t>:</w:t>
      </w:r>
    </w:p>
    <w:p w14:paraId="7F5F5716" w14:textId="5CF866F3" w:rsidR="00903913" w:rsidRPr="00E62BC2" w:rsidRDefault="00E62BC2" w:rsidP="007507EE">
      <w:pPr>
        <w:pStyle w:val="ListParagraph"/>
        <w:numPr>
          <w:ilvl w:val="2"/>
          <w:numId w:val="12"/>
        </w:numPr>
        <w:ind w:left="1418" w:hanging="425"/>
      </w:pPr>
      <w:r>
        <w:t>A</w:t>
      </w:r>
      <w:r w:rsidR="00903913" w:rsidRPr="00E62BC2">
        <w:t xml:space="preserve">ccompanied by a correctly </w:t>
      </w:r>
      <w:r w:rsidR="00903913" w:rsidRPr="00E62BC2" w:rsidDel="00E70290">
        <w:t>completed and</w:t>
      </w:r>
      <w:r w:rsidR="00F845AC">
        <w:t xml:space="preserve"> </w:t>
      </w:r>
      <w:r w:rsidR="00903913" w:rsidRPr="00E62BC2">
        <w:t>executed application form, including any information or documents required by the application form</w:t>
      </w:r>
      <w:r w:rsidR="00CE4EF2">
        <w:t>—section</w:t>
      </w:r>
      <w:r w:rsidR="00903913" w:rsidRPr="00E62BC2">
        <w:t xml:space="preserve"> 104(3)</w:t>
      </w:r>
      <w:r w:rsidR="00CE4EF2">
        <w:t xml:space="preserve"> of the OPGSS Act.</w:t>
      </w:r>
    </w:p>
    <w:p w14:paraId="2969BA65" w14:textId="04206B60" w:rsidR="00C40035" w:rsidRPr="00E62BC2" w:rsidRDefault="00E62BC2" w:rsidP="00D37D22">
      <w:pPr>
        <w:pStyle w:val="ListParagraph"/>
        <w:numPr>
          <w:ilvl w:val="2"/>
          <w:numId w:val="12"/>
        </w:numPr>
        <w:ind w:left="1418" w:hanging="425"/>
      </w:pPr>
      <w:r>
        <w:t>S</w:t>
      </w:r>
      <w:r w:rsidR="00903913" w:rsidRPr="00E62BC2">
        <w:t xml:space="preserve">ubmitted within the timeframe specified in the </w:t>
      </w:r>
      <w:hyperlink r:id="rId27" w:tooltip="Link to Gazette website" w:history="1">
        <w:r w:rsidR="00903913" w:rsidRPr="00E62BC2">
          <w:t>Australian Government Gazette</w:t>
        </w:r>
      </w:hyperlink>
      <w:r w:rsidR="00903913" w:rsidRPr="00E62BC2">
        <w:t xml:space="preserve"> notice</w:t>
      </w:r>
      <w:r w:rsidR="00F845AC">
        <w:t>.</w:t>
      </w:r>
    </w:p>
    <w:p w14:paraId="4581DA32" w14:textId="05251B7F" w:rsidR="00903913" w:rsidRPr="00E62BC2" w:rsidRDefault="005646C5" w:rsidP="007507EE">
      <w:pPr>
        <w:pStyle w:val="ListParagraph"/>
        <w:numPr>
          <w:ilvl w:val="1"/>
          <w:numId w:val="12"/>
        </w:numPr>
        <w:ind w:left="851" w:hanging="716"/>
      </w:pPr>
      <w:r>
        <w:t>A</w:t>
      </w:r>
      <w:r w:rsidR="00903913" w:rsidRPr="00E62BC2">
        <w:t>pplications should be compliant with the requirements published in the gazette notice inviting applications and meet the minimum expectations of the Joint Authority, as outlined in this guideline.</w:t>
      </w:r>
    </w:p>
    <w:p w14:paraId="219C994A" w14:textId="2D33AC21" w:rsidR="00903913" w:rsidRPr="007F07AC" w:rsidRDefault="00903913" w:rsidP="007507EE">
      <w:pPr>
        <w:pStyle w:val="ListParagraph"/>
        <w:numPr>
          <w:ilvl w:val="1"/>
          <w:numId w:val="12"/>
        </w:numPr>
        <w:ind w:left="851" w:hanging="716"/>
      </w:pPr>
      <w:r w:rsidRPr="007F07AC">
        <w:t xml:space="preserve">Applicants are expected to </w:t>
      </w:r>
      <w:proofErr w:type="gramStart"/>
      <w:r w:rsidR="006D646E" w:rsidRPr="007F07AC">
        <w:t>take into account</w:t>
      </w:r>
      <w:proofErr w:type="gramEnd"/>
      <w:r w:rsidR="006D646E" w:rsidRPr="007F07AC">
        <w:t xml:space="preserve"> </w:t>
      </w:r>
      <w:r w:rsidRPr="007F07AC">
        <w:t xml:space="preserve">all relevant matters, such as environmental protection, defence, navigation, native title </w:t>
      </w:r>
      <w:r w:rsidR="00630A6A" w:rsidRPr="007F07AC">
        <w:t xml:space="preserve">rights and </w:t>
      </w:r>
      <w:r w:rsidRPr="007F07AC">
        <w:t xml:space="preserve">interests, fisheries and access restrictions applying in </w:t>
      </w:r>
      <w:r w:rsidR="005C0D19" w:rsidRPr="007F07AC">
        <w:t>the proposed permit area</w:t>
      </w:r>
      <w:r w:rsidRPr="007F07AC">
        <w:t>.</w:t>
      </w:r>
    </w:p>
    <w:p w14:paraId="0FB17FA8" w14:textId="19F733B4" w:rsidR="005A364F" w:rsidRDefault="00903913" w:rsidP="007507EE">
      <w:pPr>
        <w:pStyle w:val="ListParagraph"/>
        <w:numPr>
          <w:ilvl w:val="1"/>
          <w:numId w:val="12"/>
        </w:numPr>
        <w:ind w:left="851" w:hanging="716"/>
      </w:pPr>
      <w:r w:rsidRPr="00E62BC2">
        <w:lastRenderedPageBreak/>
        <w:t xml:space="preserve">Applicants are expected to have obtained and submitted any other approvals necessary to allow for the potential offer of an exploration permit. This includes approval by the </w:t>
      </w:r>
      <w:hyperlink r:id="rId28" w:history="1">
        <w:r w:rsidRPr="008F1AAB">
          <w:rPr>
            <w:rStyle w:val="Hyperlink"/>
          </w:rPr>
          <w:t>Foreign Investment Review Board</w:t>
        </w:r>
      </w:hyperlink>
      <w:r w:rsidRPr="00E62BC2">
        <w:t xml:space="preserve"> (FIRB).</w:t>
      </w:r>
    </w:p>
    <w:p w14:paraId="277B065B" w14:textId="325F3193" w:rsidR="005A364F" w:rsidRDefault="005A364F" w:rsidP="007507EE">
      <w:pPr>
        <w:pStyle w:val="ListParagraph"/>
        <w:numPr>
          <w:ilvl w:val="1"/>
          <w:numId w:val="12"/>
        </w:numPr>
        <w:ind w:left="851" w:hanging="716"/>
      </w:pPr>
      <w:r w:rsidRPr="00E62BC2">
        <w:t xml:space="preserve">Once an application is submitted, the composition and timing of the proposed work program </w:t>
      </w:r>
      <w:r w:rsidR="005C0D19">
        <w:t>cannot</w:t>
      </w:r>
      <w:r w:rsidRPr="00E62BC2">
        <w:t xml:space="preserve"> be amended through the submission of further information and other changes will not be accepted.</w:t>
      </w:r>
    </w:p>
    <w:p w14:paraId="35AF9EFC" w14:textId="15283D81" w:rsidR="00CE4EF2" w:rsidRPr="00F845AC" w:rsidRDefault="00CE4EF2" w:rsidP="00CE4EF2">
      <w:pPr>
        <w:pStyle w:val="Heading4"/>
        <w:rPr>
          <w:sz w:val="40"/>
          <w:szCs w:val="40"/>
        </w:rPr>
      </w:pPr>
      <w:bookmarkStart w:id="105" w:name="_Toc81487627"/>
      <w:bookmarkStart w:id="106" w:name="_Toc83042909"/>
      <w:bookmarkStart w:id="107" w:name="_Toc83395022"/>
      <w:bookmarkStart w:id="108" w:name="_Toc90044306"/>
      <w:r w:rsidRPr="3300D824">
        <w:rPr>
          <w:sz w:val="40"/>
          <w:szCs w:val="40"/>
        </w:rPr>
        <w:t xml:space="preserve">Technical and financial capacity and </w:t>
      </w:r>
      <w:r w:rsidR="008A7F88" w:rsidRPr="3300D824">
        <w:rPr>
          <w:sz w:val="40"/>
          <w:szCs w:val="40"/>
        </w:rPr>
        <w:t xml:space="preserve">applicant </w:t>
      </w:r>
      <w:r w:rsidR="0038580E" w:rsidRPr="3300D824">
        <w:rPr>
          <w:sz w:val="40"/>
          <w:szCs w:val="40"/>
        </w:rPr>
        <w:t xml:space="preserve">suitability </w:t>
      </w:r>
      <w:r w:rsidRPr="3300D824">
        <w:rPr>
          <w:sz w:val="40"/>
          <w:szCs w:val="40"/>
        </w:rPr>
        <w:t>matters</w:t>
      </w:r>
    </w:p>
    <w:p w14:paraId="2FCBC4D8" w14:textId="06269CCE" w:rsidR="00CE4EF2" w:rsidRPr="00E62BC2" w:rsidRDefault="00DA5358" w:rsidP="007507EE">
      <w:pPr>
        <w:pStyle w:val="ListParagraph"/>
        <w:numPr>
          <w:ilvl w:val="1"/>
          <w:numId w:val="12"/>
        </w:numPr>
        <w:ind w:left="851" w:hanging="716"/>
      </w:pPr>
      <w:r>
        <w:t>In deciding</w:t>
      </w:r>
      <w:r w:rsidR="00CE4EF2" w:rsidRPr="00E62BC2">
        <w:t xml:space="preserve"> to offer </w:t>
      </w:r>
      <w:r>
        <w:t xml:space="preserve">the grant of </w:t>
      </w:r>
      <w:r w:rsidR="00CE4EF2" w:rsidRPr="00E62BC2">
        <w:t xml:space="preserve">a petroleum exploration permit, </w:t>
      </w:r>
      <w:r w:rsidR="00CE4EF2">
        <w:t xml:space="preserve">the Joint Authority </w:t>
      </w:r>
      <w:r w:rsidR="00CE4EF2" w:rsidRPr="00E62BC2">
        <w:t>must have regard to</w:t>
      </w:r>
      <w:r w:rsidR="00CE4EF2">
        <w:t>:</w:t>
      </w:r>
    </w:p>
    <w:p w14:paraId="374B71DA" w14:textId="77777777" w:rsidR="00CE4EF2" w:rsidRPr="001878A9" w:rsidRDefault="00CE4EF2" w:rsidP="007507EE">
      <w:pPr>
        <w:pStyle w:val="ListParagraph"/>
        <w:numPr>
          <w:ilvl w:val="2"/>
          <w:numId w:val="12"/>
        </w:numPr>
        <w:ind w:left="1418" w:hanging="425"/>
      </w:pPr>
      <w:r w:rsidRPr="001878A9">
        <w:t>whether the technical advice and financial resources available to the applicant are sufficient to:</w:t>
      </w:r>
    </w:p>
    <w:p w14:paraId="645B9ACD" w14:textId="77777777" w:rsidR="00CE4EF2" w:rsidRPr="001878A9" w:rsidRDefault="00CE4EF2" w:rsidP="00A50AA5">
      <w:pPr>
        <w:pStyle w:val="ListParagraph"/>
        <w:numPr>
          <w:ilvl w:val="3"/>
          <w:numId w:val="17"/>
        </w:numPr>
        <w:ind w:left="1727" w:hanging="310"/>
      </w:pPr>
      <w:r w:rsidRPr="001878A9">
        <w:t>carry out the operations and works that will be or are authorised by the permit; and</w:t>
      </w:r>
    </w:p>
    <w:p w14:paraId="294E85D0" w14:textId="5DF3EE94" w:rsidR="00CE4EF2" w:rsidRPr="001878A9" w:rsidRDefault="00CE4EF2" w:rsidP="00A50AA5">
      <w:pPr>
        <w:pStyle w:val="ListParagraph"/>
        <w:numPr>
          <w:ilvl w:val="3"/>
          <w:numId w:val="17"/>
        </w:numPr>
        <w:ind w:left="1727" w:hanging="310"/>
      </w:pPr>
      <w:r w:rsidRPr="001878A9">
        <w:t>discharge the obligations that will be imposed under the OPGGS Act, or a legislative instrument under the OPGGS Act, in relation to the permit</w:t>
      </w:r>
      <w:r w:rsidR="00B12C9F">
        <w:t>.</w:t>
      </w:r>
    </w:p>
    <w:p w14:paraId="34FBE371" w14:textId="721490B5" w:rsidR="005C0D19" w:rsidRPr="007F07AC" w:rsidRDefault="00CE4EF2" w:rsidP="007507EE">
      <w:pPr>
        <w:pStyle w:val="ListParagraph"/>
        <w:numPr>
          <w:ilvl w:val="2"/>
          <w:numId w:val="12"/>
        </w:numPr>
        <w:ind w:left="1418" w:hanging="425"/>
      </w:pPr>
      <w:r w:rsidRPr="001878A9">
        <w:t>the applicant’s suitability to hold an exploration permit</w:t>
      </w:r>
      <w:r w:rsidR="00F731E8">
        <w:t>—</w:t>
      </w:r>
      <w:r w:rsidR="005E6577">
        <w:t xml:space="preserve">that is, the matters specified in </w:t>
      </w:r>
      <w:r w:rsidR="005E6577" w:rsidRPr="007F07AC">
        <w:t>s</w:t>
      </w:r>
      <w:r w:rsidR="00B20D35" w:rsidRPr="007F07AC">
        <w:t xml:space="preserve">ection </w:t>
      </w:r>
      <w:r w:rsidR="005E6577" w:rsidRPr="007F07AC">
        <w:t>695YB as they apply to the applicant</w:t>
      </w:r>
      <w:r w:rsidR="00B12C9F">
        <w:t>.</w:t>
      </w:r>
    </w:p>
    <w:p w14:paraId="2159C580" w14:textId="4B88F4CC" w:rsidR="00CE4EF2" w:rsidRPr="007F07AC" w:rsidRDefault="00004503" w:rsidP="007507EE">
      <w:pPr>
        <w:pStyle w:val="ListParagraph"/>
        <w:numPr>
          <w:ilvl w:val="2"/>
          <w:numId w:val="12"/>
        </w:numPr>
        <w:ind w:left="1418" w:hanging="425"/>
      </w:pPr>
      <w:r w:rsidRPr="007F07AC">
        <w:t>a</w:t>
      </w:r>
      <w:r w:rsidR="00CE4EF2" w:rsidRPr="007F07AC">
        <w:t>ny other matters prescribed by the regulations.</w:t>
      </w:r>
    </w:p>
    <w:p w14:paraId="24AA25E6" w14:textId="617F36DF" w:rsidR="000A373A" w:rsidRPr="007F07AC" w:rsidRDefault="000A373A" w:rsidP="007507EE">
      <w:pPr>
        <w:numPr>
          <w:ilvl w:val="1"/>
          <w:numId w:val="12"/>
        </w:numPr>
        <w:spacing w:before="0"/>
        <w:ind w:left="851" w:hanging="716"/>
      </w:pPr>
      <w:r w:rsidRPr="007F07AC">
        <w:t xml:space="preserve">The Joint Authority may also </w:t>
      </w:r>
      <w:proofErr w:type="gramStart"/>
      <w:r w:rsidRPr="007F07AC">
        <w:t>take into account</w:t>
      </w:r>
      <w:proofErr w:type="gramEnd"/>
      <w:r w:rsidRPr="007F07AC">
        <w:t xml:space="preserve"> any other matters that it considers relevant. This will include the past performance of the applicant (see section below)</w:t>
      </w:r>
      <w:r w:rsidRPr="007F07AC" w:rsidDel="00BB1911">
        <w:t xml:space="preserve"> and</w:t>
      </w:r>
      <w:r w:rsidRPr="007F07AC">
        <w:t xml:space="preserve"> the</w:t>
      </w:r>
      <w:r w:rsidRPr="007F07AC" w:rsidDel="00995129">
        <w:t xml:space="preserve"> </w:t>
      </w:r>
      <w:r w:rsidRPr="007F07AC">
        <w:t xml:space="preserve">project management experience and corporate governance arrangements. </w:t>
      </w:r>
    </w:p>
    <w:p w14:paraId="2E7CA82C" w14:textId="7F7084BE" w:rsidR="000A373A" w:rsidRPr="007F07AC" w:rsidRDefault="000A373A" w:rsidP="007507EE">
      <w:pPr>
        <w:numPr>
          <w:ilvl w:val="1"/>
          <w:numId w:val="12"/>
        </w:numPr>
        <w:spacing w:before="0"/>
        <w:ind w:left="851" w:hanging="716"/>
      </w:pPr>
      <w:r w:rsidRPr="007F07AC">
        <w:t>Each applicant is required to provide relevant information to demonstrate it has sufficient technical advice and financial resources available to carry out the operations and works authorised by the permit, and discharge the obligations imposed under the OPGGS Act</w:t>
      </w:r>
      <w:r w:rsidR="00597513" w:rsidRPr="007F07AC">
        <w:t xml:space="preserve"> and regulations made under that Act</w:t>
      </w:r>
      <w:r w:rsidRPr="007F07AC">
        <w:t>.</w:t>
      </w:r>
    </w:p>
    <w:p w14:paraId="2A946D33" w14:textId="6868EDDD" w:rsidR="000A373A" w:rsidRPr="007F07AC" w:rsidRDefault="000A373A" w:rsidP="007507EE">
      <w:pPr>
        <w:numPr>
          <w:ilvl w:val="1"/>
          <w:numId w:val="12"/>
        </w:numPr>
        <w:spacing w:before="0"/>
        <w:ind w:left="851" w:hanging="716"/>
      </w:pPr>
      <w:r w:rsidRPr="007F07AC">
        <w:t>Each applicant is also required to complete the relevant declaration of</w:t>
      </w:r>
      <w:r w:rsidR="00862F41" w:rsidRPr="007F07AC">
        <w:t xml:space="preserve"> experience and disclosures</w:t>
      </w:r>
      <w:r w:rsidRPr="007F07AC">
        <w:t xml:space="preserve"> (Form 8 and 9) relating to past conduct and suitability of the applicant and its key officers. If a Form 8 or 9 has previously been made, the previous Form 8 or 9 can be referenced.</w:t>
      </w:r>
    </w:p>
    <w:p w14:paraId="1B2DF726" w14:textId="6C0CC685" w:rsidR="000A373A" w:rsidRPr="00E62BC2" w:rsidRDefault="000A373A" w:rsidP="000A373A">
      <w:pPr>
        <w:pStyle w:val="Calloutbox"/>
      </w:pPr>
      <w:r w:rsidRPr="004A61EB">
        <w:t xml:space="preserve">Refer to the </w:t>
      </w:r>
      <w:hyperlink r:id="rId29" w:history="1">
        <w:r w:rsidR="0051544B" w:rsidRPr="0051544B">
          <w:rPr>
            <w:rStyle w:val="Hyperlink"/>
          </w:rPr>
          <w:t>Factsheet: Declarations of experience and disclosures</w:t>
        </w:r>
      </w:hyperlink>
      <w:r>
        <w:t xml:space="preserve">, </w:t>
      </w:r>
      <w:hyperlink r:id="rId30" w:history="1">
        <w:r w:rsidR="00AF1FCE" w:rsidRPr="00741FF4">
          <w:rPr>
            <w:rStyle w:val="Hyperlink"/>
          </w:rPr>
          <w:t>Factsheet: Financial resources</w:t>
        </w:r>
      </w:hyperlink>
      <w:r w:rsidR="0086415A">
        <w:t>,</w:t>
      </w:r>
      <w:r w:rsidRPr="004A61EB">
        <w:t xml:space="preserve"> the </w:t>
      </w:r>
      <w:hyperlink r:id="rId31" w:history="1">
        <w:r w:rsidRPr="009E5820">
          <w:rPr>
            <w:rStyle w:val="Hyperlink"/>
          </w:rPr>
          <w:t>Guideline: Applicant suitability</w:t>
        </w:r>
      </w:hyperlink>
      <w:r w:rsidRPr="004A61EB">
        <w:t xml:space="preserve"> and section</w:t>
      </w:r>
      <w:r>
        <w:t xml:space="preserve"> </w:t>
      </w:r>
      <w:r w:rsidR="009E5820">
        <w:fldChar w:fldCharType="begin"/>
      </w:r>
      <w:r w:rsidR="009E5820">
        <w:instrText xml:space="preserve"> REF _Ref183680865 \r \h </w:instrText>
      </w:r>
      <w:r w:rsidR="009E5820">
        <w:fldChar w:fldCharType="separate"/>
      </w:r>
      <w:r w:rsidR="00D95F2F">
        <w:t>1</w:t>
      </w:r>
      <w:r w:rsidR="009E5820">
        <w:fldChar w:fldCharType="end"/>
      </w:r>
      <w:r w:rsidRPr="004A61EB">
        <w:t xml:space="preserve"> </w:t>
      </w:r>
      <w:r>
        <w:t xml:space="preserve">of this guideline </w:t>
      </w:r>
      <w:r w:rsidRPr="004A61EB">
        <w:t>for further details on application submissions requirements, assessments and decision making against these criteria.</w:t>
      </w:r>
    </w:p>
    <w:p w14:paraId="3F216EB2" w14:textId="77777777" w:rsidR="00BD07BC" w:rsidRPr="00051FF5" w:rsidRDefault="00BD07BC" w:rsidP="00BD07BC">
      <w:pPr>
        <w:pStyle w:val="Heading3"/>
      </w:pPr>
      <w:bookmarkStart w:id="109" w:name="_Past_performance"/>
      <w:bookmarkStart w:id="110" w:name="_Ref175903350"/>
      <w:bookmarkStart w:id="111" w:name="_Toc183622559"/>
      <w:bookmarkStart w:id="112" w:name="_Toc193955355"/>
      <w:bookmarkEnd w:id="109"/>
      <w:r w:rsidRPr="00051FF5">
        <w:t>Past performance</w:t>
      </w:r>
      <w:bookmarkEnd w:id="110"/>
      <w:bookmarkEnd w:id="111"/>
      <w:bookmarkEnd w:id="112"/>
    </w:p>
    <w:p w14:paraId="1F7829A3" w14:textId="4B08CC18" w:rsidR="00AD44BF" w:rsidRPr="007F07AC" w:rsidRDefault="00BD07BC" w:rsidP="00AD44BF">
      <w:pPr>
        <w:numPr>
          <w:ilvl w:val="1"/>
          <w:numId w:val="12"/>
        </w:numPr>
        <w:spacing w:before="0"/>
        <w:ind w:left="851" w:hanging="716"/>
      </w:pPr>
      <w:bookmarkStart w:id="113" w:name="_Ref183620863"/>
      <w:r w:rsidRPr="001F524B">
        <w:t xml:space="preserve">Past performance of the applicant, parent company or subsidiary company, where </w:t>
      </w:r>
      <w:r w:rsidRPr="007F07AC">
        <w:t xml:space="preserve">applicable, and its directors is a factor the Joint Authority </w:t>
      </w:r>
      <w:r w:rsidR="002223A1" w:rsidRPr="007F07AC">
        <w:t>may</w:t>
      </w:r>
      <w:r w:rsidRPr="007F07AC">
        <w:t xml:space="preserve"> consider during the decision-making process.</w:t>
      </w:r>
      <w:bookmarkEnd w:id="113"/>
    </w:p>
    <w:p w14:paraId="77D6E418" w14:textId="77777777" w:rsidR="00DE3F64" w:rsidRPr="007F07AC" w:rsidRDefault="00BD07BC" w:rsidP="007507EE">
      <w:pPr>
        <w:numPr>
          <w:ilvl w:val="1"/>
          <w:numId w:val="12"/>
        </w:numPr>
        <w:spacing w:before="0"/>
        <w:ind w:left="851" w:hanging="716"/>
      </w:pPr>
      <w:r w:rsidRPr="007F07AC">
        <w:t>Past performance refers to</w:t>
      </w:r>
      <w:r w:rsidR="00DE3F64" w:rsidRPr="007F07AC">
        <w:t>:</w:t>
      </w:r>
    </w:p>
    <w:p w14:paraId="5DDB3ABA" w14:textId="444D4B55" w:rsidR="003302A4" w:rsidRPr="007F07AC" w:rsidRDefault="003F5FDF" w:rsidP="002223A1">
      <w:pPr>
        <w:pStyle w:val="ListParagraph"/>
        <w:numPr>
          <w:ilvl w:val="2"/>
          <w:numId w:val="12"/>
        </w:numPr>
        <w:ind w:left="1418" w:hanging="425"/>
      </w:pPr>
      <w:r w:rsidRPr="007F07AC">
        <w:t xml:space="preserve">Matters outlined in section </w:t>
      </w:r>
      <w:r w:rsidR="003302A4" w:rsidRPr="007F07AC">
        <w:t>695YB of the OPGGS</w:t>
      </w:r>
      <w:r w:rsidR="008041B9" w:rsidRPr="007F07AC">
        <w:t xml:space="preserve"> </w:t>
      </w:r>
      <w:r w:rsidR="003302A4" w:rsidRPr="007F07AC">
        <w:t>A</w:t>
      </w:r>
      <w:r w:rsidR="008041B9" w:rsidRPr="007F07AC">
        <w:t>ct</w:t>
      </w:r>
      <w:r w:rsidR="001F524B" w:rsidRPr="007F07AC">
        <w:t xml:space="preserve"> as applicable to the applicant</w:t>
      </w:r>
      <w:r w:rsidR="00D74571" w:rsidRPr="007F07AC">
        <w:t>.</w:t>
      </w:r>
    </w:p>
    <w:p w14:paraId="40BFC14A" w14:textId="4014A49B" w:rsidR="003302A4" w:rsidRPr="007F07AC" w:rsidRDefault="00DE3F64" w:rsidP="002223A1">
      <w:pPr>
        <w:pStyle w:val="ListParagraph"/>
        <w:numPr>
          <w:ilvl w:val="2"/>
          <w:numId w:val="12"/>
        </w:numPr>
        <w:ind w:left="1418" w:hanging="425"/>
      </w:pPr>
      <w:r w:rsidRPr="007F07AC">
        <w:t>Any health, safety and/or environmental past performance records in Australia or internationally.</w:t>
      </w:r>
    </w:p>
    <w:p w14:paraId="64A51A01" w14:textId="790A302C" w:rsidR="00261843" w:rsidRPr="007F07AC" w:rsidRDefault="00BD07BC" w:rsidP="008E2837">
      <w:pPr>
        <w:numPr>
          <w:ilvl w:val="1"/>
          <w:numId w:val="12"/>
        </w:numPr>
        <w:spacing w:before="0"/>
        <w:ind w:left="851" w:hanging="716"/>
      </w:pPr>
      <w:r w:rsidRPr="001F524B">
        <w:lastRenderedPageBreak/>
        <w:t xml:space="preserve">The Joint Authority may not offer </w:t>
      </w:r>
      <w:r w:rsidR="009350F5">
        <w:t xml:space="preserve">to grant </w:t>
      </w:r>
      <w:r w:rsidRPr="001F524B">
        <w:t xml:space="preserve">an exploration permit to an applicant if the applicant’s </w:t>
      </w:r>
      <w:r w:rsidRPr="007F07AC">
        <w:t>past performance indicates a history of non-compliance with permit conditions or if the applicant does not demonstrate a proven ability to significantly advance the assessment and understanding of the petroleum potential of permit areas.</w:t>
      </w:r>
    </w:p>
    <w:p w14:paraId="461A3062" w14:textId="4049B54A" w:rsidR="00CE4EF2" w:rsidRDefault="003D0C42" w:rsidP="001F524B">
      <w:pPr>
        <w:pStyle w:val="Calloutbox"/>
      </w:pPr>
      <w:r w:rsidRPr="007F07AC">
        <w:t>When considering past cancellations, the Joint Authority may have regard to the circumstances that led to the cancellation of the permit.</w:t>
      </w:r>
      <w:r w:rsidR="00ED5446">
        <w:t xml:space="preserve"> </w:t>
      </w:r>
      <w:r w:rsidR="002E1D8F">
        <w:br/>
      </w:r>
      <w:r w:rsidR="002E1D8F">
        <w:br/>
      </w:r>
      <w:r w:rsidR="00CE4EF2" w:rsidRPr="004A61EB">
        <w:t xml:space="preserve">Refer to the </w:t>
      </w:r>
      <w:hyperlink r:id="rId32" w:history="1">
        <w:r w:rsidR="00CE4EF2" w:rsidRPr="009E5820">
          <w:rPr>
            <w:rStyle w:val="Hyperlink"/>
          </w:rPr>
          <w:t>Factsheet: Declarations of experience and disclosures</w:t>
        </w:r>
      </w:hyperlink>
      <w:r w:rsidR="00CE4EF2" w:rsidRPr="004A61EB">
        <w:t xml:space="preserve"> and the </w:t>
      </w:r>
      <w:hyperlink r:id="rId33" w:history="1">
        <w:r w:rsidR="00CE4EF2" w:rsidRPr="009E5820">
          <w:rPr>
            <w:rStyle w:val="Hyperlink"/>
          </w:rPr>
          <w:t>Guideline: Applicant suitability</w:t>
        </w:r>
      </w:hyperlink>
      <w:r w:rsidR="00CE4EF2" w:rsidRPr="004A61EB">
        <w:t xml:space="preserve"> and section</w:t>
      </w:r>
      <w:r w:rsidR="00E77E70">
        <w:t xml:space="preserve"> </w:t>
      </w:r>
      <w:r w:rsidR="00F36ABF">
        <w:fldChar w:fldCharType="begin"/>
      </w:r>
      <w:r w:rsidR="00F36ABF">
        <w:instrText xml:space="preserve"> REF _Ref189216300 \r \h </w:instrText>
      </w:r>
      <w:r w:rsidR="00F36ABF">
        <w:fldChar w:fldCharType="separate"/>
      </w:r>
      <w:r w:rsidR="00D95F2F">
        <w:t>1</w:t>
      </w:r>
      <w:r w:rsidR="00F36ABF">
        <w:fldChar w:fldCharType="end"/>
      </w:r>
      <w:r w:rsidR="00CE4EF2" w:rsidRPr="004A61EB">
        <w:t xml:space="preserve"> for further details on application submissions requirements, assessments and decision making against these criteria.</w:t>
      </w:r>
    </w:p>
    <w:p w14:paraId="5DB2B72A" w14:textId="7BE67D3E" w:rsidR="00AE0E89" w:rsidRPr="007F07AC" w:rsidRDefault="00AE0E89" w:rsidP="00AE0E89">
      <w:pPr>
        <w:pStyle w:val="Calloutbox"/>
      </w:pPr>
      <w:r w:rsidRPr="007F07AC">
        <w:t xml:space="preserve">Following </w:t>
      </w:r>
      <w:r w:rsidR="00560EE8" w:rsidRPr="007F07AC">
        <w:t xml:space="preserve">the </w:t>
      </w:r>
      <w:r w:rsidRPr="007F07AC">
        <w:t xml:space="preserve">Good Standing Policy being abolished, from </w:t>
      </w:r>
      <w:r w:rsidR="00EA5040">
        <w:t>9</w:t>
      </w:r>
      <w:r w:rsidR="00EC283D" w:rsidRPr="007F07AC">
        <w:t xml:space="preserve"> December 2025,</w:t>
      </w:r>
      <w:r w:rsidRPr="007F07AC">
        <w:t xml:space="preserve"> there will be a transition period. During this period, if an applicant has an existing Good Standing Agreement, the Joint Authority will note this</w:t>
      </w:r>
      <w:r w:rsidR="00560CAC" w:rsidRPr="007F07AC">
        <w:t xml:space="preserve"> </w:t>
      </w:r>
      <w:r w:rsidRPr="007F07AC">
        <w:t>in relation to the cancellation or expiry in default that led to the Good Standing Agreement, during the decision-making process.</w:t>
      </w:r>
    </w:p>
    <w:p w14:paraId="75BF0CB2" w14:textId="77777777" w:rsidR="00903913" w:rsidRPr="005A7513" w:rsidRDefault="00903913" w:rsidP="00DC18F9">
      <w:pPr>
        <w:pStyle w:val="Heading4"/>
      </w:pPr>
      <w:r w:rsidRPr="005A7513">
        <w:t>Technical evaluation</w:t>
      </w:r>
      <w:bookmarkEnd w:id="105"/>
      <w:bookmarkEnd w:id="106"/>
      <w:bookmarkEnd w:id="107"/>
      <w:bookmarkEnd w:id="108"/>
    </w:p>
    <w:p w14:paraId="3D56F47D" w14:textId="348B4978" w:rsidR="00903913" w:rsidRPr="00E62BC2" w:rsidRDefault="00903913" w:rsidP="007507EE">
      <w:pPr>
        <w:numPr>
          <w:ilvl w:val="1"/>
          <w:numId w:val="12"/>
        </w:numPr>
        <w:spacing w:before="0"/>
        <w:ind w:left="851" w:hanging="716"/>
      </w:pPr>
      <w:r w:rsidRPr="00E62BC2">
        <w:t xml:space="preserve">The technical evaluation should summarise the applicant’s understanding of the geology and petroleum potential of the release area. It should include the concepts underlying the proposed work program, with sufficient detail to support that program. A sound technical evaluation should include an assessment of relevant data and </w:t>
      </w:r>
      <w:r w:rsidR="00C36E43">
        <w:t>cl</w:t>
      </w:r>
      <w:r w:rsidR="004E4CCB">
        <w:t xml:space="preserve">early </w:t>
      </w:r>
      <w:r w:rsidRPr="00E62BC2">
        <w:t xml:space="preserve">support the </w:t>
      </w:r>
      <w:r w:rsidR="003638BA">
        <w:t>type and scope</w:t>
      </w:r>
      <w:r w:rsidRPr="00E62BC2">
        <w:t xml:space="preserve"> of surveying and the number and conceptual targets of wells to be drilled, if applicable.</w:t>
      </w:r>
    </w:p>
    <w:p w14:paraId="4BEE2192" w14:textId="77777777" w:rsidR="00903913" w:rsidRPr="00E62BC2" w:rsidRDefault="00903913" w:rsidP="007507EE">
      <w:pPr>
        <w:numPr>
          <w:ilvl w:val="1"/>
          <w:numId w:val="12"/>
        </w:numPr>
        <w:spacing w:before="0"/>
        <w:ind w:left="851" w:hanging="716"/>
      </w:pPr>
      <w:r w:rsidRPr="00E62BC2">
        <w:t>The technical evaluation should include, but is not limited to, a description of:</w:t>
      </w:r>
    </w:p>
    <w:p w14:paraId="098AC6CB" w14:textId="77777777" w:rsidR="00903913" w:rsidRPr="00E62BC2" w:rsidRDefault="00903913" w:rsidP="007507EE">
      <w:pPr>
        <w:pStyle w:val="ListParagraph"/>
        <w:numPr>
          <w:ilvl w:val="2"/>
          <w:numId w:val="12"/>
        </w:numPr>
        <w:ind w:left="1418" w:hanging="425"/>
      </w:pPr>
      <w:r w:rsidRPr="00E62BC2">
        <w:t>The applicant’s assessment of the release area, including potential petroleum systems, and plays within the release area.</w:t>
      </w:r>
    </w:p>
    <w:p w14:paraId="2BF90AAD" w14:textId="77777777" w:rsidR="00903913" w:rsidRPr="00E62BC2" w:rsidRDefault="00903913" w:rsidP="007507EE">
      <w:pPr>
        <w:pStyle w:val="ListParagraph"/>
        <w:numPr>
          <w:ilvl w:val="2"/>
          <w:numId w:val="12"/>
        </w:numPr>
        <w:ind w:left="1418" w:hanging="425"/>
      </w:pPr>
      <w:r w:rsidRPr="00E62BC2">
        <w:t>Any prospects and leads mapped within the release area, including supporting material such as images, interpreted seismic sections and horizon maps.</w:t>
      </w:r>
    </w:p>
    <w:p w14:paraId="0C1B59C8" w14:textId="77777777" w:rsidR="00903913" w:rsidRPr="007F07AC" w:rsidRDefault="00903913" w:rsidP="007507EE">
      <w:pPr>
        <w:pStyle w:val="ListParagraph"/>
        <w:numPr>
          <w:ilvl w:val="2"/>
          <w:numId w:val="12"/>
        </w:numPr>
        <w:ind w:left="1418" w:hanging="425"/>
      </w:pPr>
      <w:r w:rsidRPr="007F07AC">
        <w:t>The data and/or studies the technical evaluation is based on.</w:t>
      </w:r>
    </w:p>
    <w:p w14:paraId="104FF359" w14:textId="77777777" w:rsidR="00903913" w:rsidRPr="007F07AC" w:rsidRDefault="00903913" w:rsidP="007507EE">
      <w:pPr>
        <w:pStyle w:val="ListParagraph"/>
        <w:numPr>
          <w:ilvl w:val="2"/>
          <w:numId w:val="12"/>
        </w:numPr>
        <w:ind w:left="1418" w:hanging="425"/>
      </w:pPr>
      <w:r w:rsidRPr="007F07AC">
        <w:t>Any geotechnical studies, seismic interpretation, mapping or any other work that has been undertaken as part of the technical evaluation.</w:t>
      </w:r>
    </w:p>
    <w:p w14:paraId="4647B8DB" w14:textId="62137F65" w:rsidR="00614E2F" w:rsidRPr="007F07AC" w:rsidRDefault="00EE189E" w:rsidP="007507EE">
      <w:pPr>
        <w:pStyle w:val="ListParagraph"/>
        <w:numPr>
          <w:ilvl w:val="2"/>
          <w:numId w:val="12"/>
        </w:numPr>
        <w:ind w:left="1418" w:hanging="425"/>
      </w:pPr>
      <w:r w:rsidRPr="007F07AC">
        <w:t>P</w:t>
      </w:r>
      <w:r w:rsidR="000F1B3F" w:rsidRPr="007F07AC">
        <w:t>otentially useful nearby infrastructure.</w:t>
      </w:r>
    </w:p>
    <w:p w14:paraId="753D6EAF" w14:textId="0AA0272D" w:rsidR="00903913" w:rsidRPr="0052404A" w:rsidRDefault="00903913" w:rsidP="007507EE">
      <w:pPr>
        <w:pStyle w:val="ListParagraph"/>
        <w:numPr>
          <w:ilvl w:val="2"/>
          <w:numId w:val="12"/>
        </w:numPr>
        <w:ind w:left="1418" w:hanging="425"/>
      </w:pPr>
      <w:r w:rsidRPr="0052404A">
        <w:t>How the applicant proposes to u</w:t>
      </w:r>
      <w:r w:rsidR="000A68D7">
        <w:t>se</w:t>
      </w:r>
      <w:r w:rsidRPr="0052404A">
        <w:t xml:space="preserve"> any existing data</w:t>
      </w:r>
      <w:r w:rsidR="00E3186C" w:rsidRPr="0052404A">
        <w:t xml:space="preserve"> or analytical techniques</w:t>
      </w:r>
      <w:r w:rsidRPr="0052404A">
        <w:t xml:space="preserve"> over the release area, including how th</w:t>
      </w:r>
      <w:r w:rsidR="00AD428F" w:rsidRPr="0052404A">
        <w:t>ese</w:t>
      </w:r>
      <w:r w:rsidRPr="0052404A">
        <w:t xml:space="preserve"> data</w:t>
      </w:r>
      <w:r w:rsidR="00AD428F" w:rsidRPr="0052404A">
        <w:t xml:space="preserve"> and techniques</w:t>
      </w:r>
      <w:r w:rsidRPr="0052404A">
        <w:t xml:space="preserve"> </w:t>
      </w:r>
      <w:r w:rsidR="000A68D7">
        <w:t>are</w:t>
      </w:r>
      <w:r w:rsidR="003E0644">
        <w:t xml:space="preserve"> </w:t>
      </w:r>
      <w:r w:rsidRPr="0052404A">
        <w:t xml:space="preserve">to be </w:t>
      </w:r>
      <w:r w:rsidR="000A68D7">
        <w:t>employed</w:t>
      </w:r>
      <w:r w:rsidRPr="0052404A">
        <w:t xml:space="preserve"> in the proposed work program</w:t>
      </w:r>
      <w:r w:rsidR="00614E2F" w:rsidRPr="0052404A">
        <w:t>.</w:t>
      </w:r>
    </w:p>
    <w:p w14:paraId="50CC2BF4" w14:textId="77777777" w:rsidR="00903913" w:rsidRPr="00140DBA" w:rsidRDefault="00903913" w:rsidP="00DC18F9">
      <w:pPr>
        <w:pStyle w:val="Heading4"/>
      </w:pPr>
      <w:bookmarkStart w:id="114" w:name="_Toc81487628"/>
      <w:bookmarkStart w:id="115" w:name="_Toc83042910"/>
      <w:bookmarkStart w:id="116" w:name="_Toc83395023"/>
      <w:bookmarkStart w:id="117" w:name="_Toc90044307"/>
      <w:r w:rsidRPr="00140DBA">
        <w:t>Exploration strategy</w:t>
      </w:r>
      <w:bookmarkEnd w:id="114"/>
      <w:bookmarkEnd w:id="115"/>
      <w:bookmarkEnd w:id="116"/>
      <w:bookmarkEnd w:id="117"/>
    </w:p>
    <w:p w14:paraId="43BF1D8F" w14:textId="0AFCDC80" w:rsidR="00903913" w:rsidRPr="00140DBA" w:rsidRDefault="00903913" w:rsidP="007507EE">
      <w:pPr>
        <w:numPr>
          <w:ilvl w:val="1"/>
          <w:numId w:val="12"/>
        </w:numPr>
        <w:spacing w:before="0"/>
        <w:ind w:left="851" w:hanging="716"/>
      </w:pPr>
      <w:r w:rsidRPr="00140DBA">
        <w:t>The exploration strategy should link the technical evaluation with the proposed work program</w:t>
      </w:r>
      <w:r w:rsidR="00CB3362" w:rsidRPr="00140DBA">
        <w:t xml:space="preserve"> and should outlin</w:t>
      </w:r>
      <w:r w:rsidR="00962638" w:rsidRPr="00140DBA">
        <w:t>e how the applicant proposes to u</w:t>
      </w:r>
      <w:r w:rsidR="00582F97" w:rsidRPr="00140DBA">
        <w:t>se</w:t>
      </w:r>
      <w:r w:rsidR="00962638" w:rsidRPr="00140DBA">
        <w:t xml:space="preserve"> </w:t>
      </w:r>
      <w:r w:rsidR="00B32446" w:rsidRPr="00140DBA">
        <w:t>a</w:t>
      </w:r>
      <w:r w:rsidR="00827FA6" w:rsidRPr="00140DBA">
        <w:t xml:space="preserve">ny existing </w:t>
      </w:r>
      <w:r w:rsidR="00F55AB7" w:rsidRPr="00140DBA">
        <w:t>data over the release area</w:t>
      </w:r>
      <w:r w:rsidRPr="00140DBA">
        <w:t>.</w:t>
      </w:r>
    </w:p>
    <w:p w14:paraId="15DDE2B3" w14:textId="5BF9F6F7" w:rsidR="00903913" w:rsidRPr="0052404A" w:rsidRDefault="00903913" w:rsidP="007507EE">
      <w:pPr>
        <w:numPr>
          <w:ilvl w:val="1"/>
          <w:numId w:val="12"/>
        </w:numPr>
        <w:spacing w:before="0"/>
        <w:ind w:left="851" w:hanging="716"/>
      </w:pPr>
      <w:r w:rsidRPr="00140DBA">
        <w:t xml:space="preserve">Applicants should propose an exploration strategy that has the potential to significantly advance the assessment and understanding of the petroleum potential of the release area. The </w:t>
      </w:r>
      <w:r w:rsidRPr="0052404A">
        <w:t xml:space="preserve">exploration strategy should </w:t>
      </w:r>
      <w:r w:rsidR="00075F82" w:rsidRPr="0052404A">
        <w:t>be consistent with</w:t>
      </w:r>
      <w:r w:rsidRPr="0052404A">
        <w:t xml:space="preserve"> the applicant’s technical evaluation of the release area and the proposed work program for the six-year permit term.</w:t>
      </w:r>
    </w:p>
    <w:p w14:paraId="7C4EA824" w14:textId="20E38C19" w:rsidR="00903913" w:rsidRPr="0052404A" w:rsidRDefault="00903913" w:rsidP="007507EE">
      <w:pPr>
        <w:numPr>
          <w:ilvl w:val="1"/>
          <w:numId w:val="12"/>
        </w:numPr>
        <w:spacing w:before="0"/>
        <w:ind w:left="851" w:hanging="716"/>
      </w:pPr>
      <w:r w:rsidRPr="0052404A">
        <w:t xml:space="preserve">The exploration strategy should explain how the release area will be explored over the permit term, including how the different work program </w:t>
      </w:r>
      <w:r w:rsidRPr="00E41D24">
        <w:t>elements will investigate the plays, prospects and leads identified in the technical evaluation of the area</w:t>
      </w:r>
      <w:r w:rsidR="003F4C12" w:rsidRPr="00E41D24">
        <w:t xml:space="preserve"> to support </w:t>
      </w:r>
      <w:r w:rsidR="00B707C6" w:rsidRPr="00E41D24">
        <w:t>the</w:t>
      </w:r>
      <w:r w:rsidR="003F4C12" w:rsidRPr="00E41D24">
        <w:t xml:space="preserve"> development</w:t>
      </w:r>
      <w:r w:rsidR="00B707C6" w:rsidRPr="00E41D24">
        <w:t xml:space="preserve"> </w:t>
      </w:r>
      <w:r w:rsidR="00D82D8C" w:rsidRPr="00E41D24">
        <w:t>of any disc</w:t>
      </w:r>
      <w:r w:rsidR="006B1BA8" w:rsidRPr="00E41D24">
        <w:t>overies</w:t>
      </w:r>
      <w:r w:rsidR="00AE7D56" w:rsidRPr="00E41D24">
        <w:t xml:space="preserve">, </w:t>
      </w:r>
      <w:r w:rsidR="006B1BA8" w:rsidRPr="00E41D24">
        <w:t xml:space="preserve">using existing </w:t>
      </w:r>
      <w:r w:rsidR="00CE3E09" w:rsidRPr="00E41D24">
        <w:t>infrastructure</w:t>
      </w:r>
      <w:r w:rsidR="00CE2D07" w:rsidRPr="00E41D24">
        <w:t xml:space="preserve"> where possible</w:t>
      </w:r>
      <w:r w:rsidR="003F4C12" w:rsidRPr="00E41D24">
        <w:t>.</w:t>
      </w:r>
    </w:p>
    <w:p w14:paraId="70957957" w14:textId="77777777" w:rsidR="00903913" w:rsidRPr="00632701" w:rsidRDefault="00903913" w:rsidP="00DC18F9">
      <w:pPr>
        <w:pStyle w:val="Heading4"/>
      </w:pPr>
      <w:bookmarkStart w:id="118" w:name="_Toc81487629"/>
      <w:bookmarkStart w:id="119" w:name="_Toc83042911"/>
      <w:bookmarkStart w:id="120" w:name="_Toc83395024"/>
      <w:bookmarkStart w:id="121" w:name="_Toc90044308"/>
      <w:r w:rsidRPr="00140DBA">
        <w:lastRenderedPageBreak/>
        <w:t>Work program</w:t>
      </w:r>
      <w:bookmarkEnd w:id="118"/>
      <w:bookmarkEnd w:id="119"/>
      <w:bookmarkEnd w:id="120"/>
      <w:bookmarkEnd w:id="121"/>
    </w:p>
    <w:p w14:paraId="315D0002" w14:textId="77777777" w:rsidR="00903913" w:rsidRPr="00E62BC2" w:rsidRDefault="00903913" w:rsidP="007507EE">
      <w:pPr>
        <w:numPr>
          <w:ilvl w:val="1"/>
          <w:numId w:val="12"/>
        </w:numPr>
        <w:spacing w:before="0"/>
        <w:ind w:left="851" w:hanging="716"/>
      </w:pPr>
      <w:r w:rsidRPr="00E62BC2">
        <w:t>Proposed work program activities should be stated precisely to avoid ambiguity.</w:t>
      </w:r>
    </w:p>
    <w:p w14:paraId="57D61AE0" w14:textId="736D1D90" w:rsidR="00903913" w:rsidRPr="00E62BC2" w:rsidRDefault="00903913" w:rsidP="007507EE">
      <w:pPr>
        <w:numPr>
          <w:ilvl w:val="1"/>
          <w:numId w:val="12"/>
        </w:numPr>
        <w:spacing w:before="0"/>
        <w:ind w:left="851" w:hanging="716"/>
      </w:pPr>
      <w:r w:rsidRPr="00E62BC2">
        <w:t>Work programs are divided into a ‘primary’ and ‘secondary’ term.</w:t>
      </w:r>
    </w:p>
    <w:p w14:paraId="4BD1EE86" w14:textId="77777777" w:rsidR="00903913" w:rsidRPr="00E62BC2" w:rsidRDefault="00903913" w:rsidP="007507EE">
      <w:pPr>
        <w:numPr>
          <w:ilvl w:val="1"/>
          <w:numId w:val="12"/>
        </w:numPr>
        <w:spacing w:before="0"/>
        <w:ind w:left="851" w:hanging="716"/>
      </w:pPr>
      <w:r w:rsidRPr="00E62BC2">
        <w:t>The first three</w:t>
      </w:r>
      <w:r w:rsidR="007B0800" w:rsidRPr="00E62BC2">
        <w:t>-</w:t>
      </w:r>
      <w:r w:rsidRPr="00E62BC2">
        <w:t xml:space="preserve">years of a work program are referred to as the </w:t>
      </w:r>
      <w:r w:rsidRPr="0028017D">
        <w:t>primary term</w:t>
      </w:r>
      <w:r w:rsidRPr="00E62BC2">
        <w:t>. The first three years of the permit term are combined</w:t>
      </w:r>
      <w:r w:rsidR="00F30757">
        <w:t>,</w:t>
      </w:r>
      <w:r w:rsidRPr="00E62BC2">
        <w:t xml:space="preserve"> and the minimum work requirements must commence and be completed within that primary term. This requirement is specified in the conditions of an exploration permit.</w:t>
      </w:r>
    </w:p>
    <w:p w14:paraId="4FB85AC7" w14:textId="77777777" w:rsidR="00903913" w:rsidRPr="00E62BC2" w:rsidRDefault="00903913" w:rsidP="007507EE">
      <w:pPr>
        <w:numPr>
          <w:ilvl w:val="1"/>
          <w:numId w:val="12"/>
        </w:numPr>
        <w:spacing w:before="0"/>
        <w:ind w:left="851" w:hanging="716"/>
      </w:pPr>
      <w:r w:rsidRPr="00E62BC2">
        <w:t xml:space="preserve">Once awarded, the work program commitments for the </w:t>
      </w:r>
      <w:r w:rsidRPr="00B87C07">
        <w:t>primary term</w:t>
      </w:r>
      <w:r w:rsidRPr="00E62BC2">
        <w:t xml:space="preserve"> become guaranteed and cannot be reduced. Work activities that cannot be guaranteed should not be included in the primary term.</w:t>
      </w:r>
    </w:p>
    <w:p w14:paraId="6E7F64CC" w14:textId="77777777" w:rsidR="00903913" w:rsidRDefault="00903913" w:rsidP="007507EE">
      <w:pPr>
        <w:numPr>
          <w:ilvl w:val="1"/>
          <w:numId w:val="12"/>
        </w:numPr>
        <w:spacing w:before="0"/>
        <w:ind w:left="851" w:hanging="716"/>
      </w:pPr>
      <w:r w:rsidRPr="00E62BC2">
        <w:t xml:space="preserve">Permit </w:t>
      </w:r>
      <w:r w:rsidR="007B0800" w:rsidRPr="00E62BC2">
        <w:t>y</w:t>
      </w:r>
      <w:r w:rsidRPr="00E62BC2">
        <w:t xml:space="preserve">ears 4, 5, and 6 are referred to as the </w:t>
      </w:r>
      <w:r w:rsidRPr="00B87C07">
        <w:t>secondary term</w:t>
      </w:r>
      <w:r w:rsidRPr="00E62BC2">
        <w:t>. Each year’s work program becomes guaranteed upon entry and the minimum work requirements must commence and be completed within the permit year.</w:t>
      </w:r>
    </w:p>
    <w:p w14:paraId="29E9A868" w14:textId="77777777" w:rsidR="00B8596F" w:rsidRPr="007F3CA9" w:rsidDel="00B8596F" w:rsidRDefault="00B8596F" w:rsidP="00A540AE">
      <w:pPr>
        <w:pStyle w:val="Caption"/>
        <w:keepNext/>
        <w:keepLines/>
      </w:pPr>
      <w:r w:rsidRPr="007F3CA9" w:rsidDel="00B8596F">
        <w:t>An example of a six-year work program:</w:t>
      </w:r>
    </w:p>
    <w:tbl>
      <w:tblPr>
        <w:tblStyle w:val="ListTable3-Accent4"/>
        <w:tblW w:w="0" w:type="auto"/>
        <w:tblLook w:val="04A0" w:firstRow="1" w:lastRow="0" w:firstColumn="1" w:lastColumn="0" w:noHBand="0" w:noVBand="1"/>
      </w:tblPr>
      <w:tblGrid>
        <w:gridCol w:w="718"/>
        <w:gridCol w:w="1346"/>
        <w:gridCol w:w="1346"/>
        <w:gridCol w:w="3658"/>
        <w:gridCol w:w="1948"/>
      </w:tblGrid>
      <w:tr w:rsidR="00B8596F" w:rsidRPr="00A540AE" w:rsidDel="00B8596F" w14:paraId="19E93E25" w14:textId="77777777" w:rsidTr="00A911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4" w:type="dxa"/>
          </w:tcPr>
          <w:p w14:paraId="03EE5455" w14:textId="77777777" w:rsidR="00B8596F" w:rsidRPr="00A540AE" w:rsidDel="00B8596F" w:rsidRDefault="00B8596F" w:rsidP="00D63114">
            <w:pPr>
              <w:pStyle w:val="List2"/>
              <w:keepNext/>
              <w:keepLines/>
              <w:jc w:val="center"/>
              <w:rPr>
                <w:rFonts w:cs="Aptos"/>
                <w:b w:val="0"/>
                <w:sz w:val="20"/>
                <w:szCs w:val="20"/>
              </w:rPr>
            </w:pPr>
            <w:r w:rsidRPr="00A540AE" w:rsidDel="00B8596F">
              <w:rPr>
                <w:rFonts w:cs="Aptos"/>
                <w:sz w:val="20"/>
                <w:szCs w:val="20"/>
              </w:rPr>
              <w:t>Year</w:t>
            </w:r>
          </w:p>
        </w:tc>
        <w:tc>
          <w:tcPr>
            <w:tcW w:w="1371" w:type="dxa"/>
          </w:tcPr>
          <w:p w14:paraId="6925FD58" w14:textId="77777777" w:rsidR="00B8596F" w:rsidRPr="00A540AE" w:rsidDel="00B8596F" w:rsidRDefault="00B8596F" w:rsidP="00D63114">
            <w:pPr>
              <w:pStyle w:val="List2"/>
              <w:keepNext/>
              <w:keepLines/>
              <w:jc w:val="center"/>
              <w:cnfStyle w:val="100000000000" w:firstRow="1" w:lastRow="0" w:firstColumn="0" w:lastColumn="0" w:oddVBand="0" w:evenVBand="0" w:oddHBand="0" w:evenHBand="0" w:firstRowFirstColumn="0" w:firstRowLastColumn="0" w:lastRowFirstColumn="0" w:lastRowLastColumn="0"/>
              <w:rPr>
                <w:rFonts w:cs="Aptos"/>
                <w:b w:val="0"/>
                <w:sz w:val="20"/>
                <w:szCs w:val="20"/>
              </w:rPr>
            </w:pPr>
            <w:r w:rsidRPr="00A540AE" w:rsidDel="00B8596F">
              <w:rPr>
                <w:rFonts w:cs="Aptos"/>
                <w:sz w:val="20"/>
                <w:szCs w:val="20"/>
              </w:rPr>
              <w:t>Start date</w:t>
            </w:r>
          </w:p>
        </w:tc>
        <w:tc>
          <w:tcPr>
            <w:tcW w:w="1371" w:type="dxa"/>
          </w:tcPr>
          <w:p w14:paraId="71750935" w14:textId="77777777" w:rsidR="00B8596F" w:rsidRPr="00A540AE" w:rsidDel="00B8596F" w:rsidRDefault="00B8596F" w:rsidP="00D63114">
            <w:pPr>
              <w:pStyle w:val="List2"/>
              <w:keepNext/>
              <w:keepLines/>
              <w:jc w:val="center"/>
              <w:cnfStyle w:val="100000000000" w:firstRow="1" w:lastRow="0" w:firstColumn="0" w:lastColumn="0" w:oddVBand="0" w:evenVBand="0" w:oddHBand="0" w:evenHBand="0" w:firstRowFirstColumn="0" w:firstRowLastColumn="0" w:lastRowFirstColumn="0" w:lastRowLastColumn="0"/>
              <w:rPr>
                <w:rFonts w:cs="Aptos"/>
                <w:b w:val="0"/>
                <w:sz w:val="20"/>
                <w:szCs w:val="20"/>
              </w:rPr>
            </w:pPr>
            <w:r w:rsidRPr="00A540AE" w:rsidDel="00B8596F">
              <w:rPr>
                <w:rFonts w:cs="Aptos"/>
                <w:sz w:val="20"/>
                <w:szCs w:val="20"/>
              </w:rPr>
              <w:t>End date</w:t>
            </w:r>
          </w:p>
        </w:tc>
        <w:tc>
          <w:tcPr>
            <w:tcW w:w="4066" w:type="dxa"/>
          </w:tcPr>
          <w:p w14:paraId="31EF3A34" w14:textId="77777777" w:rsidR="00B8596F" w:rsidRPr="00A540AE" w:rsidDel="00B8596F" w:rsidRDefault="00B8596F" w:rsidP="00D63114">
            <w:pPr>
              <w:pStyle w:val="List2"/>
              <w:keepNext/>
              <w:keepLines/>
              <w:jc w:val="center"/>
              <w:cnfStyle w:val="100000000000" w:firstRow="1" w:lastRow="0" w:firstColumn="0" w:lastColumn="0" w:oddVBand="0" w:evenVBand="0" w:oddHBand="0" w:evenHBand="0" w:firstRowFirstColumn="0" w:firstRowLastColumn="0" w:lastRowFirstColumn="0" w:lastRowLastColumn="0"/>
              <w:rPr>
                <w:rFonts w:cs="Aptos"/>
                <w:b w:val="0"/>
                <w:sz w:val="20"/>
                <w:szCs w:val="20"/>
              </w:rPr>
            </w:pPr>
            <w:r w:rsidRPr="00A540AE" w:rsidDel="00B8596F">
              <w:rPr>
                <w:rFonts w:cs="Aptos"/>
                <w:sz w:val="20"/>
                <w:szCs w:val="20"/>
              </w:rPr>
              <w:t>Activity</w:t>
            </w:r>
          </w:p>
        </w:tc>
        <w:tc>
          <w:tcPr>
            <w:tcW w:w="2086" w:type="dxa"/>
          </w:tcPr>
          <w:p w14:paraId="4198B1C9" w14:textId="77777777" w:rsidR="00B8596F" w:rsidRPr="00A540AE" w:rsidDel="00B8596F" w:rsidRDefault="00B8596F" w:rsidP="00D63114">
            <w:pPr>
              <w:pStyle w:val="List2"/>
              <w:keepNext/>
              <w:keepLines/>
              <w:jc w:val="center"/>
              <w:cnfStyle w:val="100000000000" w:firstRow="1" w:lastRow="0" w:firstColumn="0" w:lastColumn="0" w:oddVBand="0" w:evenVBand="0" w:oddHBand="0" w:evenHBand="0" w:firstRowFirstColumn="0" w:firstRowLastColumn="0" w:lastRowFirstColumn="0" w:lastRowLastColumn="0"/>
              <w:rPr>
                <w:rFonts w:cs="Aptos"/>
                <w:b w:val="0"/>
                <w:sz w:val="20"/>
                <w:szCs w:val="20"/>
              </w:rPr>
            </w:pPr>
            <w:r w:rsidRPr="00A540AE" w:rsidDel="00B8596F">
              <w:rPr>
                <w:rFonts w:cs="Aptos"/>
                <w:sz w:val="20"/>
                <w:szCs w:val="20"/>
              </w:rPr>
              <w:t>Indicative cost $A</w:t>
            </w:r>
          </w:p>
        </w:tc>
      </w:tr>
      <w:tr w:rsidR="00B8596F" w:rsidRPr="00A540AE" w:rsidDel="00B8596F" w14:paraId="5F16CFE2" w14:textId="77777777" w:rsidTr="00A91117">
        <w:trPr>
          <w:cnfStyle w:val="000000100000" w:firstRow="0" w:lastRow="0" w:firstColumn="0" w:lastColumn="0" w:oddVBand="0" w:evenVBand="0" w:oddHBand="1"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734" w:type="dxa"/>
          </w:tcPr>
          <w:p w14:paraId="2401C7EB" w14:textId="77777777" w:rsidR="00B8596F" w:rsidRPr="00D63114" w:rsidDel="00B8596F" w:rsidRDefault="00B8596F" w:rsidP="00D63114">
            <w:pPr>
              <w:pStyle w:val="List2"/>
              <w:keepNext/>
              <w:keepLines/>
              <w:jc w:val="center"/>
              <w:rPr>
                <w:rFonts w:cs="Aptos"/>
                <w:b w:val="0"/>
                <w:bCs w:val="0"/>
                <w:sz w:val="20"/>
                <w:szCs w:val="20"/>
              </w:rPr>
            </w:pPr>
            <w:r w:rsidRPr="00D63114" w:rsidDel="00B8596F">
              <w:rPr>
                <w:rFonts w:cs="Aptos"/>
                <w:b w:val="0"/>
                <w:bCs w:val="0"/>
                <w:sz w:val="20"/>
                <w:szCs w:val="20"/>
              </w:rPr>
              <w:t>1-3</w:t>
            </w:r>
          </w:p>
        </w:tc>
        <w:tc>
          <w:tcPr>
            <w:tcW w:w="1371" w:type="dxa"/>
          </w:tcPr>
          <w:p w14:paraId="735F37DE" w14:textId="339C5966" w:rsidR="00B8596F" w:rsidRPr="00A540AE" w:rsidDel="00B8596F" w:rsidRDefault="00B8596F" w:rsidP="00D63114">
            <w:pPr>
              <w:pStyle w:val="List2"/>
              <w:keepNext/>
              <w:keepLines/>
              <w:jc w:val="center"/>
              <w:cnfStyle w:val="000000100000" w:firstRow="0" w:lastRow="0" w:firstColumn="0" w:lastColumn="0" w:oddVBand="0" w:evenVBand="0" w:oddHBand="1" w:evenHBand="0" w:firstRowFirstColumn="0" w:firstRowLastColumn="0" w:lastRowFirstColumn="0" w:lastRowLastColumn="0"/>
              <w:rPr>
                <w:rFonts w:cs="Aptos"/>
                <w:sz w:val="20"/>
                <w:szCs w:val="20"/>
              </w:rPr>
            </w:pPr>
            <w:r w:rsidRPr="00A540AE" w:rsidDel="00B8596F">
              <w:rPr>
                <w:rFonts w:cs="Aptos"/>
                <w:sz w:val="20"/>
                <w:szCs w:val="20"/>
              </w:rPr>
              <w:t>01/01/</w:t>
            </w:r>
            <w:r w:rsidR="0033070F" w:rsidRPr="00A540AE" w:rsidDel="00B8596F">
              <w:rPr>
                <w:rFonts w:cs="Aptos"/>
                <w:sz w:val="20"/>
                <w:szCs w:val="20"/>
              </w:rPr>
              <w:t>20</w:t>
            </w:r>
            <w:r w:rsidR="0033070F" w:rsidRPr="00A540AE">
              <w:rPr>
                <w:rFonts w:cs="Aptos"/>
                <w:sz w:val="20"/>
                <w:szCs w:val="20"/>
              </w:rPr>
              <w:t>2</w:t>
            </w:r>
            <w:r w:rsidR="0033070F" w:rsidRPr="00A540AE" w:rsidDel="00B8596F">
              <w:rPr>
                <w:rFonts w:cs="Aptos"/>
                <w:sz w:val="20"/>
                <w:szCs w:val="20"/>
              </w:rPr>
              <w:t>5</w:t>
            </w:r>
          </w:p>
        </w:tc>
        <w:tc>
          <w:tcPr>
            <w:tcW w:w="1371" w:type="dxa"/>
          </w:tcPr>
          <w:p w14:paraId="26EF3404" w14:textId="101E78CC" w:rsidR="00B8596F" w:rsidRPr="00A540AE" w:rsidDel="00B8596F" w:rsidRDefault="00B8596F" w:rsidP="00D63114">
            <w:pPr>
              <w:pStyle w:val="List2"/>
              <w:keepNext/>
              <w:keepLines/>
              <w:jc w:val="center"/>
              <w:cnfStyle w:val="000000100000" w:firstRow="0" w:lastRow="0" w:firstColumn="0" w:lastColumn="0" w:oddVBand="0" w:evenVBand="0" w:oddHBand="1" w:evenHBand="0" w:firstRowFirstColumn="0" w:firstRowLastColumn="0" w:lastRowFirstColumn="0" w:lastRowLastColumn="0"/>
              <w:rPr>
                <w:rFonts w:cs="Aptos"/>
                <w:sz w:val="20"/>
                <w:szCs w:val="20"/>
              </w:rPr>
            </w:pPr>
            <w:r w:rsidRPr="00A540AE" w:rsidDel="00B8596F">
              <w:rPr>
                <w:rFonts w:cs="Aptos"/>
                <w:sz w:val="20"/>
                <w:szCs w:val="20"/>
              </w:rPr>
              <w:t>31/12/</w:t>
            </w:r>
            <w:r w:rsidR="0033070F" w:rsidRPr="00A540AE" w:rsidDel="00B8596F">
              <w:rPr>
                <w:rFonts w:cs="Aptos"/>
                <w:sz w:val="20"/>
                <w:szCs w:val="20"/>
              </w:rPr>
              <w:t>20</w:t>
            </w:r>
            <w:r w:rsidR="0033070F" w:rsidRPr="00A540AE">
              <w:rPr>
                <w:rFonts w:cs="Aptos"/>
                <w:sz w:val="20"/>
                <w:szCs w:val="20"/>
              </w:rPr>
              <w:t>2</w:t>
            </w:r>
            <w:r w:rsidR="0033070F" w:rsidRPr="00A540AE" w:rsidDel="00B8596F">
              <w:rPr>
                <w:rFonts w:cs="Aptos"/>
                <w:sz w:val="20"/>
                <w:szCs w:val="20"/>
              </w:rPr>
              <w:t>7</w:t>
            </w:r>
          </w:p>
        </w:tc>
        <w:tc>
          <w:tcPr>
            <w:tcW w:w="4066" w:type="dxa"/>
          </w:tcPr>
          <w:p w14:paraId="6005262F" w14:textId="1F54ACC7" w:rsidR="00B8596F" w:rsidRPr="00A540AE" w:rsidDel="00B8596F" w:rsidRDefault="00B531F4" w:rsidP="00D63114">
            <w:pPr>
              <w:pStyle w:val="List2"/>
              <w:keepNext/>
              <w:keepLines/>
              <w:cnfStyle w:val="000000100000" w:firstRow="0" w:lastRow="0" w:firstColumn="0" w:lastColumn="0" w:oddVBand="0" w:evenVBand="0" w:oddHBand="1" w:evenHBand="0" w:firstRowFirstColumn="0" w:firstRowLastColumn="0" w:lastRowFirstColumn="0" w:lastRowLastColumn="0"/>
              <w:rPr>
                <w:rFonts w:cs="Aptos"/>
                <w:sz w:val="20"/>
                <w:szCs w:val="20"/>
              </w:rPr>
            </w:pPr>
            <w:r w:rsidRPr="00A540AE">
              <w:rPr>
                <w:rFonts w:cs="Aptos"/>
                <w:sz w:val="20"/>
                <w:szCs w:val="20"/>
              </w:rPr>
              <w:t xml:space="preserve">Licence </w:t>
            </w:r>
            <w:r w:rsidR="00B8596F" w:rsidRPr="00A540AE" w:rsidDel="00B8596F">
              <w:rPr>
                <w:rFonts w:cs="Aptos"/>
                <w:sz w:val="20"/>
                <w:szCs w:val="20"/>
              </w:rPr>
              <w:t xml:space="preserve">2,000 km² of 3D seismic </w:t>
            </w:r>
            <w:r w:rsidR="001D2920" w:rsidRPr="00A540AE">
              <w:rPr>
                <w:rFonts w:cs="Aptos"/>
                <w:sz w:val="20"/>
                <w:szCs w:val="20"/>
              </w:rPr>
              <w:t>data</w:t>
            </w:r>
          </w:p>
          <w:p w14:paraId="709F8993" w14:textId="77777777" w:rsidR="00773D21" w:rsidRPr="00A540AE" w:rsidDel="00B8596F" w:rsidRDefault="00773D21" w:rsidP="00D63114">
            <w:pPr>
              <w:pStyle w:val="List2"/>
              <w:keepNext/>
              <w:keepLines/>
              <w:cnfStyle w:val="000000100000" w:firstRow="0" w:lastRow="0" w:firstColumn="0" w:lastColumn="0" w:oddVBand="0" w:evenVBand="0" w:oddHBand="1" w:evenHBand="0" w:firstRowFirstColumn="0" w:firstRowLastColumn="0" w:lastRowFirstColumn="0" w:lastRowLastColumn="0"/>
              <w:rPr>
                <w:rFonts w:cs="Aptos"/>
                <w:sz w:val="20"/>
                <w:szCs w:val="20"/>
              </w:rPr>
            </w:pPr>
            <w:r w:rsidRPr="00A540AE" w:rsidDel="00B8596F">
              <w:rPr>
                <w:rFonts w:cs="Aptos"/>
                <w:sz w:val="20"/>
                <w:szCs w:val="20"/>
              </w:rPr>
              <w:t>2,000 km² of 3D seismic reprocessing</w:t>
            </w:r>
          </w:p>
          <w:p w14:paraId="12EB0F1D" w14:textId="77777777" w:rsidR="00B8596F" w:rsidRPr="00A540AE" w:rsidDel="00B8596F" w:rsidRDefault="00B8596F" w:rsidP="00D63114">
            <w:pPr>
              <w:pStyle w:val="List2"/>
              <w:keepNext/>
              <w:keepLines/>
              <w:cnfStyle w:val="000000100000" w:firstRow="0" w:lastRow="0" w:firstColumn="0" w:lastColumn="0" w:oddVBand="0" w:evenVBand="0" w:oddHBand="1" w:evenHBand="0" w:firstRowFirstColumn="0" w:firstRowLastColumn="0" w:lastRowFirstColumn="0" w:lastRowLastColumn="0"/>
              <w:rPr>
                <w:rFonts w:cs="Aptos"/>
                <w:sz w:val="20"/>
                <w:szCs w:val="20"/>
              </w:rPr>
            </w:pPr>
            <w:r w:rsidRPr="00A540AE" w:rsidDel="00B8596F">
              <w:rPr>
                <w:rFonts w:cs="Aptos"/>
                <w:sz w:val="20"/>
                <w:szCs w:val="20"/>
              </w:rPr>
              <w:t>Geophysical and geological studies including seismic interpretation</w:t>
            </w:r>
          </w:p>
        </w:tc>
        <w:tc>
          <w:tcPr>
            <w:tcW w:w="2086" w:type="dxa"/>
          </w:tcPr>
          <w:p w14:paraId="112C1F49" w14:textId="1D893262" w:rsidR="00B8596F" w:rsidRPr="00A540AE" w:rsidDel="00B8596F" w:rsidRDefault="007C7A5A" w:rsidP="00D63114">
            <w:pPr>
              <w:pStyle w:val="List2"/>
              <w:keepNext/>
              <w:keepLines/>
              <w:spacing w:after="480"/>
              <w:jc w:val="center"/>
              <w:cnfStyle w:val="000000100000" w:firstRow="0" w:lastRow="0" w:firstColumn="0" w:lastColumn="0" w:oddVBand="0" w:evenVBand="0" w:oddHBand="1" w:evenHBand="0" w:firstRowFirstColumn="0" w:firstRowLastColumn="0" w:lastRowFirstColumn="0" w:lastRowLastColumn="0"/>
              <w:rPr>
                <w:rFonts w:cs="Aptos"/>
                <w:sz w:val="20"/>
                <w:szCs w:val="20"/>
              </w:rPr>
            </w:pPr>
            <w:r>
              <w:rPr>
                <w:rFonts w:cs="Aptos"/>
                <w:sz w:val="20"/>
                <w:szCs w:val="20"/>
              </w:rPr>
              <w:t>00</w:t>
            </w:r>
            <w:r w:rsidR="00B8596F" w:rsidRPr="00A540AE" w:rsidDel="00B8596F">
              <w:rPr>
                <w:rFonts w:cs="Aptos"/>
                <w:sz w:val="20"/>
                <w:szCs w:val="20"/>
              </w:rPr>
              <w:t>,000,000</w:t>
            </w:r>
          </w:p>
          <w:p w14:paraId="269C1E20" w14:textId="335EA056" w:rsidR="00773D21" w:rsidRPr="00A540AE" w:rsidRDefault="007C7A5A" w:rsidP="00D63114">
            <w:pPr>
              <w:pStyle w:val="List2"/>
              <w:keepNext/>
              <w:keepLines/>
              <w:jc w:val="center"/>
              <w:cnfStyle w:val="000000100000" w:firstRow="0" w:lastRow="0" w:firstColumn="0" w:lastColumn="0" w:oddVBand="0" w:evenVBand="0" w:oddHBand="1" w:evenHBand="0" w:firstRowFirstColumn="0" w:firstRowLastColumn="0" w:lastRowFirstColumn="0" w:lastRowLastColumn="0"/>
              <w:rPr>
                <w:rFonts w:cs="Aptos"/>
                <w:sz w:val="20"/>
                <w:szCs w:val="20"/>
              </w:rPr>
            </w:pPr>
            <w:r>
              <w:rPr>
                <w:rFonts w:cs="Aptos"/>
                <w:sz w:val="20"/>
                <w:szCs w:val="20"/>
              </w:rPr>
              <w:t>0</w:t>
            </w:r>
            <w:r w:rsidR="00773D21" w:rsidRPr="00A540AE">
              <w:rPr>
                <w:rFonts w:cs="Aptos"/>
                <w:sz w:val="20"/>
                <w:szCs w:val="20"/>
              </w:rPr>
              <w:t>00,000</w:t>
            </w:r>
          </w:p>
          <w:p w14:paraId="032C8C81" w14:textId="5039C8B3" w:rsidR="00B8596F" w:rsidRPr="00A540AE" w:rsidDel="00B8596F" w:rsidRDefault="00705ED5" w:rsidP="00D63114">
            <w:pPr>
              <w:pStyle w:val="List2"/>
              <w:keepNext/>
              <w:keepLines/>
              <w:jc w:val="center"/>
              <w:cnfStyle w:val="000000100000" w:firstRow="0" w:lastRow="0" w:firstColumn="0" w:lastColumn="0" w:oddVBand="0" w:evenVBand="0" w:oddHBand="1" w:evenHBand="0" w:firstRowFirstColumn="0" w:firstRowLastColumn="0" w:lastRowFirstColumn="0" w:lastRowLastColumn="0"/>
              <w:rPr>
                <w:rFonts w:cs="Aptos"/>
                <w:sz w:val="20"/>
                <w:szCs w:val="20"/>
              </w:rPr>
            </w:pPr>
            <w:r>
              <w:rPr>
                <w:rFonts w:cs="Aptos"/>
                <w:sz w:val="20"/>
                <w:szCs w:val="20"/>
              </w:rPr>
              <w:t>0</w:t>
            </w:r>
            <w:r w:rsidR="00B8596F" w:rsidRPr="00A540AE" w:rsidDel="00B8596F">
              <w:rPr>
                <w:rFonts w:cs="Aptos"/>
                <w:sz w:val="20"/>
                <w:szCs w:val="20"/>
              </w:rPr>
              <w:t>00,000</w:t>
            </w:r>
          </w:p>
        </w:tc>
      </w:tr>
      <w:tr w:rsidR="00B8596F" w:rsidRPr="00A540AE" w:rsidDel="00B8596F" w14:paraId="358A60DC" w14:textId="77777777" w:rsidTr="00A91117">
        <w:tc>
          <w:tcPr>
            <w:cnfStyle w:val="001000000000" w:firstRow="0" w:lastRow="0" w:firstColumn="1" w:lastColumn="0" w:oddVBand="0" w:evenVBand="0" w:oddHBand="0" w:evenHBand="0" w:firstRowFirstColumn="0" w:firstRowLastColumn="0" w:lastRowFirstColumn="0" w:lastRowLastColumn="0"/>
            <w:tcW w:w="734" w:type="dxa"/>
          </w:tcPr>
          <w:p w14:paraId="0931F297" w14:textId="77777777" w:rsidR="00B8596F" w:rsidRPr="00D63114" w:rsidDel="00B8596F" w:rsidRDefault="00B8596F" w:rsidP="00D63114">
            <w:pPr>
              <w:pStyle w:val="List2"/>
              <w:keepNext/>
              <w:keepLines/>
              <w:jc w:val="center"/>
              <w:rPr>
                <w:rFonts w:cs="Aptos"/>
                <w:b w:val="0"/>
                <w:bCs w:val="0"/>
                <w:sz w:val="20"/>
                <w:szCs w:val="20"/>
              </w:rPr>
            </w:pPr>
            <w:r w:rsidRPr="00D63114" w:rsidDel="00B8596F">
              <w:rPr>
                <w:rFonts w:cs="Aptos"/>
                <w:b w:val="0"/>
                <w:bCs w:val="0"/>
                <w:sz w:val="20"/>
                <w:szCs w:val="20"/>
              </w:rPr>
              <w:t>4</w:t>
            </w:r>
          </w:p>
        </w:tc>
        <w:tc>
          <w:tcPr>
            <w:tcW w:w="1371" w:type="dxa"/>
          </w:tcPr>
          <w:p w14:paraId="5C343B08" w14:textId="1241F5CF" w:rsidR="00B8596F" w:rsidRPr="00A540AE" w:rsidDel="00B8596F" w:rsidRDefault="00B8596F" w:rsidP="00D63114">
            <w:pPr>
              <w:pStyle w:val="List2"/>
              <w:keepNext/>
              <w:keepLines/>
              <w:jc w:val="center"/>
              <w:cnfStyle w:val="000000000000" w:firstRow="0" w:lastRow="0" w:firstColumn="0" w:lastColumn="0" w:oddVBand="0" w:evenVBand="0" w:oddHBand="0" w:evenHBand="0" w:firstRowFirstColumn="0" w:firstRowLastColumn="0" w:lastRowFirstColumn="0" w:lastRowLastColumn="0"/>
              <w:rPr>
                <w:rFonts w:cs="Aptos"/>
                <w:sz w:val="20"/>
                <w:szCs w:val="20"/>
              </w:rPr>
            </w:pPr>
            <w:r w:rsidRPr="00A540AE" w:rsidDel="00B8596F">
              <w:rPr>
                <w:rFonts w:cs="Aptos"/>
                <w:sz w:val="20"/>
                <w:szCs w:val="20"/>
              </w:rPr>
              <w:t>01/01/</w:t>
            </w:r>
            <w:r w:rsidR="0033070F" w:rsidRPr="00A540AE" w:rsidDel="00B8596F">
              <w:rPr>
                <w:rFonts w:cs="Aptos"/>
                <w:sz w:val="20"/>
                <w:szCs w:val="20"/>
              </w:rPr>
              <w:t>20</w:t>
            </w:r>
            <w:r w:rsidR="0033070F" w:rsidRPr="00A540AE">
              <w:rPr>
                <w:rFonts w:cs="Aptos"/>
                <w:sz w:val="20"/>
                <w:szCs w:val="20"/>
              </w:rPr>
              <w:t>2</w:t>
            </w:r>
            <w:r w:rsidR="0033070F" w:rsidRPr="00A540AE" w:rsidDel="00B8596F">
              <w:rPr>
                <w:rFonts w:cs="Aptos"/>
                <w:sz w:val="20"/>
                <w:szCs w:val="20"/>
              </w:rPr>
              <w:t>8</w:t>
            </w:r>
          </w:p>
        </w:tc>
        <w:tc>
          <w:tcPr>
            <w:tcW w:w="1371" w:type="dxa"/>
          </w:tcPr>
          <w:p w14:paraId="5AC99A3D" w14:textId="4BEB9D89" w:rsidR="00B8596F" w:rsidRPr="00A540AE" w:rsidDel="00B8596F" w:rsidRDefault="00B8596F" w:rsidP="00D63114">
            <w:pPr>
              <w:pStyle w:val="List2"/>
              <w:keepNext/>
              <w:keepLines/>
              <w:jc w:val="center"/>
              <w:cnfStyle w:val="000000000000" w:firstRow="0" w:lastRow="0" w:firstColumn="0" w:lastColumn="0" w:oddVBand="0" w:evenVBand="0" w:oddHBand="0" w:evenHBand="0" w:firstRowFirstColumn="0" w:firstRowLastColumn="0" w:lastRowFirstColumn="0" w:lastRowLastColumn="0"/>
              <w:rPr>
                <w:rFonts w:cs="Aptos"/>
                <w:sz w:val="20"/>
                <w:szCs w:val="20"/>
              </w:rPr>
            </w:pPr>
            <w:r w:rsidRPr="00A540AE" w:rsidDel="00B8596F">
              <w:rPr>
                <w:rFonts w:cs="Aptos"/>
                <w:sz w:val="20"/>
                <w:szCs w:val="20"/>
              </w:rPr>
              <w:t>31/12/20</w:t>
            </w:r>
            <w:r w:rsidR="0033070F" w:rsidRPr="00A540AE">
              <w:rPr>
                <w:rFonts w:cs="Aptos"/>
                <w:sz w:val="20"/>
                <w:szCs w:val="20"/>
              </w:rPr>
              <w:t>2</w:t>
            </w:r>
            <w:r w:rsidR="00A44181" w:rsidRPr="00A540AE">
              <w:rPr>
                <w:rFonts w:cs="Aptos"/>
                <w:sz w:val="20"/>
                <w:szCs w:val="20"/>
              </w:rPr>
              <w:t>8</w:t>
            </w:r>
          </w:p>
        </w:tc>
        <w:tc>
          <w:tcPr>
            <w:tcW w:w="4066" w:type="dxa"/>
          </w:tcPr>
          <w:p w14:paraId="032F0B6D" w14:textId="77777777" w:rsidR="00B8596F" w:rsidRPr="00A540AE" w:rsidDel="00B8596F" w:rsidRDefault="00B8596F" w:rsidP="00D63114">
            <w:pPr>
              <w:pStyle w:val="List2"/>
              <w:keepNext/>
              <w:keepLines/>
              <w:cnfStyle w:val="000000000000" w:firstRow="0" w:lastRow="0" w:firstColumn="0" w:lastColumn="0" w:oddVBand="0" w:evenVBand="0" w:oddHBand="0" w:evenHBand="0" w:firstRowFirstColumn="0" w:firstRowLastColumn="0" w:lastRowFirstColumn="0" w:lastRowLastColumn="0"/>
              <w:rPr>
                <w:rFonts w:cs="Aptos"/>
                <w:sz w:val="20"/>
                <w:szCs w:val="20"/>
              </w:rPr>
            </w:pPr>
            <w:r w:rsidRPr="00A540AE" w:rsidDel="00B8596F">
              <w:rPr>
                <w:rFonts w:cs="Aptos"/>
                <w:sz w:val="20"/>
                <w:szCs w:val="20"/>
              </w:rPr>
              <w:t>Geophysical and geological studies including prospect and lead maturation studies</w:t>
            </w:r>
          </w:p>
        </w:tc>
        <w:tc>
          <w:tcPr>
            <w:tcW w:w="2086" w:type="dxa"/>
          </w:tcPr>
          <w:p w14:paraId="3ED61257" w14:textId="53D5637A" w:rsidR="00B8596F" w:rsidRPr="00A540AE" w:rsidDel="00B8596F" w:rsidRDefault="00705ED5" w:rsidP="00D63114">
            <w:pPr>
              <w:pStyle w:val="List2"/>
              <w:keepNext/>
              <w:keepLines/>
              <w:jc w:val="center"/>
              <w:cnfStyle w:val="000000000000" w:firstRow="0" w:lastRow="0" w:firstColumn="0" w:lastColumn="0" w:oddVBand="0" w:evenVBand="0" w:oddHBand="0" w:evenHBand="0" w:firstRowFirstColumn="0" w:firstRowLastColumn="0" w:lastRowFirstColumn="0" w:lastRowLastColumn="0"/>
              <w:rPr>
                <w:rFonts w:cs="Aptos"/>
                <w:sz w:val="20"/>
                <w:szCs w:val="20"/>
              </w:rPr>
            </w:pPr>
            <w:r>
              <w:rPr>
                <w:rFonts w:cs="Aptos"/>
                <w:sz w:val="20"/>
                <w:szCs w:val="20"/>
              </w:rPr>
              <w:t>0</w:t>
            </w:r>
            <w:r w:rsidR="00B8596F" w:rsidRPr="00A540AE" w:rsidDel="00B8596F">
              <w:rPr>
                <w:rFonts w:cs="Aptos"/>
                <w:sz w:val="20"/>
                <w:szCs w:val="20"/>
              </w:rPr>
              <w:t>00,000</w:t>
            </w:r>
          </w:p>
        </w:tc>
      </w:tr>
      <w:tr w:rsidR="00B8596F" w:rsidRPr="00A540AE" w:rsidDel="00B8596F" w14:paraId="20827AB6" w14:textId="77777777" w:rsidTr="00A91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dxa"/>
          </w:tcPr>
          <w:p w14:paraId="18B2ACD1" w14:textId="77777777" w:rsidR="00B8596F" w:rsidRPr="00D63114" w:rsidDel="00B8596F" w:rsidRDefault="00B8596F" w:rsidP="00D63114">
            <w:pPr>
              <w:pStyle w:val="List2"/>
              <w:keepNext/>
              <w:keepLines/>
              <w:jc w:val="center"/>
              <w:rPr>
                <w:rFonts w:cs="Aptos"/>
                <w:b w:val="0"/>
                <w:bCs w:val="0"/>
                <w:sz w:val="20"/>
                <w:szCs w:val="20"/>
              </w:rPr>
            </w:pPr>
            <w:r w:rsidRPr="00D63114" w:rsidDel="00B8596F">
              <w:rPr>
                <w:rFonts w:cs="Aptos"/>
                <w:b w:val="0"/>
                <w:bCs w:val="0"/>
                <w:sz w:val="20"/>
                <w:szCs w:val="20"/>
              </w:rPr>
              <w:t>5</w:t>
            </w:r>
          </w:p>
        </w:tc>
        <w:tc>
          <w:tcPr>
            <w:tcW w:w="1371" w:type="dxa"/>
          </w:tcPr>
          <w:p w14:paraId="199CA00D" w14:textId="2907601F" w:rsidR="00B8596F" w:rsidRPr="00A540AE" w:rsidDel="00B8596F" w:rsidRDefault="00B8596F" w:rsidP="00D63114">
            <w:pPr>
              <w:pStyle w:val="List2"/>
              <w:keepNext/>
              <w:keepLines/>
              <w:jc w:val="center"/>
              <w:cnfStyle w:val="000000100000" w:firstRow="0" w:lastRow="0" w:firstColumn="0" w:lastColumn="0" w:oddVBand="0" w:evenVBand="0" w:oddHBand="1" w:evenHBand="0" w:firstRowFirstColumn="0" w:firstRowLastColumn="0" w:lastRowFirstColumn="0" w:lastRowLastColumn="0"/>
              <w:rPr>
                <w:rFonts w:cs="Aptos"/>
                <w:sz w:val="20"/>
                <w:szCs w:val="20"/>
              </w:rPr>
            </w:pPr>
            <w:r w:rsidRPr="00A540AE" w:rsidDel="00B8596F">
              <w:rPr>
                <w:rFonts w:cs="Aptos"/>
                <w:sz w:val="20"/>
                <w:szCs w:val="20"/>
              </w:rPr>
              <w:t>01/01/20</w:t>
            </w:r>
            <w:r w:rsidR="00C530E6" w:rsidRPr="00A540AE">
              <w:rPr>
                <w:rFonts w:cs="Aptos"/>
                <w:sz w:val="20"/>
                <w:szCs w:val="20"/>
              </w:rPr>
              <w:t>2</w:t>
            </w:r>
            <w:r w:rsidRPr="00A540AE" w:rsidDel="00B8596F">
              <w:rPr>
                <w:rFonts w:cs="Aptos"/>
                <w:sz w:val="20"/>
                <w:szCs w:val="20"/>
              </w:rPr>
              <w:t>9</w:t>
            </w:r>
          </w:p>
        </w:tc>
        <w:tc>
          <w:tcPr>
            <w:tcW w:w="1371" w:type="dxa"/>
          </w:tcPr>
          <w:p w14:paraId="28B4C933" w14:textId="1AFF4674" w:rsidR="00B8596F" w:rsidRPr="00A540AE" w:rsidDel="00B8596F" w:rsidRDefault="00B8596F" w:rsidP="00D63114">
            <w:pPr>
              <w:pStyle w:val="List2"/>
              <w:keepNext/>
              <w:keepLines/>
              <w:jc w:val="center"/>
              <w:cnfStyle w:val="000000100000" w:firstRow="0" w:lastRow="0" w:firstColumn="0" w:lastColumn="0" w:oddVBand="0" w:evenVBand="0" w:oddHBand="1" w:evenHBand="0" w:firstRowFirstColumn="0" w:firstRowLastColumn="0" w:lastRowFirstColumn="0" w:lastRowLastColumn="0"/>
              <w:rPr>
                <w:rFonts w:cs="Aptos"/>
                <w:sz w:val="20"/>
                <w:szCs w:val="20"/>
              </w:rPr>
            </w:pPr>
            <w:r w:rsidRPr="00A540AE" w:rsidDel="00B8596F">
              <w:rPr>
                <w:rFonts w:cs="Aptos"/>
                <w:sz w:val="20"/>
                <w:szCs w:val="20"/>
              </w:rPr>
              <w:t>31/12/</w:t>
            </w:r>
            <w:r w:rsidR="00C530E6" w:rsidRPr="00A540AE" w:rsidDel="00B8596F">
              <w:rPr>
                <w:rFonts w:cs="Aptos"/>
                <w:sz w:val="20"/>
                <w:szCs w:val="20"/>
              </w:rPr>
              <w:t>20</w:t>
            </w:r>
            <w:r w:rsidR="00A44181" w:rsidRPr="00A540AE">
              <w:rPr>
                <w:rFonts w:cs="Aptos"/>
                <w:sz w:val="20"/>
                <w:szCs w:val="20"/>
              </w:rPr>
              <w:t>29</w:t>
            </w:r>
          </w:p>
        </w:tc>
        <w:tc>
          <w:tcPr>
            <w:tcW w:w="4066" w:type="dxa"/>
          </w:tcPr>
          <w:p w14:paraId="3A975F07" w14:textId="77777777" w:rsidR="00B8596F" w:rsidRPr="00A540AE" w:rsidDel="00B8596F" w:rsidRDefault="00B8596F" w:rsidP="00D63114">
            <w:pPr>
              <w:pStyle w:val="List2"/>
              <w:keepNext/>
              <w:keepLines/>
              <w:cnfStyle w:val="000000100000" w:firstRow="0" w:lastRow="0" w:firstColumn="0" w:lastColumn="0" w:oddVBand="0" w:evenVBand="0" w:oddHBand="1" w:evenHBand="0" w:firstRowFirstColumn="0" w:firstRowLastColumn="0" w:lastRowFirstColumn="0" w:lastRowLastColumn="0"/>
              <w:rPr>
                <w:rFonts w:cs="Aptos"/>
                <w:sz w:val="20"/>
                <w:szCs w:val="20"/>
              </w:rPr>
            </w:pPr>
            <w:r w:rsidRPr="00A540AE" w:rsidDel="00B8596F">
              <w:rPr>
                <w:rFonts w:cs="Aptos"/>
                <w:sz w:val="20"/>
                <w:szCs w:val="20"/>
              </w:rPr>
              <w:t>One exploration well</w:t>
            </w:r>
          </w:p>
        </w:tc>
        <w:tc>
          <w:tcPr>
            <w:tcW w:w="2086" w:type="dxa"/>
          </w:tcPr>
          <w:p w14:paraId="5C255D8B" w14:textId="3C56211A" w:rsidR="00B8596F" w:rsidRPr="00A540AE" w:rsidDel="00B8596F" w:rsidRDefault="00705ED5" w:rsidP="00D63114">
            <w:pPr>
              <w:pStyle w:val="List2"/>
              <w:keepNext/>
              <w:keepLines/>
              <w:jc w:val="center"/>
              <w:cnfStyle w:val="000000100000" w:firstRow="0" w:lastRow="0" w:firstColumn="0" w:lastColumn="0" w:oddVBand="0" w:evenVBand="0" w:oddHBand="1" w:evenHBand="0" w:firstRowFirstColumn="0" w:firstRowLastColumn="0" w:lastRowFirstColumn="0" w:lastRowLastColumn="0"/>
              <w:rPr>
                <w:rFonts w:cs="Aptos"/>
                <w:sz w:val="20"/>
                <w:szCs w:val="20"/>
              </w:rPr>
            </w:pPr>
            <w:r>
              <w:rPr>
                <w:rFonts w:cs="Aptos"/>
                <w:sz w:val="20"/>
                <w:szCs w:val="20"/>
              </w:rPr>
              <w:t>00</w:t>
            </w:r>
            <w:r w:rsidR="00B8596F" w:rsidRPr="00A540AE" w:rsidDel="00B8596F">
              <w:rPr>
                <w:rFonts w:cs="Aptos"/>
                <w:sz w:val="20"/>
                <w:szCs w:val="20"/>
              </w:rPr>
              <w:t>,000,000</w:t>
            </w:r>
          </w:p>
        </w:tc>
      </w:tr>
      <w:tr w:rsidR="00B8596F" w:rsidRPr="00A540AE" w:rsidDel="00B8596F" w14:paraId="03DA56AC" w14:textId="77777777" w:rsidTr="00A91117">
        <w:tc>
          <w:tcPr>
            <w:cnfStyle w:val="001000000000" w:firstRow="0" w:lastRow="0" w:firstColumn="1" w:lastColumn="0" w:oddVBand="0" w:evenVBand="0" w:oddHBand="0" w:evenHBand="0" w:firstRowFirstColumn="0" w:firstRowLastColumn="0" w:lastRowFirstColumn="0" w:lastRowLastColumn="0"/>
            <w:tcW w:w="734" w:type="dxa"/>
          </w:tcPr>
          <w:p w14:paraId="48AA4A18" w14:textId="77777777" w:rsidR="00B8596F" w:rsidRPr="00D63114" w:rsidDel="00B8596F" w:rsidRDefault="00B8596F" w:rsidP="00D63114">
            <w:pPr>
              <w:pStyle w:val="List2"/>
              <w:keepNext/>
              <w:keepLines/>
              <w:jc w:val="center"/>
              <w:rPr>
                <w:rFonts w:cs="Aptos"/>
                <w:b w:val="0"/>
                <w:bCs w:val="0"/>
                <w:sz w:val="20"/>
                <w:szCs w:val="20"/>
              </w:rPr>
            </w:pPr>
            <w:r w:rsidRPr="00D63114" w:rsidDel="00B8596F">
              <w:rPr>
                <w:rFonts w:cs="Aptos"/>
                <w:b w:val="0"/>
                <w:bCs w:val="0"/>
                <w:sz w:val="20"/>
                <w:szCs w:val="20"/>
              </w:rPr>
              <w:t>6</w:t>
            </w:r>
          </w:p>
        </w:tc>
        <w:tc>
          <w:tcPr>
            <w:tcW w:w="1371" w:type="dxa"/>
          </w:tcPr>
          <w:p w14:paraId="47E95A7A" w14:textId="4E3E84AA" w:rsidR="00B8596F" w:rsidRPr="00A540AE" w:rsidDel="00B8596F" w:rsidRDefault="00B8596F" w:rsidP="00D63114">
            <w:pPr>
              <w:pStyle w:val="List2"/>
              <w:keepNext/>
              <w:keepLines/>
              <w:jc w:val="center"/>
              <w:cnfStyle w:val="000000000000" w:firstRow="0" w:lastRow="0" w:firstColumn="0" w:lastColumn="0" w:oddVBand="0" w:evenVBand="0" w:oddHBand="0" w:evenHBand="0" w:firstRowFirstColumn="0" w:firstRowLastColumn="0" w:lastRowFirstColumn="0" w:lastRowLastColumn="0"/>
              <w:rPr>
                <w:rFonts w:cs="Aptos"/>
                <w:sz w:val="20"/>
                <w:szCs w:val="20"/>
              </w:rPr>
            </w:pPr>
            <w:r w:rsidRPr="00A540AE" w:rsidDel="00B8596F">
              <w:rPr>
                <w:rFonts w:cs="Aptos"/>
                <w:sz w:val="20"/>
                <w:szCs w:val="20"/>
              </w:rPr>
              <w:t>01/01/</w:t>
            </w:r>
            <w:r w:rsidR="00C530E6" w:rsidRPr="00A540AE" w:rsidDel="00B8596F">
              <w:rPr>
                <w:rFonts w:cs="Aptos"/>
                <w:sz w:val="20"/>
                <w:szCs w:val="20"/>
              </w:rPr>
              <w:t>20</w:t>
            </w:r>
            <w:r w:rsidR="00C530E6" w:rsidRPr="00A540AE">
              <w:rPr>
                <w:rFonts w:cs="Aptos"/>
                <w:sz w:val="20"/>
                <w:szCs w:val="20"/>
              </w:rPr>
              <w:t>30</w:t>
            </w:r>
          </w:p>
        </w:tc>
        <w:tc>
          <w:tcPr>
            <w:tcW w:w="1371" w:type="dxa"/>
          </w:tcPr>
          <w:p w14:paraId="5E40D967" w14:textId="4F745442" w:rsidR="00B8596F" w:rsidRPr="00A540AE" w:rsidDel="00B8596F" w:rsidRDefault="00B8596F" w:rsidP="00D63114">
            <w:pPr>
              <w:pStyle w:val="List2"/>
              <w:keepNext/>
              <w:keepLines/>
              <w:jc w:val="center"/>
              <w:cnfStyle w:val="000000000000" w:firstRow="0" w:lastRow="0" w:firstColumn="0" w:lastColumn="0" w:oddVBand="0" w:evenVBand="0" w:oddHBand="0" w:evenHBand="0" w:firstRowFirstColumn="0" w:firstRowLastColumn="0" w:lastRowFirstColumn="0" w:lastRowLastColumn="0"/>
              <w:rPr>
                <w:rFonts w:cs="Aptos"/>
                <w:sz w:val="20"/>
                <w:szCs w:val="20"/>
              </w:rPr>
            </w:pPr>
            <w:r w:rsidRPr="00A540AE" w:rsidDel="00B8596F">
              <w:rPr>
                <w:rFonts w:cs="Aptos"/>
                <w:sz w:val="20"/>
                <w:szCs w:val="20"/>
              </w:rPr>
              <w:t>31/12/</w:t>
            </w:r>
            <w:r w:rsidR="00C530E6" w:rsidRPr="00A540AE" w:rsidDel="00B8596F">
              <w:rPr>
                <w:rFonts w:cs="Aptos"/>
                <w:sz w:val="20"/>
                <w:szCs w:val="20"/>
              </w:rPr>
              <w:t>20</w:t>
            </w:r>
            <w:r w:rsidR="00C530E6" w:rsidRPr="00A540AE">
              <w:rPr>
                <w:rFonts w:cs="Aptos"/>
                <w:sz w:val="20"/>
                <w:szCs w:val="20"/>
              </w:rPr>
              <w:t>3</w:t>
            </w:r>
            <w:r w:rsidR="00A44181" w:rsidRPr="00A540AE">
              <w:rPr>
                <w:rFonts w:cs="Aptos"/>
                <w:sz w:val="20"/>
                <w:szCs w:val="20"/>
              </w:rPr>
              <w:t>0</w:t>
            </w:r>
          </w:p>
        </w:tc>
        <w:tc>
          <w:tcPr>
            <w:tcW w:w="4066" w:type="dxa"/>
          </w:tcPr>
          <w:p w14:paraId="78E13183" w14:textId="77777777" w:rsidR="00B8596F" w:rsidRPr="00A540AE" w:rsidDel="00B8596F" w:rsidRDefault="00B8596F" w:rsidP="00D63114">
            <w:pPr>
              <w:pStyle w:val="List2"/>
              <w:keepNext/>
              <w:keepLines/>
              <w:cnfStyle w:val="000000000000" w:firstRow="0" w:lastRow="0" w:firstColumn="0" w:lastColumn="0" w:oddVBand="0" w:evenVBand="0" w:oddHBand="0" w:evenHBand="0" w:firstRowFirstColumn="0" w:firstRowLastColumn="0" w:lastRowFirstColumn="0" w:lastRowLastColumn="0"/>
              <w:rPr>
                <w:rFonts w:cs="Aptos"/>
                <w:sz w:val="20"/>
                <w:szCs w:val="20"/>
              </w:rPr>
            </w:pPr>
            <w:r w:rsidRPr="00A540AE" w:rsidDel="00B8596F">
              <w:rPr>
                <w:rFonts w:cs="Aptos"/>
                <w:sz w:val="20"/>
                <w:szCs w:val="20"/>
              </w:rPr>
              <w:t>Geotechnical and geological studies</w:t>
            </w:r>
          </w:p>
        </w:tc>
        <w:tc>
          <w:tcPr>
            <w:tcW w:w="2086" w:type="dxa"/>
          </w:tcPr>
          <w:p w14:paraId="72355A69" w14:textId="4F40BDDB" w:rsidR="00B8596F" w:rsidRPr="00A540AE" w:rsidDel="00B8596F" w:rsidRDefault="00705ED5" w:rsidP="00D63114">
            <w:pPr>
              <w:pStyle w:val="List2"/>
              <w:keepNext/>
              <w:keepLines/>
              <w:jc w:val="center"/>
              <w:cnfStyle w:val="000000000000" w:firstRow="0" w:lastRow="0" w:firstColumn="0" w:lastColumn="0" w:oddVBand="0" w:evenVBand="0" w:oddHBand="0" w:evenHBand="0" w:firstRowFirstColumn="0" w:firstRowLastColumn="0" w:lastRowFirstColumn="0" w:lastRowLastColumn="0"/>
              <w:rPr>
                <w:rFonts w:cs="Aptos"/>
                <w:sz w:val="20"/>
                <w:szCs w:val="20"/>
              </w:rPr>
            </w:pPr>
            <w:r>
              <w:rPr>
                <w:rFonts w:cs="Aptos"/>
                <w:sz w:val="20"/>
                <w:szCs w:val="20"/>
              </w:rPr>
              <w:t>0</w:t>
            </w:r>
            <w:r w:rsidR="00B8596F" w:rsidRPr="00A540AE" w:rsidDel="00B8596F">
              <w:rPr>
                <w:rFonts w:cs="Aptos"/>
                <w:sz w:val="20"/>
                <w:szCs w:val="20"/>
              </w:rPr>
              <w:t>,000,000</w:t>
            </w:r>
          </w:p>
        </w:tc>
      </w:tr>
    </w:tbl>
    <w:p w14:paraId="1C049435" w14:textId="77777777" w:rsidR="00A87BB4" w:rsidRDefault="00A87BB4" w:rsidP="00D63114"/>
    <w:p w14:paraId="0FF14BB2" w14:textId="402CE4E7" w:rsidR="00F75E1E" w:rsidRDefault="00903913" w:rsidP="007507EE">
      <w:pPr>
        <w:numPr>
          <w:ilvl w:val="1"/>
          <w:numId w:val="12"/>
        </w:numPr>
        <w:spacing w:before="0"/>
        <w:ind w:left="851" w:hanging="716"/>
      </w:pPr>
      <w:r w:rsidRPr="00E62BC2">
        <w:t>The proposed work program for the six-year term must be consistent with the exploration strategy and underpinned by the technical evaluation of the</w:t>
      </w:r>
      <w:r w:rsidR="006449FF">
        <w:t xml:space="preserve"> release</w:t>
      </w:r>
      <w:r w:rsidRPr="00E62BC2">
        <w:t xml:space="preserve"> area</w:t>
      </w:r>
      <w:r w:rsidR="0047149D">
        <w:t>.</w:t>
      </w:r>
    </w:p>
    <w:p w14:paraId="0955DDD9" w14:textId="77777777" w:rsidR="00F75E1E" w:rsidRDefault="00903913" w:rsidP="007507EE">
      <w:pPr>
        <w:numPr>
          <w:ilvl w:val="1"/>
          <w:numId w:val="12"/>
        </w:numPr>
        <w:spacing w:before="0"/>
        <w:ind w:left="851" w:hanging="716"/>
      </w:pPr>
      <w:r w:rsidRPr="00E62BC2">
        <w:t>The proposed work program should be regarded as significantly advancing the exploration effort.</w:t>
      </w:r>
    </w:p>
    <w:p w14:paraId="0158F670" w14:textId="77777777" w:rsidR="00F75E1E" w:rsidRDefault="00903913" w:rsidP="007507EE">
      <w:pPr>
        <w:numPr>
          <w:ilvl w:val="1"/>
          <w:numId w:val="12"/>
        </w:numPr>
        <w:spacing w:before="0"/>
        <w:ind w:left="851" w:hanging="716"/>
      </w:pPr>
      <w:r w:rsidRPr="00E62BC2">
        <w:t>The early elements of the proposed work program should be sufficient to enable the later elements to proceed and be aligned with the exploration strategy. This includes the need for the number and timing of wells to be justifiable and be supported by the number and maturity of plays, prospects and/or leads identified i.e. the work program should be pursuable on a dry hole basis.</w:t>
      </w:r>
    </w:p>
    <w:p w14:paraId="685A3846" w14:textId="77777777" w:rsidR="00F75E1E" w:rsidRDefault="00903913" w:rsidP="007507EE">
      <w:pPr>
        <w:numPr>
          <w:ilvl w:val="1"/>
          <w:numId w:val="12"/>
        </w:numPr>
        <w:spacing w:before="0"/>
        <w:ind w:left="851" w:hanging="716"/>
      </w:pPr>
      <w:r w:rsidRPr="00E62BC2">
        <w:t>Proposed work program activities should only include work that will be undertaken within the permit area. Any work, studies or reprocessing proposed outside the permit area, must be clearly differentiated.</w:t>
      </w:r>
    </w:p>
    <w:p w14:paraId="5E8164EB" w14:textId="77777777" w:rsidR="00F75E1E" w:rsidRPr="00140DBA" w:rsidRDefault="00903913" w:rsidP="007507EE">
      <w:pPr>
        <w:numPr>
          <w:ilvl w:val="1"/>
          <w:numId w:val="12"/>
        </w:numPr>
        <w:spacing w:before="0"/>
        <w:ind w:left="851" w:hanging="716"/>
      </w:pPr>
      <w:r w:rsidRPr="00E62BC2">
        <w:t xml:space="preserve">Work intended to appraise a known petroleum accumulation in an area may form part of the proposed work program. However, appraisal activities must be clearly differentiated from </w:t>
      </w:r>
      <w:r w:rsidRPr="00140DBA">
        <w:t>exploration activities.</w:t>
      </w:r>
    </w:p>
    <w:p w14:paraId="158BFE45" w14:textId="07839896" w:rsidR="00B35D8A" w:rsidRPr="00E41D24" w:rsidRDefault="00903913" w:rsidP="007507EE">
      <w:pPr>
        <w:numPr>
          <w:ilvl w:val="1"/>
          <w:numId w:val="12"/>
        </w:numPr>
        <w:spacing w:before="0"/>
        <w:ind w:left="851" w:hanging="716"/>
      </w:pPr>
      <w:r w:rsidRPr="00140DBA">
        <w:t xml:space="preserve">Work associated with a known petroleum accumulation will only be considered as exploration work if the applicant provides a sufficient rationale to support an assessment that </w:t>
      </w:r>
      <w:r w:rsidRPr="00E41D24">
        <w:t xml:space="preserve">the activity </w:t>
      </w:r>
      <w:r w:rsidRPr="00E41D24">
        <w:lastRenderedPageBreak/>
        <w:t>includes a significant exploration component. This rationale should be consistent with the overall exploration strategy and underpinned by the technical evaluation of the area.</w:t>
      </w:r>
    </w:p>
    <w:p w14:paraId="3CA658A5" w14:textId="4F18E285" w:rsidR="00045440" w:rsidRPr="00E41D24" w:rsidRDefault="00D427A2" w:rsidP="00A60F7E">
      <w:pPr>
        <w:pStyle w:val="ListParagraph"/>
        <w:numPr>
          <w:ilvl w:val="1"/>
          <w:numId w:val="12"/>
        </w:numPr>
        <w:ind w:left="851" w:hanging="716"/>
      </w:pPr>
      <w:r w:rsidRPr="00E41D24">
        <w:t xml:space="preserve">A proposed work program may include activities to </w:t>
      </w:r>
      <w:r w:rsidR="00045440" w:rsidRPr="00E41D24">
        <w:t>explore for a potential greenhouse gas formation and injection site</w:t>
      </w:r>
      <w:r w:rsidRPr="00E41D24">
        <w:t>.</w:t>
      </w:r>
      <w:r w:rsidR="00045440" w:rsidRPr="00E41D24">
        <w:t xml:space="preserve"> However, </w:t>
      </w:r>
      <w:r w:rsidRPr="00E41D24">
        <w:t>these activities</w:t>
      </w:r>
      <w:r w:rsidR="00045440" w:rsidRPr="00E41D24">
        <w:t xml:space="preserve"> must clearly be differentiated from petroleum exploration activities. Applicants should also be mindful of the </w:t>
      </w:r>
      <w:r w:rsidR="007E2634" w:rsidRPr="00E41D24">
        <w:t xml:space="preserve">notification </w:t>
      </w:r>
      <w:r w:rsidR="00045440" w:rsidRPr="00E41D24">
        <w:t xml:space="preserve">requirements outlined in Part 6 of the </w:t>
      </w:r>
      <w:r w:rsidR="00045440" w:rsidRPr="00E41D24">
        <w:rPr>
          <w:i/>
          <w:iCs/>
        </w:rPr>
        <w:t>Offshore Petroleum and Greenhouse Gas (Resource Management and Administration) Regulations 20</w:t>
      </w:r>
      <w:r w:rsidR="006973C1" w:rsidRPr="00E41D24">
        <w:rPr>
          <w:i/>
          <w:iCs/>
        </w:rPr>
        <w:t>11</w:t>
      </w:r>
      <w:r w:rsidR="00CC3D50" w:rsidRPr="00E41D24">
        <w:rPr>
          <w:i/>
          <w:iCs/>
        </w:rPr>
        <w:t xml:space="preserve"> </w:t>
      </w:r>
      <w:r w:rsidR="00CC3D50" w:rsidRPr="00E41D24">
        <w:t>(RMA Regulations)</w:t>
      </w:r>
      <w:r w:rsidR="00A60F7E" w:rsidRPr="00E41D24">
        <w:t xml:space="preserve">, and that </w:t>
      </w:r>
      <w:r w:rsidRPr="00E41D24">
        <w:t xml:space="preserve">the </w:t>
      </w:r>
      <w:r w:rsidR="00A60F7E" w:rsidRPr="00E41D24">
        <w:t>right to apply for a declaration of identified GHG storage formation does not extend to petroleum exploration permit holders (see section 1.</w:t>
      </w:r>
      <w:r w:rsidR="007F0451" w:rsidRPr="007F0451">
        <w:t>3</w:t>
      </w:r>
      <w:r w:rsidR="00A60F7E" w:rsidRPr="007F0451">
        <w:t xml:space="preserve">) </w:t>
      </w:r>
      <w:r w:rsidR="00042046" w:rsidRPr="001E75D7">
        <w:t>who</w:t>
      </w:r>
      <w:r w:rsidR="00A60F7E" w:rsidRPr="001E75D7">
        <w:t xml:space="preserve"> cannot apply for a GHG holding lease or GHG injection licence.</w:t>
      </w:r>
    </w:p>
    <w:p w14:paraId="5D0EF17B" w14:textId="77777777" w:rsidR="00633B48" w:rsidRPr="00E41D24" w:rsidRDefault="00903913" w:rsidP="00633B48">
      <w:pPr>
        <w:numPr>
          <w:ilvl w:val="1"/>
          <w:numId w:val="12"/>
        </w:numPr>
        <w:spacing w:before="0"/>
        <w:ind w:left="851" w:hanging="716"/>
      </w:pPr>
      <w:r w:rsidRPr="0052404A">
        <w:t>Activities such as the preparation of environment plans, field development plans, resource certification and similar activities, are not considered to be exploration</w:t>
      </w:r>
      <w:r w:rsidRPr="00140DBA">
        <w:t xml:space="preserve"> or appraisal activities, and therefore will not be assessed as part of the bid or be included on the title </w:t>
      </w:r>
      <w:r w:rsidRPr="00E41D24">
        <w:t>instrument (if awarded). These activities must be clearly differentiated.</w:t>
      </w:r>
    </w:p>
    <w:p w14:paraId="253AC0C9" w14:textId="77777777" w:rsidR="0062160C" w:rsidRDefault="00633B48" w:rsidP="00633B48">
      <w:pPr>
        <w:numPr>
          <w:ilvl w:val="1"/>
          <w:numId w:val="12"/>
        </w:numPr>
        <w:spacing w:before="0"/>
        <w:ind w:left="851" w:hanging="716"/>
      </w:pPr>
      <w:r w:rsidRPr="00E41D24">
        <w:t xml:space="preserve">The minimum acceptable work program for an area will vary depending on the size of the area, its perceived prospectivity, data availability and its location. </w:t>
      </w:r>
    </w:p>
    <w:p w14:paraId="11CB09AC" w14:textId="0531A173" w:rsidR="00633B48" w:rsidRPr="00E41D24" w:rsidRDefault="00BE1FA3" w:rsidP="00633B48">
      <w:pPr>
        <w:numPr>
          <w:ilvl w:val="1"/>
          <w:numId w:val="12"/>
        </w:numPr>
        <w:spacing w:before="0"/>
        <w:ind w:left="851" w:hanging="716"/>
      </w:pPr>
      <w:r w:rsidRPr="00E41D24">
        <w:t xml:space="preserve">If a work-bid includes </w:t>
      </w:r>
      <w:r w:rsidR="00FB54D6" w:rsidRPr="00E41D24">
        <w:t xml:space="preserve">new </w:t>
      </w:r>
      <w:r w:rsidR="00633B48" w:rsidRPr="00E41D24">
        <w:t>seismic</w:t>
      </w:r>
      <w:r w:rsidR="009325D2" w:rsidRPr="00E41D24">
        <w:t xml:space="preserve"> data</w:t>
      </w:r>
      <w:r w:rsidRPr="00E41D24">
        <w:t xml:space="preserve"> acquisition</w:t>
      </w:r>
      <w:r w:rsidR="00633B48" w:rsidRPr="00E41D24">
        <w:t xml:space="preserve">, the bid must clearly </w:t>
      </w:r>
      <w:r w:rsidRPr="00E41D24">
        <w:t>describe</w:t>
      </w:r>
      <w:r w:rsidR="00633B48" w:rsidRPr="00E41D24">
        <w:t xml:space="preserve"> the following:</w:t>
      </w:r>
    </w:p>
    <w:p w14:paraId="353ECBD9" w14:textId="4CB203E8" w:rsidR="00633B48" w:rsidRPr="00E41D24" w:rsidRDefault="00633B48" w:rsidP="00633B48">
      <w:pPr>
        <w:pStyle w:val="ListParagraph"/>
        <w:numPr>
          <w:ilvl w:val="2"/>
          <w:numId w:val="12"/>
        </w:numPr>
        <w:ind w:left="1418" w:hanging="425"/>
      </w:pPr>
      <w:r w:rsidRPr="00E41D24">
        <w:t>Whether all existing data options i.e.</w:t>
      </w:r>
      <w:r w:rsidR="009325D2" w:rsidRPr="00E41D24">
        <w:t xml:space="preserve"> new</w:t>
      </w:r>
      <w:r w:rsidRPr="00E41D24">
        <w:t xml:space="preserve"> reprocessing</w:t>
      </w:r>
      <w:r w:rsidR="009325D2" w:rsidRPr="00E41D24">
        <w:t xml:space="preserve"> or </w:t>
      </w:r>
      <w:r w:rsidRPr="00E41D24">
        <w:t>licenc</w:t>
      </w:r>
      <w:r w:rsidR="009325D2" w:rsidRPr="00E41D24">
        <w:t>ing</w:t>
      </w:r>
      <w:r w:rsidRPr="00E41D24">
        <w:t xml:space="preserve"> reprocess</w:t>
      </w:r>
      <w:r w:rsidR="009325D2" w:rsidRPr="00E41D24">
        <w:t>ed</w:t>
      </w:r>
      <w:r w:rsidR="008619FC" w:rsidRPr="00E41D24">
        <w:t xml:space="preserve"> </w:t>
      </w:r>
      <w:r w:rsidR="00624DF5" w:rsidRPr="00E41D24">
        <w:t xml:space="preserve">data </w:t>
      </w:r>
      <w:r w:rsidRPr="00E41D24">
        <w:t>been exhausted.</w:t>
      </w:r>
    </w:p>
    <w:p w14:paraId="451F1ECC" w14:textId="77777777" w:rsidR="00633B48" w:rsidRPr="00E41D24" w:rsidRDefault="00633B48" w:rsidP="00633B48">
      <w:pPr>
        <w:pStyle w:val="ListParagraph"/>
        <w:numPr>
          <w:ilvl w:val="2"/>
          <w:numId w:val="12"/>
        </w:numPr>
        <w:ind w:left="1418" w:hanging="425"/>
      </w:pPr>
      <w:r w:rsidRPr="00E41D24">
        <w:t>Consideration as to possible alternatives or opportunities to acquiring new seismic.</w:t>
      </w:r>
    </w:p>
    <w:p w14:paraId="55ED3F37" w14:textId="7020E8A5" w:rsidR="00633B48" w:rsidRPr="00E41D24" w:rsidRDefault="00633B48" w:rsidP="00633B48">
      <w:pPr>
        <w:pStyle w:val="ListParagraph"/>
        <w:numPr>
          <w:ilvl w:val="2"/>
          <w:numId w:val="12"/>
        </w:numPr>
        <w:ind w:left="1418" w:hanging="425"/>
      </w:pPr>
      <w:r w:rsidRPr="00E41D24">
        <w:t xml:space="preserve">For bids with seismic in the first three years, justification as to why the acquisition of new seismic </w:t>
      </w:r>
      <w:r w:rsidR="00FB54D6" w:rsidRPr="00E41D24">
        <w:t xml:space="preserve">data </w:t>
      </w:r>
      <w:r w:rsidRPr="00E41D24">
        <w:t>must be undertaken in the primary term as a commitment.</w:t>
      </w:r>
    </w:p>
    <w:p w14:paraId="02C77F92" w14:textId="191969C1" w:rsidR="00903913" w:rsidRPr="00E41D24" w:rsidRDefault="00903913" w:rsidP="007507EE">
      <w:pPr>
        <w:numPr>
          <w:ilvl w:val="1"/>
          <w:numId w:val="12"/>
        </w:numPr>
        <w:spacing w:before="0"/>
        <w:ind w:left="851" w:hanging="716"/>
      </w:pPr>
      <w:bookmarkStart w:id="122" w:name="_Ref183681201"/>
      <w:r w:rsidRPr="00E41D24" w:rsidDel="00EB4909">
        <w:t xml:space="preserve">Where </w:t>
      </w:r>
      <w:r w:rsidR="006620A9" w:rsidRPr="00E41D24">
        <w:t xml:space="preserve">a permit </w:t>
      </w:r>
      <w:r w:rsidR="001F0605" w:rsidRPr="00E41D24">
        <w:t>area</w:t>
      </w:r>
      <w:r w:rsidRPr="00E41D24" w:rsidDel="00EB4909">
        <w:t xml:space="preserve"> is</w:t>
      </w:r>
      <w:r w:rsidR="001F0605" w:rsidRPr="00E41D24">
        <w:t xml:space="preserve"> substantially</w:t>
      </w:r>
      <w:r w:rsidRPr="00E41D24" w:rsidDel="00EB4909">
        <w:t xml:space="preserve"> covered by 3D seismic data, </w:t>
      </w:r>
      <w:r w:rsidR="001F0605" w:rsidRPr="00E41D24">
        <w:t xml:space="preserve">reprocessing this data or </w:t>
      </w:r>
      <w:r w:rsidR="004614FD" w:rsidRPr="00E41D24">
        <w:t>licencing</w:t>
      </w:r>
      <w:r w:rsidR="00436AFD" w:rsidRPr="00E41D24">
        <w:t xml:space="preserve"> reprocessed </w:t>
      </w:r>
      <w:r w:rsidRPr="00E41D24" w:rsidDel="00EB4909">
        <w:t xml:space="preserve">data </w:t>
      </w:r>
      <w:r w:rsidR="005B00D4" w:rsidRPr="00E41D24">
        <w:t>is</w:t>
      </w:r>
      <w:r w:rsidR="00EF5964" w:rsidRPr="00E41D24">
        <w:t xml:space="preserve"> </w:t>
      </w:r>
      <w:r w:rsidR="00462330" w:rsidRPr="00E41D24">
        <w:t>generally</w:t>
      </w:r>
      <w:r w:rsidR="00EF5964" w:rsidRPr="00E41D24" w:rsidDel="00EB4909">
        <w:t xml:space="preserve"> expected to</w:t>
      </w:r>
      <w:r w:rsidR="00E64FE4" w:rsidRPr="00E41D24" w:rsidDel="00EB4909">
        <w:t xml:space="preserve"> </w:t>
      </w:r>
      <w:r w:rsidRPr="00E41D24" w:rsidDel="00EB4909">
        <w:t xml:space="preserve">form part of the proposed </w:t>
      </w:r>
      <w:r w:rsidR="00027275" w:rsidRPr="00E41D24">
        <w:t xml:space="preserve">primary term </w:t>
      </w:r>
      <w:r w:rsidRPr="00E41D24" w:rsidDel="00EB4909">
        <w:t>work program</w:t>
      </w:r>
      <w:r w:rsidR="00E47B4D" w:rsidRPr="00E41D24">
        <w:t xml:space="preserve"> and should be undertaken before acquiring new seismic data</w:t>
      </w:r>
      <w:r w:rsidRPr="00E41D24" w:rsidDel="00EB4909">
        <w:t xml:space="preserve">. </w:t>
      </w:r>
      <w:r w:rsidR="00027275" w:rsidRPr="00E41D24">
        <w:t>R</w:t>
      </w:r>
      <w:r w:rsidRPr="00E41D24">
        <w:t xml:space="preserve">eprocessing </w:t>
      </w:r>
      <w:r w:rsidR="00462330" w:rsidRPr="00E41D24">
        <w:t xml:space="preserve">the </w:t>
      </w:r>
      <w:r w:rsidR="00A80C6C" w:rsidRPr="00E41D24">
        <w:t xml:space="preserve">data </w:t>
      </w:r>
      <w:r w:rsidRPr="00E41D24">
        <w:t xml:space="preserve">would normally be expected to be from raw data or the </w:t>
      </w:r>
      <w:r w:rsidR="00AC4820" w:rsidRPr="00E41D24">
        <w:t>quality-controlled</w:t>
      </w:r>
      <w:r w:rsidRPr="00E41D24">
        <w:t xml:space="preserve"> traces</w:t>
      </w:r>
      <w:r w:rsidR="002E47FD" w:rsidRPr="00E41D24">
        <w:t xml:space="preserve"> </w:t>
      </w:r>
      <w:r w:rsidRPr="00E41D24">
        <w:t>and to u</w:t>
      </w:r>
      <w:r w:rsidR="00A80C6C" w:rsidRPr="00E41D24">
        <w:t>se</w:t>
      </w:r>
      <w:r w:rsidRPr="00E41D24">
        <w:t xml:space="preserve"> techniques not previously undertaken on </w:t>
      </w:r>
      <w:r w:rsidR="00BE5D19" w:rsidRPr="00E41D24">
        <w:t xml:space="preserve">the </w:t>
      </w:r>
      <w:r w:rsidRPr="00E41D24">
        <w:t>seismic data within the permit area.</w:t>
      </w:r>
      <w:bookmarkEnd w:id="122"/>
    </w:p>
    <w:p w14:paraId="51FCA9E4" w14:textId="1142DDDF" w:rsidR="00995B1D" w:rsidRPr="00E41D24" w:rsidRDefault="00903913" w:rsidP="007507EE">
      <w:pPr>
        <w:numPr>
          <w:ilvl w:val="1"/>
          <w:numId w:val="12"/>
        </w:numPr>
        <w:spacing w:before="0"/>
        <w:ind w:left="851" w:hanging="716"/>
      </w:pPr>
      <w:r w:rsidRPr="00E41D24">
        <w:t>It is expected that at least one exploration well will be proposed during the initial six-year permit term for well-explored areas with good data coverage.</w:t>
      </w:r>
    </w:p>
    <w:p w14:paraId="650E8371" w14:textId="77777777" w:rsidR="00903913" w:rsidRPr="00E62BC2" w:rsidRDefault="00903913" w:rsidP="007507EE">
      <w:pPr>
        <w:numPr>
          <w:ilvl w:val="1"/>
          <w:numId w:val="12"/>
        </w:numPr>
        <w:spacing w:before="0"/>
        <w:ind w:left="851" w:hanging="716"/>
      </w:pPr>
      <w:r w:rsidRPr="00E62BC2">
        <w:t>The description of the proposed work program should include:</w:t>
      </w:r>
    </w:p>
    <w:p w14:paraId="78D56A4D" w14:textId="77777777" w:rsidR="00E3760D" w:rsidRPr="00E64FE4" w:rsidRDefault="001A3572" w:rsidP="007507EE">
      <w:pPr>
        <w:pStyle w:val="ListParagraph"/>
        <w:numPr>
          <w:ilvl w:val="2"/>
          <w:numId w:val="12"/>
        </w:numPr>
        <w:ind w:left="1418" w:hanging="425"/>
      </w:pPr>
      <w:r w:rsidRPr="00E64FE4">
        <w:t>Indicative expenditure in Australian dollars for each activity at current market value.</w:t>
      </w:r>
      <w:r>
        <w:t xml:space="preserve"> C</w:t>
      </w:r>
      <w:r w:rsidRPr="00E64FE4">
        <w:t xml:space="preserve">alculations </w:t>
      </w:r>
      <w:r>
        <w:t>for o</w:t>
      </w:r>
      <w:r w:rsidRPr="00E64FE4">
        <w:t>perational activities</w:t>
      </w:r>
      <w:r>
        <w:t xml:space="preserve"> should </w:t>
      </w:r>
      <w:r w:rsidRPr="00E64FE4">
        <w:t>detail how the cost of the activities ha</w:t>
      </w:r>
      <w:r>
        <w:t>ve</w:t>
      </w:r>
      <w:r w:rsidRPr="00E64FE4">
        <w:t xml:space="preserve"> been estimated.</w:t>
      </w:r>
      <w:r>
        <w:t xml:space="preserve"> </w:t>
      </w:r>
    </w:p>
    <w:p w14:paraId="45673771" w14:textId="3AFDA432" w:rsidR="00336BBC" w:rsidRDefault="4D072DA9" w:rsidP="007507EE">
      <w:pPr>
        <w:pStyle w:val="ListParagraph"/>
        <w:numPr>
          <w:ilvl w:val="2"/>
          <w:numId w:val="12"/>
        </w:numPr>
        <w:ind w:left="1418" w:hanging="425"/>
      </w:pPr>
      <w:r>
        <w:t xml:space="preserve">The amount, type and details of the applicable dataset of any new </w:t>
      </w:r>
      <w:r w:rsidR="2DAC430A">
        <w:t xml:space="preserve">processing or </w:t>
      </w:r>
      <w:r>
        <w:t>reprocessing the applicant proposes to undertake, including:</w:t>
      </w:r>
    </w:p>
    <w:p w14:paraId="32EBD280" w14:textId="5E749345" w:rsidR="00903913" w:rsidRPr="00F203D0" w:rsidRDefault="4D072DA9" w:rsidP="005B1B03">
      <w:pPr>
        <w:pStyle w:val="ListParagraph"/>
        <w:numPr>
          <w:ilvl w:val="3"/>
          <w:numId w:val="23"/>
        </w:numPr>
        <w:ind w:left="1843" w:hanging="425"/>
      </w:pPr>
      <w:r>
        <w:t xml:space="preserve">The number of line kilometres of 2D and/or square kilometres of 3D seismic data that will be </w:t>
      </w:r>
      <w:r w:rsidR="671CFB50">
        <w:t xml:space="preserve">processed and/or </w:t>
      </w:r>
      <w:r>
        <w:t>reprocessed within the permit area clearly stated.</w:t>
      </w:r>
    </w:p>
    <w:p w14:paraId="1BF74E12" w14:textId="77777777" w:rsidR="00903913" w:rsidRPr="00F203D0" w:rsidRDefault="00903913" w:rsidP="001A4C3E">
      <w:pPr>
        <w:pStyle w:val="ListParagraph"/>
        <w:numPr>
          <w:ilvl w:val="3"/>
          <w:numId w:val="23"/>
        </w:numPr>
        <w:ind w:left="1843" w:hanging="425"/>
      </w:pPr>
      <w:r w:rsidRPr="00F203D0">
        <w:t>A map showing the indicative location of the 2D lines or 3D survey outline. All existing seismic surveys should be identified on this map.</w:t>
      </w:r>
    </w:p>
    <w:p w14:paraId="37CDFF86" w14:textId="77777777" w:rsidR="00BE36FE" w:rsidRPr="000A6C5D" w:rsidRDefault="00903913" w:rsidP="007507EE">
      <w:pPr>
        <w:pStyle w:val="ListParagraph"/>
        <w:numPr>
          <w:ilvl w:val="2"/>
          <w:numId w:val="12"/>
        </w:numPr>
        <w:ind w:left="1418" w:hanging="425"/>
      </w:pPr>
      <w:r w:rsidRPr="000A6C5D" w:rsidDel="00DC0B53">
        <w:t>If known, the parameters and methodology of the reprocessing that will be undertaken.</w:t>
      </w:r>
      <w:r w:rsidR="00A6588E" w:rsidRPr="000A6C5D">
        <w:t xml:space="preserve"> </w:t>
      </w:r>
      <w:r w:rsidR="007316A9" w:rsidRPr="000A6C5D">
        <w:t>The licensing or use of any existing exclusive or non-exclusive datasets and, if applicable, how these are proposed to be used in conjunction with any reprocessing or geophysical studies proposed in the work program.</w:t>
      </w:r>
    </w:p>
    <w:p w14:paraId="7BBB63D3" w14:textId="3B90A9C7" w:rsidR="00903913" w:rsidRPr="00E64FE4" w:rsidRDefault="00903913" w:rsidP="007507EE">
      <w:pPr>
        <w:pStyle w:val="ListParagraph"/>
        <w:numPr>
          <w:ilvl w:val="2"/>
          <w:numId w:val="12"/>
        </w:numPr>
        <w:ind w:left="1418" w:hanging="425"/>
      </w:pPr>
      <w:r w:rsidRPr="00E64FE4">
        <w:t>The number of exploration wells proposed, including indicative plays and target play levels.</w:t>
      </w:r>
    </w:p>
    <w:p w14:paraId="5EF19720" w14:textId="77777777" w:rsidR="00903913" w:rsidRPr="00E64FE4" w:rsidRDefault="00903913" w:rsidP="007507EE">
      <w:pPr>
        <w:pStyle w:val="ListParagraph"/>
        <w:numPr>
          <w:ilvl w:val="2"/>
          <w:numId w:val="12"/>
        </w:numPr>
        <w:ind w:left="1418" w:hanging="425"/>
      </w:pPr>
      <w:r w:rsidRPr="00E64FE4">
        <w:t>The nature, scope and objectives of all proposed studies.</w:t>
      </w:r>
    </w:p>
    <w:p w14:paraId="2537ECF7" w14:textId="77777777" w:rsidR="00903913" w:rsidRDefault="00903913" w:rsidP="007507EE">
      <w:pPr>
        <w:pStyle w:val="ListParagraph"/>
        <w:numPr>
          <w:ilvl w:val="2"/>
          <w:numId w:val="12"/>
        </w:numPr>
        <w:ind w:left="1418" w:hanging="425"/>
      </w:pPr>
      <w:r w:rsidRPr="00E64FE4">
        <w:lastRenderedPageBreak/>
        <w:t>Descriptions and the conceptual locations/targets/purpose of other operational activity or surveying proposed.</w:t>
      </w:r>
    </w:p>
    <w:p w14:paraId="786ED081" w14:textId="5BC86FCC" w:rsidR="00903913" w:rsidRPr="0054167A" w:rsidDel="007316A9" w:rsidRDefault="00903913" w:rsidP="002E47FD">
      <w:pPr>
        <w:pStyle w:val="Heading4"/>
      </w:pPr>
      <w:bookmarkStart w:id="123" w:name="_Hlk174546341"/>
      <w:bookmarkStart w:id="124" w:name="_Toc81487630"/>
      <w:bookmarkStart w:id="125" w:name="_Toc83042912"/>
      <w:bookmarkStart w:id="126" w:name="_Toc83395025"/>
      <w:bookmarkStart w:id="127" w:name="_Toc90044309"/>
      <w:r w:rsidRPr="0054167A" w:rsidDel="007316A9">
        <w:t xml:space="preserve">Important notes on treatment of </w:t>
      </w:r>
      <w:r w:rsidR="000323B3">
        <w:t xml:space="preserve">pre-bid </w:t>
      </w:r>
      <w:r w:rsidR="001015A9">
        <w:t>evaluation of data</w:t>
      </w:r>
      <w:bookmarkEnd w:id="123"/>
      <w:bookmarkEnd w:id="124"/>
      <w:bookmarkEnd w:id="125"/>
      <w:bookmarkEnd w:id="126"/>
      <w:bookmarkEnd w:id="127"/>
    </w:p>
    <w:p w14:paraId="4E41CA17" w14:textId="1B819A35" w:rsidR="00903913" w:rsidRPr="00E62BC2" w:rsidRDefault="00F26AE0" w:rsidP="007507EE">
      <w:pPr>
        <w:pStyle w:val="ListParagraph"/>
        <w:numPr>
          <w:ilvl w:val="1"/>
          <w:numId w:val="12"/>
        </w:numPr>
        <w:ind w:left="851" w:hanging="716"/>
      </w:pPr>
      <w:r>
        <w:t>R</w:t>
      </w:r>
      <w:r w:rsidR="00903913" w:rsidRPr="00E62BC2">
        <w:t>eprocessing and interpretation of existing</w:t>
      </w:r>
      <w:r w:rsidR="00FB54D6">
        <w:t xml:space="preserve"> seismic</w:t>
      </w:r>
      <w:r w:rsidR="00903913" w:rsidRPr="00E62BC2">
        <w:t xml:space="preserve"> data undertaken during the applicant’s pre-bid evaluation </w:t>
      </w:r>
      <w:r w:rsidR="008C593D">
        <w:t xml:space="preserve">of a release area </w:t>
      </w:r>
      <w:r w:rsidR="00903913" w:rsidRPr="00E62BC2">
        <w:t xml:space="preserve">will be </w:t>
      </w:r>
      <w:r w:rsidR="007316A9">
        <w:t>considered</w:t>
      </w:r>
      <w:r w:rsidR="00903913" w:rsidRPr="00E62BC2">
        <w:t xml:space="preserve"> in assessing the relative merit of proposed work program</w:t>
      </w:r>
      <w:r w:rsidR="000E4E09">
        <w:t>s where the</w:t>
      </w:r>
      <w:r w:rsidR="00A8266A">
        <w:t>re</w:t>
      </w:r>
      <w:r w:rsidR="000E4E09">
        <w:t xml:space="preserve"> are competing</w:t>
      </w:r>
      <w:r w:rsidR="00A8266A">
        <w:t xml:space="preserve"> bids for a release area</w:t>
      </w:r>
      <w:r w:rsidR="00903913" w:rsidRPr="00E62BC2">
        <w:t>.</w:t>
      </w:r>
    </w:p>
    <w:p w14:paraId="4CF2BD7B" w14:textId="4C458880" w:rsidR="00903913" w:rsidRDefault="00FB54D6" w:rsidP="007507EE">
      <w:pPr>
        <w:pStyle w:val="ListParagraph"/>
        <w:numPr>
          <w:ilvl w:val="1"/>
          <w:numId w:val="12"/>
        </w:numPr>
        <w:ind w:left="851" w:hanging="716"/>
      </w:pPr>
      <w:r>
        <w:t>If a</w:t>
      </w:r>
      <w:r w:rsidR="00903913" w:rsidRPr="00E62BC2">
        <w:t xml:space="preserve">n applicant licences </w:t>
      </w:r>
      <w:r w:rsidR="004625C2">
        <w:t xml:space="preserve">available </w:t>
      </w:r>
      <w:r w:rsidR="00903913" w:rsidRPr="00E62BC2">
        <w:t>multi-client data or</w:t>
      </w:r>
      <w:r w:rsidR="009C56CB">
        <w:t xml:space="preserve"> reprocesses available multi-client data as </w:t>
      </w:r>
      <w:r w:rsidR="00903913" w:rsidRPr="00E62BC2" w:rsidDel="00BE4E75">
        <w:t xml:space="preserve"> </w:t>
      </w:r>
      <w:r w:rsidR="00903913" w:rsidRPr="00E62BC2">
        <w:t xml:space="preserve">part of its pre-bid evaluation and does not propose </w:t>
      </w:r>
      <w:r>
        <w:t>that</w:t>
      </w:r>
      <w:r w:rsidRPr="00E62BC2">
        <w:t xml:space="preserve"> </w:t>
      </w:r>
      <w:r w:rsidR="00903913" w:rsidRPr="00E62BC2">
        <w:t xml:space="preserve">work as part of its </w:t>
      </w:r>
      <w:r w:rsidR="00BE4E75">
        <w:t xml:space="preserve">guaranteed </w:t>
      </w:r>
      <w:r w:rsidR="00903913" w:rsidRPr="00E62BC2">
        <w:t>work program, details of pre-bid evaluation work</w:t>
      </w:r>
      <w:r w:rsidR="00184305">
        <w:t xml:space="preserve"> should be provided and include</w:t>
      </w:r>
      <w:r w:rsidR="001C2A1A">
        <w:t xml:space="preserve"> details of</w:t>
      </w:r>
      <w:r w:rsidR="00903913" w:rsidRPr="00E62BC2">
        <w:t xml:space="preserve"> the extent of the work undertaken, the </w:t>
      </w:r>
      <w:r w:rsidR="001C2A1A">
        <w:t xml:space="preserve">results </w:t>
      </w:r>
      <w:r w:rsidR="00903913" w:rsidRPr="00E62BC2">
        <w:t xml:space="preserve"> and how this has informed the exploration strategy and proposed work program.</w:t>
      </w:r>
    </w:p>
    <w:p w14:paraId="42210035" w14:textId="77777777" w:rsidR="009C56CB" w:rsidRPr="00E62BC2" w:rsidRDefault="009C56CB" w:rsidP="00E70015">
      <w:pPr>
        <w:pStyle w:val="ListParagraph"/>
        <w:ind w:left="851"/>
      </w:pPr>
    </w:p>
    <w:p w14:paraId="175BEB75" w14:textId="77777777" w:rsidR="00903913" w:rsidRPr="0028017D" w:rsidDel="007316A9" w:rsidRDefault="00903913" w:rsidP="00786801">
      <w:pPr>
        <w:pStyle w:val="Heading4"/>
        <w:ind w:left="135"/>
      </w:pPr>
      <w:bookmarkStart w:id="128" w:name="_Toc81487631"/>
      <w:bookmarkStart w:id="129" w:name="_Toc83042913"/>
      <w:bookmarkStart w:id="130" w:name="_Toc83395026"/>
      <w:bookmarkStart w:id="131" w:name="_Toc90044310"/>
      <w:bookmarkStart w:id="132" w:name="_Hlk174546373"/>
      <w:r w:rsidRPr="00354BED" w:rsidDel="007316A9">
        <w:t xml:space="preserve">Non-exclusive seismic data: </w:t>
      </w:r>
      <w:r w:rsidR="001878A9" w:rsidRPr="00354BED" w:rsidDel="007316A9">
        <w:t>multi-client</w:t>
      </w:r>
      <w:r w:rsidRPr="00354BED" w:rsidDel="007316A9">
        <w:t xml:space="preserve"> surveys and reprocessing products</w:t>
      </w:r>
      <w:bookmarkEnd w:id="128"/>
      <w:bookmarkEnd w:id="129"/>
      <w:bookmarkEnd w:id="130"/>
      <w:bookmarkEnd w:id="131"/>
    </w:p>
    <w:p w14:paraId="3C649DD4" w14:textId="4412BA66" w:rsidR="00903913" w:rsidRPr="00E62BC2" w:rsidRDefault="00903913" w:rsidP="007507EE">
      <w:pPr>
        <w:pStyle w:val="ListParagraph"/>
        <w:numPr>
          <w:ilvl w:val="1"/>
          <w:numId w:val="12"/>
        </w:numPr>
        <w:ind w:left="851" w:hanging="716"/>
      </w:pPr>
      <w:bookmarkStart w:id="133" w:name="_Ref413245698"/>
      <w:bookmarkEnd w:id="132"/>
      <w:r w:rsidRPr="00E62BC2">
        <w:t xml:space="preserve">If an applicant proposes to licence non-exclusive </w:t>
      </w:r>
      <w:r w:rsidR="00BC526C">
        <w:t xml:space="preserve">multi-client </w:t>
      </w:r>
      <w:r w:rsidRPr="00E62BC2">
        <w:t xml:space="preserve">seismic data, </w:t>
      </w:r>
      <w:r w:rsidR="005E0548">
        <w:t xml:space="preserve">either </w:t>
      </w:r>
      <w:r w:rsidRPr="00E62BC2">
        <w:t>new or reprocessed, as part of a work program, it should:</w:t>
      </w:r>
    </w:p>
    <w:p w14:paraId="7B079BF0" w14:textId="77777777" w:rsidR="00903913" w:rsidRPr="001878A9" w:rsidRDefault="00903913" w:rsidP="007507EE">
      <w:pPr>
        <w:pStyle w:val="ListParagraph"/>
        <w:numPr>
          <w:ilvl w:val="2"/>
          <w:numId w:val="12"/>
        </w:numPr>
        <w:ind w:left="1418" w:hanging="425"/>
      </w:pPr>
      <w:r w:rsidRPr="001878A9">
        <w:t>state whether the data is part of</w:t>
      </w:r>
      <w:r w:rsidR="00AE1738">
        <w:t xml:space="preserve"> either</w:t>
      </w:r>
      <w:r w:rsidRPr="001878A9">
        <w:t>:</w:t>
      </w:r>
      <w:bookmarkEnd w:id="133"/>
    </w:p>
    <w:p w14:paraId="6DF642CA" w14:textId="77777777" w:rsidR="00903913" w:rsidRPr="001878A9" w:rsidRDefault="00AE1738" w:rsidP="007507EE">
      <w:pPr>
        <w:pStyle w:val="ListParagraph"/>
        <w:numPr>
          <w:ilvl w:val="3"/>
          <w:numId w:val="20"/>
        </w:numPr>
        <w:ind w:hanging="310"/>
      </w:pPr>
      <w:r>
        <w:t>a</w:t>
      </w:r>
      <w:r w:rsidR="00903913" w:rsidRPr="001878A9">
        <w:t>n existing non-exclusive seismic survey or reprocessed data volume</w:t>
      </w:r>
    </w:p>
    <w:p w14:paraId="1B6D4249" w14:textId="7ACECF7F" w:rsidR="00903913" w:rsidRPr="001878A9" w:rsidRDefault="00AE1738" w:rsidP="00EE15FA">
      <w:pPr>
        <w:pStyle w:val="ListParagraph"/>
        <w:numPr>
          <w:ilvl w:val="3"/>
          <w:numId w:val="20"/>
        </w:numPr>
        <w:ind w:left="1786" w:hanging="425"/>
      </w:pPr>
      <w:r>
        <w:t>a</w:t>
      </w:r>
      <w:r w:rsidR="00903913" w:rsidRPr="001878A9">
        <w:t xml:space="preserve"> planned or not-yet-completed non-exclusive seismic survey or reprocess</w:t>
      </w:r>
      <w:r w:rsidR="00991794">
        <w:t>ing</w:t>
      </w:r>
      <w:r w:rsidR="00903913" w:rsidRPr="001878A9">
        <w:t xml:space="preserve"> project.</w:t>
      </w:r>
    </w:p>
    <w:p w14:paraId="4994AA95" w14:textId="77777777" w:rsidR="00903913" w:rsidRPr="001878A9" w:rsidRDefault="00903913" w:rsidP="007507EE">
      <w:pPr>
        <w:pStyle w:val="ListParagraph"/>
        <w:numPr>
          <w:ilvl w:val="2"/>
          <w:numId w:val="12"/>
        </w:numPr>
        <w:ind w:left="1418" w:hanging="425"/>
      </w:pPr>
      <w:r w:rsidRPr="001878A9">
        <w:t>state when the initial final processed or reprocessed data will become available for licencing.</w:t>
      </w:r>
    </w:p>
    <w:p w14:paraId="6760FB94" w14:textId="618BF33D" w:rsidR="00903913" w:rsidRPr="001878A9" w:rsidRDefault="00903913" w:rsidP="007507EE">
      <w:pPr>
        <w:pStyle w:val="ListParagraph"/>
        <w:numPr>
          <w:ilvl w:val="2"/>
          <w:numId w:val="12"/>
        </w:numPr>
        <w:ind w:left="1418" w:hanging="425"/>
      </w:pPr>
      <w:r w:rsidRPr="001878A9">
        <w:t>ensure</w:t>
      </w:r>
      <w:r w:rsidR="001878A9">
        <w:t xml:space="preserve"> the</w:t>
      </w:r>
      <w:r w:rsidRPr="001878A9">
        <w:t>:</w:t>
      </w:r>
    </w:p>
    <w:p w14:paraId="48B73C88" w14:textId="77777777" w:rsidR="00AE6D03" w:rsidRDefault="00903913" w:rsidP="007507EE">
      <w:pPr>
        <w:pStyle w:val="ListParagraph"/>
        <w:numPr>
          <w:ilvl w:val="3"/>
          <w:numId w:val="21"/>
        </w:numPr>
        <w:ind w:hanging="310"/>
      </w:pPr>
      <w:r w:rsidRPr="001878A9">
        <w:t>data is in an industry standard format that is fit for purpose in meeting the objective of the work program</w:t>
      </w:r>
    </w:p>
    <w:p w14:paraId="280B9A35" w14:textId="27673C40" w:rsidR="00B96B2F" w:rsidRDefault="00903913" w:rsidP="007507EE">
      <w:pPr>
        <w:pStyle w:val="ListParagraph"/>
        <w:numPr>
          <w:ilvl w:val="3"/>
          <w:numId w:val="21"/>
        </w:numPr>
        <w:ind w:hanging="310"/>
      </w:pPr>
      <w:r w:rsidRPr="001878A9">
        <w:t>applicant w</w:t>
      </w:r>
      <w:r w:rsidR="00FF59E1">
        <w:t>ill</w:t>
      </w:r>
      <w:r w:rsidRPr="001878A9">
        <w:t xml:space="preserve"> be able to provide information to NOPTA t</w:t>
      </w:r>
      <w:r w:rsidR="00FF59E1">
        <w:t>o</w:t>
      </w:r>
      <w:r w:rsidRPr="001878A9">
        <w:t xml:space="preserve"> demonstrates</w:t>
      </w:r>
      <w:r w:rsidR="00FF59E1">
        <w:t xml:space="preserve"> that</w:t>
      </w:r>
      <w:r w:rsidRPr="001878A9">
        <w:t xml:space="preserve"> the work program obligation has been met</w:t>
      </w:r>
    </w:p>
    <w:p w14:paraId="7F283ADF" w14:textId="187DAABC" w:rsidR="00903913" w:rsidRPr="001878A9" w:rsidRDefault="00903913" w:rsidP="007507EE">
      <w:pPr>
        <w:pStyle w:val="ListParagraph"/>
        <w:numPr>
          <w:ilvl w:val="3"/>
          <w:numId w:val="21"/>
        </w:numPr>
        <w:ind w:hanging="310"/>
      </w:pPr>
      <w:r w:rsidRPr="001878A9">
        <w:t>data submission and release requirements can be met.</w:t>
      </w:r>
    </w:p>
    <w:p w14:paraId="4567665C" w14:textId="3AC882BD" w:rsidR="00903913" w:rsidRPr="0059092E" w:rsidRDefault="00903913" w:rsidP="007507EE">
      <w:pPr>
        <w:pStyle w:val="ListParagraph"/>
        <w:numPr>
          <w:ilvl w:val="1"/>
          <w:numId w:val="12"/>
        </w:numPr>
        <w:ind w:left="851" w:hanging="716"/>
      </w:pPr>
      <w:r w:rsidRPr="0059092E">
        <w:t>If the final processed dataset will not become available until after the closing date of bids, this will be assessed as new seismic acquisition</w:t>
      </w:r>
      <w:r w:rsidR="005420CE" w:rsidRPr="0059092E">
        <w:t xml:space="preserve"> or reprocessing</w:t>
      </w:r>
      <w:r w:rsidRPr="0059092E">
        <w:t xml:space="preserve"> for the purposes of the bid assessment.</w:t>
      </w:r>
    </w:p>
    <w:p w14:paraId="26CD66F3" w14:textId="30E9C92A" w:rsidR="00903913" w:rsidRDefault="00B71C7E" w:rsidP="1315E805">
      <w:pPr>
        <w:pStyle w:val="Heading3"/>
      </w:pPr>
      <w:bookmarkStart w:id="134" w:name="_Toc81487634"/>
      <w:bookmarkStart w:id="135" w:name="_Toc83042916"/>
      <w:bookmarkStart w:id="136" w:name="_Toc83395029"/>
      <w:bookmarkStart w:id="137" w:name="_Toc90044313"/>
      <w:bookmarkStart w:id="138" w:name="_Toc183622560"/>
      <w:bookmarkStart w:id="139" w:name="_Toc193955356"/>
      <w:bookmarkStart w:id="140" w:name="_Toc242010183"/>
      <w:r>
        <w:t xml:space="preserve">Bid </w:t>
      </w:r>
      <w:r w:rsidR="00903913">
        <w:t>assessment</w:t>
      </w:r>
      <w:bookmarkEnd w:id="134"/>
      <w:bookmarkEnd w:id="135"/>
      <w:bookmarkEnd w:id="136"/>
      <w:bookmarkEnd w:id="137"/>
      <w:bookmarkEnd w:id="138"/>
      <w:bookmarkEnd w:id="139"/>
    </w:p>
    <w:p w14:paraId="134340D0" w14:textId="77777777" w:rsidR="008058C3" w:rsidRDefault="00EE7FB3" w:rsidP="007507EE">
      <w:pPr>
        <w:pStyle w:val="ListParagraph"/>
        <w:numPr>
          <w:ilvl w:val="1"/>
          <w:numId w:val="12"/>
        </w:numPr>
        <w:ind w:left="851" w:hanging="716"/>
      </w:pPr>
      <w:r w:rsidRPr="006822AC">
        <w:t>I</w:t>
      </w:r>
      <w:r w:rsidR="00903913" w:rsidRPr="006822AC">
        <w:t xml:space="preserve">n deciding whether to offer </w:t>
      </w:r>
      <w:r w:rsidR="00050666" w:rsidRPr="006822AC">
        <w:t xml:space="preserve">to grant </w:t>
      </w:r>
      <w:r w:rsidR="00122A19" w:rsidRPr="006822AC">
        <w:t>an</w:t>
      </w:r>
      <w:r w:rsidR="00903913" w:rsidRPr="006822AC">
        <w:t xml:space="preserve"> exploration permit</w:t>
      </w:r>
      <w:r w:rsidR="00050666" w:rsidRPr="006822AC">
        <w:t xml:space="preserve"> to an applicant</w:t>
      </w:r>
      <w:r w:rsidR="00AE1738" w:rsidRPr="006822AC">
        <w:t>,</w:t>
      </w:r>
      <w:r w:rsidR="00903913" w:rsidRPr="006822AC">
        <w:t xml:space="preserve"> the Joint Authority</w:t>
      </w:r>
      <w:r w:rsidR="008058C3">
        <w:t>:</w:t>
      </w:r>
    </w:p>
    <w:p w14:paraId="3CFA6A0E" w14:textId="6B3A38DC" w:rsidR="008058C3" w:rsidRDefault="00903913" w:rsidP="009E6D4D">
      <w:pPr>
        <w:pStyle w:val="ListParagraph"/>
        <w:numPr>
          <w:ilvl w:val="2"/>
          <w:numId w:val="12"/>
        </w:numPr>
        <w:ind w:left="1418" w:hanging="425"/>
      </w:pPr>
      <w:r w:rsidRPr="006822AC">
        <w:t xml:space="preserve">must have regard to </w:t>
      </w:r>
      <w:r w:rsidR="008058C3">
        <w:t>the matters specified in subsection 105(4); and</w:t>
      </w:r>
    </w:p>
    <w:p w14:paraId="239EC735" w14:textId="097E86E3" w:rsidR="008058C3" w:rsidRDefault="008058C3" w:rsidP="009E6D4D">
      <w:pPr>
        <w:pStyle w:val="ListParagraph"/>
        <w:numPr>
          <w:ilvl w:val="2"/>
          <w:numId w:val="12"/>
        </w:numPr>
        <w:ind w:left="1418" w:hanging="425"/>
      </w:pPr>
      <w:r>
        <w:t xml:space="preserve">may have regard to any other matters the Joint Authority considers relevant. </w:t>
      </w:r>
    </w:p>
    <w:p w14:paraId="30F351F8" w14:textId="212C9D98" w:rsidR="00903913" w:rsidRPr="006822AC" w:rsidRDefault="008058C3" w:rsidP="008058C3">
      <w:pPr>
        <w:pStyle w:val="ListParagraph"/>
        <w:numPr>
          <w:ilvl w:val="1"/>
          <w:numId w:val="12"/>
        </w:numPr>
        <w:ind w:left="851" w:hanging="716"/>
      </w:pPr>
      <w:r>
        <w:t>The matters specified in subsection 105(4) are as follows:</w:t>
      </w:r>
    </w:p>
    <w:p w14:paraId="6EC7A666" w14:textId="47A69B26" w:rsidR="008058C3" w:rsidRDefault="008058C3" w:rsidP="00C9118F">
      <w:pPr>
        <w:pStyle w:val="ListParagraph"/>
        <w:numPr>
          <w:ilvl w:val="2"/>
          <w:numId w:val="12"/>
        </w:numPr>
        <w:ind w:left="1418" w:hanging="425"/>
      </w:pPr>
      <w:r>
        <w:t>whether t</w:t>
      </w:r>
      <w:r w:rsidR="00903913" w:rsidRPr="006822AC" w:rsidDel="00EE7FB3">
        <w:t xml:space="preserve">he technical advice and financial resources available to the applicant </w:t>
      </w:r>
      <w:r>
        <w:t>are sufficient to:</w:t>
      </w:r>
    </w:p>
    <w:p w14:paraId="4AC9E8C0" w14:textId="2651B50E" w:rsidR="008058C3" w:rsidRDefault="008058C3" w:rsidP="00C9118F">
      <w:pPr>
        <w:pStyle w:val="ListParagraph"/>
        <w:numPr>
          <w:ilvl w:val="3"/>
          <w:numId w:val="37"/>
        </w:numPr>
        <w:ind w:hanging="310"/>
      </w:pPr>
      <w:r>
        <w:t>carry out the operations and works that will be authorised by the permit; and</w:t>
      </w:r>
    </w:p>
    <w:p w14:paraId="4D732865" w14:textId="5E918666" w:rsidR="00DD44F2" w:rsidRDefault="008058C3" w:rsidP="009A09F2">
      <w:pPr>
        <w:pStyle w:val="ListParagraph"/>
        <w:numPr>
          <w:ilvl w:val="3"/>
          <w:numId w:val="37"/>
        </w:numPr>
        <w:ind w:hanging="310"/>
      </w:pPr>
      <w:r>
        <w:lastRenderedPageBreak/>
        <w:t>discharge the obligations that will be imposed under the OPGGS Act, or a legislative instrument made under the Act, in relation to the permit;</w:t>
      </w:r>
    </w:p>
    <w:p w14:paraId="5EAA4DCB" w14:textId="16B1D569" w:rsidR="008058C3" w:rsidRDefault="00903913" w:rsidP="00C9118F">
      <w:pPr>
        <w:pStyle w:val="ListParagraph"/>
        <w:numPr>
          <w:ilvl w:val="2"/>
          <w:numId w:val="12"/>
        </w:numPr>
        <w:ind w:left="1418" w:hanging="425"/>
      </w:pPr>
      <w:r w:rsidRPr="006822AC" w:rsidDel="00EE7FB3">
        <w:t xml:space="preserve"> the matters set out in </w:t>
      </w:r>
      <w:r w:rsidR="006822AC">
        <w:t>s</w:t>
      </w:r>
      <w:r w:rsidRPr="006822AC" w:rsidDel="00EE7FB3">
        <w:t>ection 695YB</w:t>
      </w:r>
      <w:r w:rsidR="006822AC">
        <w:t xml:space="preserve"> of the OPGGS Act</w:t>
      </w:r>
      <w:r w:rsidRPr="006822AC" w:rsidDel="00EE7FB3">
        <w:t xml:space="preserve"> as they apply to the applicant</w:t>
      </w:r>
      <w:r w:rsidR="008058C3">
        <w:t>;</w:t>
      </w:r>
    </w:p>
    <w:p w14:paraId="665558A5" w14:textId="3829C384" w:rsidR="00494907" w:rsidRPr="006822AC" w:rsidRDefault="008058C3" w:rsidP="00C9118F">
      <w:pPr>
        <w:pStyle w:val="ListParagraph"/>
        <w:numPr>
          <w:ilvl w:val="2"/>
          <w:numId w:val="12"/>
        </w:numPr>
        <w:ind w:left="1418" w:hanging="425"/>
      </w:pPr>
      <w:r>
        <w:t>if the applicant is a body corporate, the matters specified in section 695YB as they apply to an officer of the body corporate; and</w:t>
      </w:r>
    </w:p>
    <w:p w14:paraId="1282C7EB" w14:textId="35EF74F9" w:rsidR="00572F10" w:rsidRPr="006822AC" w:rsidRDefault="008058C3" w:rsidP="00C9118F">
      <w:pPr>
        <w:pStyle w:val="ListParagraph"/>
        <w:numPr>
          <w:ilvl w:val="2"/>
          <w:numId w:val="12"/>
        </w:numPr>
        <w:ind w:left="1418" w:hanging="425"/>
      </w:pPr>
      <w:r>
        <w:t>a</w:t>
      </w:r>
      <w:r w:rsidR="00903913" w:rsidRPr="006822AC" w:rsidDel="00EE7FB3">
        <w:t>ny other matters prescribed by the regulations.</w:t>
      </w:r>
    </w:p>
    <w:p w14:paraId="033A8D23" w14:textId="1D58BE18" w:rsidR="00BA3E56" w:rsidRDefault="00903913" w:rsidP="007507EE">
      <w:pPr>
        <w:pStyle w:val="ListParagraph"/>
        <w:numPr>
          <w:ilvl w:val="1"/>
          <w:numId w:val="12"/>
        </w:numPr>
        <w:ind w:left="851" w:hanging="716"/>
      </w:pPr>
      <w:r w:rsidRPr="00E62BC2">
        <w:t>In deciding whether to exercise its discretion to make an offe</w:t>
      </w:r>
      <w:r w:rsidR="00BA3E56">
        <w:t>r</w:t>
      </w:r>
      <w:r w:rsidRPr="00E62BC2" w:rsidDel="00414F5D">
        <w:t xml:space="preserve">, </w:t>
      </w:r>
      <w:r w:rsidRPr="00E62BC2">
        <w:t>the Joint Authority may take into consideration a broad range of factors</w:t>
      </w:r>
      <w:r w:rsidR="00C034AE">
        <w:t xml:space="preserve"> (see </w:t>
      </w:r>
      <w:r w:rsidR="00C034AE" w:rsidRPr="008F6652">
        <w:t>2.50</w:t>
      </w:r>
      <w:r w:rsidR="00C034AE">
        <w:t xml:space="preserve"> below)</w:t>
      </w:r>
      <w:r w:rsidRPr="00E62BC2" w:rsidDel="00414F5D">
        <w:t xml:space="preserve">. </w:t>
      </w:r>
      <w:r w:rsidR="00ED7F68">
        <w:t>Where there are competing bids for a release area, t</w:t>
      </w:r>
      <w:r w:rsidRPr="00E62BC2" w:rsidDel="00414F5D">
        <w:t xml:space="preserve">hese factors </w:t>
      </w:r>
      <w:r w:rsidR="00ED7F68">
        <w:t>will</w:t>
      </w:r>
      <w:r w:rsidRPr="00E62BC2" w:rsidDel="00414F5D">
        <w:t xml:space="preserve"> include which bid is likely to progress the most comprehensive understanding of the petroleum prospectivity of the area</w:t>
      </w:r>
      <w:r w:rsidR="00050666">
        <w:t>.</w:t>
      </w:r>
    </w:p>
    <w:p w14:paraId="104694D4" w14:textId="05C46057" w:rsidR="00903913" w:rsidRPr="00AE1738" w:rsidRDefault="00903913" w:rsidP="007507EE">
      <w:pPr>
        <w:pStyle w:val="ListParagraph"/>
        <w:numPr>
          <w:ilvl w:val="1"/>
          <w:numId w:val="12"/>
        </w:numPr>
        <w:ind w:left="851" w:hanging="716"/>
      </w:pPr>
      <w:r w:rsidRPr="00E62BC2">
        <w:t xml:space="preserve">Where there are multiple applicants for the grant of an exploration permit, in determining the applicant who is most deserving, the Joint Authority must have regard to the criteria in </w:t>
      </w:r>
      <w:r w:rsidR="000A5042">
        <w:t xml:space="preserve">section </w:t>
      </w:r>
      <w:r w:rsidR="00FA533A" w:rsidRPr="008F6652">
        <w:fldChar w:fldCharType="begin"/>
      </w:r>
      <w:r w:rsidR="00FA533A" w:rsidRPr="00CA7DE4">
        <w:instrText xml:space="preserve"> REF _Ref183685575 \r \h </w:instrText>
      </w:r>
      <w:r w:rsidR="00CA7DE4" w:rsidRPr="00187933">
        <w:instrText xml:space="preserve"> \* MERGEFORMAT </w:instrText>
      </w:r>
      <w:r w:rsidR="00FA533A" w:rsidRPr="008F6652">
        <w:fldChar w:fldCharType="separate"/>
      </w:r>
      <w:r w:rsidR="00D95F2F">
        <w:t>2.50</w:t>
      </w:r>
      <w:r w:rsidR="00FA533A" w:rsidRPr="008F6652">
        <w:fldChar w:fldCharType="end"/>
      </w:r>
      <w:r w:rsidRPr="003B685B">
        <w:t xml:space="preserve"> in</w:t>
      </w:r>
      <w:r w:rsidRPr="00AE1738">
        <w:t xml:space="preserve"> relation to the proposed primary work program.</w:t>
      </w:r>
    </w:p>
    <w:p w14:paraId="7EC8458E" w14:textId="46F6FB29" w:rsidR="00903913" w:rsidRPr="00AE1738" w:rsidRDefault="00903913" w:rsidP="007507EE">
      <w:pPr>
        <w:pStyle w:val="ListParagraph"/>
        <w:numPr>
          <w:ilvl w:val="1"/>
          <w:numId w:val="12"/>
        </w:numPr>
        <w:ind w:left="851" w:hanging="716"/>
      </w:pPr>
      <w:r w:rsidRPr="00AE1738">
        <w:t xml:space="preserve">Where there is a single applicant, the Joint Authority may also have regard to the criteria </w:t>
      </w:r>
      <w:r w:rsidR="00825DDB">
        <w:t>in</w:t>
      </w:r>
      <w:r w:rsidRPr="00AE1738">
        <w:t xml:space="preserve"> </w:t>
      </w:r>
      <w:r w:rsidR="00FA533A">
        <w:t xml:space="preserve">section </w:t>
      </w:r>
      <w:r w:rsidR="00C034AE" w:rsidRPr="00706BD2">
        <w:t>2.50</w:t>
      </w:r>
      <w:r w:rsidR="00D005E6">
        <w:t xml:space="preserve"> </w:t>
      </w:r>
      <w:r w:rsidR="00FA533A">
        <w:t>below.</w:t>
      </w:r>
    </w:p>
    <w:p w14:paraId="64214FCC" w14:textId="6908922C" w:rsidR="00903913" w:rsidRPr="00E62BC2" w:rsidRDefault="003C70DC" w:rsidP="007507EE">
      <w:pPr>
        <w:pStyle w:val="ListParagraph"/>
        <w:numPr>
          <w:ilvl w:val="1"/>
          <w:numId w:val="12"/>
        </w:numPr>
        <w:ind w:left="851" w:hanging="716"/>
      </w:pPr>
      <w:bookmarkStart w:id="141" w:name="_Ref90388923"/>
      <w:bookmarkStart w:id="142" w:name="_Ref183685575"/>
      <w:proofErr w:type="gramStart"/>
      <w:r>
        <w:t>For the purpose of</w:t>
      </w:r>
      <w:proofErr w:type="gramEnd"/>
      <w:r>
        <w:t xml:space="preserve"> </w:t>
      </w:r>
      <w:r w:rsidR="00702EA1">
        <w:t>section 105(3)(</w:t>
      </w:r>
      <w:r w:rsidR="00FA414F">
        <w:t>b</w:t>
      </w:r>
      <w:r w:rsidR="00702EA1">
        <w:t xml:space="preserve">) of the OPGGS Act, </w:t>
      </w:r>
      <w:r w:rsidR="00BA3E56">
        <w:t>i</w:t>
      </w:r>
      <w:r w:rsidR="00903913" w:rsidRPr="00E62BC2">
        <w:t xml:space="preserve">n no </w:t>
      </w:r>
      <w:proofErr w:type="gramStart"/>
      <w:r w:rsidR="00903913" w:rsidRPr="00E62BC2">
        <w:t xml:space="preserve">particular </w:t>
      </w:r>
      <w:bookmarkEnd w:id="141"/>
      <w:r w:rsidR="009C1452">
        <w:t>order</w:t>
      </w:r>
      <w:proofErr w:type="gramEnd"/>
      <w:r w:rsidR="009C1452">
        <w:t xml:space="preserve">, </w:t>
      </w:r>
      <w:r w:rsidR="00825DDB" w:rsidDel="003C70DC">
        <w:t xml:space="preserve">the </w:t>
      </w:r>
      <w:r>
        <w:t>Joint Authority may have regard to the following matters:</w:t>
      </w:r>
      <w:bookmarkEnd w:id="142"/>
    </w:p>
    <w:p w14:paraId="7AEF65BE" w14:textId="77777777" w:rsidR="00FE4D7A" w:rsidRDefault="00903913" w:rsidP="007507EE">
      <w:pPr>
        <w:pStyle w:val="ListParagraph"/>
        <w:numPr>
          <w:ilvl w:val="2"/>
          <w:numId w:val="12"/>
        </w:numPr>
        <w:ind w:left="1418" w:hanging="425"/>
      </w:pPr>
      <w:r w:rsidRPr="00BA69D0">
        <w:t>The relevance of the proposed work program to the technical evaluation and exploration strategy.</w:t>
      </w:r>
    </w:p>
    <w:p w14:paraId="0A24CCC2" w14:textId="77777777" w:rsidR="00FE4D7A" w:rsidRDefault="00903913" w:rsidP="007507EE">
      <w:pPr>
        <w:pStyle w:val="ListParagraph"/>
        <w:numPr>
          <w:ilvl w:val="2"/>
          <w:numId w:val="12"/>
        </w:numPr>
        <w:ind w:left="1418" w:hanging="425"/>
      </w:pPr>
      <w:r w:rsidRPr="00BA69D0">
        <w:t>The amount, type and timing of seismic data to be purchased or licenced.</w:t>
      </w:r>
    </w:p>
    <w:p w14:paraId="23F9CE64" w14:textId="17B19AD8" w:rsidR="00903913" w:rsidRPr="00BA69D0" w:rsidRDefault="4D072DA9" w:rsidP="007507EE">
      <w:pPr>
        <w:pStyle w:val="ListParagraph"/>
        <w:numPr>
          <w:ilvl w:val="2"/>
          <w:numId w:val="12"/>
        </w:numPr>
        <w:ind w:left="1418" w:hanging="425"/>
      </w:pPr>
      <w:r>
        <w:t>The amount, type and timing of seismic data reprocessing</w:t>
      </w:r>
      <w:r w:rsidR="1E1604EB">
        <w:t xml:space="preserve"> or acquisition</w:t>
      </w:r>
      <w:r>
        <w:t xml:space="preserve"> </w:t>
      </w:r>
      <w:r w:rsidR="01F6DD18">
        <w:t xml:space="preserve">and processing </w:t>
      </w:r>
      <w:r>
        <w:t>to be carried out, including parameters and methodology.</w:t>
      </w:r>
    </w:p>
    <w:p w14:paraId="5BCF469F" w14:textId="77777777" w:rsidR="00FE4D7A" w:rsidRPr="007B23A2" w:rsidRDefault="005960D9" w:rsidP="007507EE">
      <w:pPr>
        <w:pStyle w:val="ListParagraph"/>
        <w:numPr>
          <w:ilvl w:val="2"/>
          <w:numId w:val="12"/>
        </w:numPr>
        <w:ind w:left="1418" w:hanging="425"/>
      </w:pPr>
      <w:r w:rsidRPr="007B23A2">
        <w:t>The amount, type and timing of other surveying and data acquisition to be carried out.</w:t>
      </w:r>
    </w:p>
    <w:p w14:paraId="4E788676" w14:textId="5396D0A6" w:rsidR="00903913" w:rsidRPr="007B23A2" w:rsidRDefault="00903913" w:rsidP="007507EE">
      <w:pPr>
        <w:pStyle w:val="ListParagraph"/>
        <w:numPr>
          <w:ilvl w:val="2"/>
          <w:numId w:val="12"/>
        </w:numPr>
        <w:ind w:left="1418" w:hanging="425"/>
      </w:pPr>
      <w:r w:rsidRPr="007B23A2">
        <w:t>The type, scope and objectives of the geophysical and geological studies, proposed within the area and how these studies align with other work program activities and the exploration strategy.</w:t>
      </w:r>
    </w:p>
    <w:p w14:paraId="00CB2C85" w14:textId="77777777" w:rsidR="00903913" w:rsidRPr="007B23A2" w:rsidRDefault="00903913" w:rsidP="007507EE">
      <w:pPr>
        <w:pStyle w:val="ListParagraph"/>
        <w:numPr>
          <w:ilvl w:val="2"/>
          <w:numId w:val="12"/>
        </w:numPr>
        <w:ind w:left="1418" w:hanging="425"/>
      </w:pPr>
      <w:r w:rsidRPr="007B23A2">
        <w:t>The number and timing of exploration wells proposed and their alignment with the perceived prospectivity of the area, supporting program of geological and geophysical work and the number of proposed plays and/or mapped prospects/leads identified.</w:t>
      </w:r>
    </w:p>
    <w:p w14:paraId="78AF8D72" w14:textId="77777777" w:rsidR="00682591" w:rsidRDefault="00903913" w:rsidP="007507EE">
      <w:pPr>
        <w:pStyle w:val="ListParagraph"/>
        <w:numPr>
          <w:ilvl w:val="2"/>
          <w:numId w:val="12"/>
        </w:numPr>
        <w:ind w:left="1418" w:hanging="425"/>
      </w:pPr>
      <w:r w:rsidRPr="007B23A2">
        <w:t>The past performance of the applicant</w:t>
      </w:r>
      <w:r w:rsidR="0022141A" w:rsidRPr="007B23A2">
        <w:t xml:space="preserve"> in Australia or internationally</w:t>
      </w:r>
      <w:r w:rsidRPr="007B23A2">
        <w:t>.</w:t>
      </w:r>
    </w:p>
    <w:p w14:paraId="1B839622" w14:textId="7DCE9177" w:rsidR="00FE4D7A" w:rsidRDefault="00903913" w:rsidP="007507EE">
      <w:pPr>
        <w:pStyle w:val="ListParagraph"/>
        <w:numPr>
          <w:ilvl w:val="2"/>
          <w:numId w:val="12"/>
        </w:numPr>
        <w:ind w:left="1418" w:hanging="425"/>
      </w:pPr>
      <w:r w:rsidRPr="007B23A2">
        <w:t xml:space="preserve">Significant </w:t>
      </w:r>
      <w:r w:rsidR="00162DB4">
        <w:t xml:space="preserve">proposed </w:t>
      </w:r>
      <w:r w:rsidRPr="007B23A2">
        <w:t>appraisal</w:t>
      </w:r>
      <w:r w:rsidRPr="00BA69D0">
        <w:t xml:space="preserve"> </w:t>
      </w:r>
      <w:proofErr w:type="gramStart"/>
      <w:r w:rsidRPr="00BA69D0">
        <w:t>work</w:t>
      </w:r>
      <w:proofErr w:type="gramEnd"/>
      <w:r w:rsidRPr="00BA69D0">
        <w:t xml:space="preserve"> over</w:t>
      </w:r>
      <w:r w:rsidR="00162DB4">
        <w:t xml:space="preserve"> existing</w:t>
      </w:r>
      <w:r w:rsidRPr="00BA69D0" w:rsidDel="00162DB4">
        <w:t xml:space="preserve"> </w:t>
      </w:r>
      <w:r w:rsidRPr="00BA69D0">
        <w:t>petroleum discoveries within the</w:t>
      </w:r>
      <w:r w:rsidR="00162DB4">
        <w:t xml:space="preserve"> release</w:t>
      </w:r>
      <w:r w:rsidRPr="00BA69D0">
        <w:t xml:space="preserve"> area, if any.</w:t>
      </w:r>
    </w:p>
    <w:p w14:paraId="08FBECB8" w14:textId="2DA4F18A" w:rsidR="00FE4D7A" w:rsidRDefault="00903913" w:rsidP="007507EE">
      <w:pPr>
        <w:pStyle w:val="ListParagraph"/>
        <w:numPr>
          <w:ilvl w:val="1"/>
          <w:numId w:val="12"/>
        </w:numPr>
        <w:ind w:left="851" w:hanging="716"/>
      </w:pPr>
      <w:r w:rsidRPr="00E62BC2">
        <w:t>If an applicant cannot be chosen bas</w:t>
      </w:r>
      <w:r w:rsidR="005960D9">
        <w:t>ed</w:t>
      </w:r>
      <w:r w:rsidR="00D62D49">
        <w:t xml:space="preserve"> </w:t>
      </w:r>
      <w:r w:rsidR="005960D9">
        <w:t>on</w:t>
      </w:r>
      <w:r w:rsidRPr="00E62BC2">
        <w:t xml:space="preserve"> the primary work program, the secondary work program will be assessed and ranked</w:t>
      </w:r>
      <w:r w:rsidR="00825DDB" w:rsidRPr="00825DDB">
        <w:t xml:space="preserve"> </w:t>
      </w:r>
      <w:r w:rsidR="00825DDB" w:rsidRPr="00E62BC2">
        <w:t>using the criteria above</w:t>
      </w:r>
      <w:r w:rsidRPr="00E62BC2">
        <w:t>.</w:t>
      </w:r>
    </w:p>
    <w:p w14:paraId="305B4A0C" w14:textId="745EBC25" w:rsidR="00FE4D7A" w:rsidRDefault="00903913" w:rsidP="007507EE">
      <w:pPr>
        <w:pStyle w:val="ListParagraph"/>
        <w:numPr>
          <w:ilvl w:val="1"/>
          <w:numId w:val="12"/>
        </w:numPr>
        <w:ind w:left="851" w:hanging="716"/>
      </w:pPr>
      <w:r w:rsidRPr="00E62BC2">
        <w:t xml:space="preserve">If two or more applicants are still considered to be equally deserving of the grant of an exploration permit, in accordance with </w:t>
      </w:r>
      <w:hyperlink r:id="rId34" w:tooltip="Link to Act" w:history="1">
        <w:r w:rsidRPr="00E62BC2">
          <w:t xml:space="preserve">section 106(6) of the </w:t>
        </w:r>
        <w:r w:rsidR="00B6682F">
          <w:t xml:space="preserve">OPGGS </w:t>
        </w:r>
        <w:r w:rsidRPr="00E62BC2">
          <w:t>Act</w:t>
        </w:r>
      </w:hyperlink>
      <w:r w:rsidR="00825DDB">
        <w:t>,</w:t>
      </w:r>
      <w:r w:rsidRPr="00E62BC2">
        <w:t xml:space="preserve"> the Joint Authority may invite the applicants to make a written proposal for additional work and expenditure.</w:t>
      </w:r>
    </w:p>
    <w:p w14:paraId="3136FC73" w14:textId="77777777" w:rsidR="00FE4D7A" w:rsidRDefault="00903913" w:rsidP="007507EE">
      <w:pPr>
        <w:pStyle w:val="ListParagraph"/>
        <w:numPr>
          <w:ilvl w:val="1"/>
          <w:numId w:val="12"/>
        </w:numPr>
        <w:ind w:left="851" w:hanging="716"/>
      </w:pPr>
      <w:r w:rsidRPr="00E62BC2">
        <w:t>If an applicant is made an offer for the grant of an exploration permit and declines the offer, the Joint Authority may make an offer to the second ranked applicant, where applicable.</w:t>
      </w:r>
    </w:p>
    <w:p w14:paraId="2C017689" w14:textId="7EFC5432" w:rsidR="00903913" w:rsidRPr="00E62BC2" w:rsidRDefault="00903913" w:rsidP="007507EE">
      <w:pPr>
        <w:pStyle w:val="ListParagraph"/>
        <w:numPr>
          <w:ilvl w:val="1"/>
          <w:numId w:val="12"/>
        </w:numPr>
        <w:ind w:left="851" w:hanging="716"/>
      </w:pPr>
      <w:r w:rsidRPr="00E62BC2">
        <w:t>There is no penalty or disadvantage should an applicant not accept an offer by the Joint Authority.</w:t>
      </w:r>
    </w:p>
    <w:p w14:paraId="4F2D229C" w14:textId="77777777" w:rsidR="00903913" w:rsidRDefault="00903913" w:rsidP="00DC18F9">
      <w:pPr>
        <w:pStyle w:val="Heading3"/>
      </w:pPr>
      <w:bookmarkStart w:id="143" w:name="_Toc81487635"/>
      <w:bookmarkStart w:id="144" w:name="_Toc83042917"/>
      <w:bookmarkStart w:id="145" w:name="_Toc83395030"/>
      <w:bookmarkStart w:id="146" w:name="_Toc90044314"/>
      <w:bookmarkStart w:id="147" w:name="_Toc183622561"/>
      <w:bookmarkStart w:id="148" w:name="_Toc193955357"/>
      <w:r>
        <w:lastRenderedPageBreak/>
        <w:t>Refusal to grant an exploration permit</w:t>
      </w:r>
      <w:bookmarkEnd w:id="143"/>
      <w:bookmarkEnd w:id="144"/>
      <w:bookmarkEnd w:id="145"/>
      <w:bookmarkEnd w:id="146"/>
      <w:bookmarkEnd w:id="147"/>
      <w:bookmarkEnd w:id="148"/>
    </w:p>
    <w:p w14:paraId="1195A765" w14:textId="6263E114" w:rsidR="00903913" w:rsidRPr="00E62BC2" w:rsidRDefault="00903913" w:rsidP="007507EE">
      <w:pPr>
        <w:pStyle w:val="ListParagraph"/>
        <w:numPr>
          <w:ilvl w:val="1"/>
          <w:numId w:val="12"/>
        </w:numPr>
        <w:ind w:left="851" w:hanging="716"/>
      </w:pPr>
      <w:bookmarkStart w:id="149" w:name="_Ref183687991"/>
      <w:r w:rsidRPr="00E62BC2">
        <w:t>The Joint Authority may refuse to grant an exploration permit. The following considerations may be given weight when determining whether to offer a permit</w:t>
      </w:r>
      <w:r w:rsidR="00617946">
        <w:t>. T</w:t>
      </w:r>
      <w:r w:rsidR="00A12FA8">
        <w:t>he</w:t>
      </w:r>
      <w:r w:rsidRPr="00E62BC2">
        <w:t>:</w:t>
      </w:r>
      <w:bookmarkEnd w:id="149"/>
    </w:p>
    <w:p w14:paraId="354396AC" w14:textId="374172D4" w:rsidR="00903913" w:rsidRPr="00BA69D0" w:rsidRDefault="00903913" w:rsidP="007507EE">
      <w:pPr>
        <w:pStyle w:val="ListParagraph"/>
        <w:numPr>
          <w:ilvl w:val="2"/>
          <w:numId w:val="12"/>
        </w:numPr>
        <w:ind w:left="1418" w:hanging="425"/>
      </w:pPr>
      <w:r w:rsidRPr="00BA69D0">
        <w:t>Proposed work program is assessed to be inferior to that of a competing bid.</w:t>
      </w:r>
    </w:p>
    <w:p w14:paraId="7CF81B2C" w14:textId="64DF0794" w:rsidR="00903913" w:rsidRPr="00BA69D0" w:rsidRDefault="00903913" w:rsidP="007507EE">
      <w:pPr>
        <w:pStyle w:val="ListParagraph"/>
        <w:numPr>
          <w:ilvl w:val="2"/>
          <w:numId w:val="12"/>
        </w:numPr>
        <w:ind w:left="1418" w:hanging="425"/>
      </w:pPr>
      <w:r w:rsidRPr="00BA69D0">
        <w:t>Proposed work program is assessed to be inadequate to significantly advance the exploration status of the area.</w:t>
      </w:r>
    </w:p>
    <w:p w14:paraId="55376D41" w14:textId="6D9DF52B" w:rsidR="00903913" w:rsidRPr="00BA69D0" w:rsidRDefault="00903913" w:rsidP="007507EE">
      <w:pPr>
        <w:pStyle w:val="ListParagraph"/>
        <w:numPr>
          <w:ilvl w:val="2"/>
          <w:numId w:val="12"/>
        </w:numPr>
        <w:ind w:left="1418" w:hanging="425"/>
      </w:pPr>
      <w:r w:rsidRPr="00BA69D0">
        <w:t xml:space="preserve">Proposed work program </w:t>
      </w:r>
      <w:r w:rsidR="000F7D07">
        <w:t>is not consistent with</w:t>
      </w:r>
      <w:r w:rsidRPr="00BA69D0">
        <w:t xml:space="preserve"> the technical evaluation.</w:t>
      </w:r>
    </w:p>
    <w:p w14:paraId="4A6743A2" w14:textId="5B32AD6D" w:rsidR="00903913" w:rsidRPr="00E41D24" w:rsidRDefault="00903913" w:rsidP="007507EE">
      <w:pPr>
        <w:pStyle w:val="ListParagraph"/>
        <w:numPr>
          <w:ilvl w:val="2"/>
          <w:numId w:val="12"/>
        </w:numPr>
        <w:ind w:left="1418" w:hanging="425"/>
      </w:pPr>
      <w:r w:rsidRPr="00BA69D0">
        <w:t xml:space="preserve">Joint Authority is not satisfied the applicant possesses sufficient financial resources or has access to sufficient technical advice to carry out the operations and works—including the proposed work program—authorised by the permit, in addition to other </w:t>
      </w:r>
      <w:r w:rsidRPr="00E41D24">
        <w:t>guaranteed work program commitments in other titles under the OPGGS Act the applicant and/or parent company has an interest in.</w:t>
      </w:r>
    </w:p>
    <w:p w14:paraId="02DCA587" w14:textId="3C9831A2" w:rsidR="00C034AE" w:rsidRPr="00E41D24" w:rsidRDefault="00903913" w:rsidP="007507EE">
      <w:pPr>
        <w:pStyle w:val="ListParagraph"/>
        <w:numPr>
          <w:ilvl w:val="2"/>
          <w:numId w:val="12"/>
        </w:numPr>
        <w:ind w:left="1418" w:hanging="425"/>
      </w:pPr>
      <w:r w:rsidRPr="00E41D24">
        <w:t xml:space="preserve">Joint Authority is not satisfied the applicant is suitable to hold a </w:t>
      </w:r>
      <w:r w:rsidR="008F1AD7">
        <w:t>p</w:t>
      </w:r>
      <w:r w:rsidRPr="00EF248F">
        <w:t xml:space="preserve">etroleum </w:t>
      </w:r>
      <w:r w:rsidR="008F1AD7">
        <w:t>e</w:t>
      </w:r>
      <w:r w:rsidRPr="00EF248F">
        <w:t xml:space="preserve">xploration </w:t>
      </w:r>
      <w:r w:rsidR="008F1AD7">
        <w:t>p</w:t>
      </w:r>
      <w:r w:rsidRPr="00EF248F">
        <w:t xml:space="preserve">ermit </w:t>
      </w:r>
      <w:r w:rsidR="00C034AE">
        <w:t>having</w:t>
      </w:r>
      <w:r w:rsidR="00C034AE" w:rsidRPr="00E41D24">
        <w:t xml:space="preserve"> regard to the matters in</w:t>
      </w:r>
      <w:r w:rsidR="00D304BB" w:rsidRPr="00E41D24">
        <w:t xml:space="preserve"> </w:t>
      </w:r>
      <w:r w:rsidR="005F1919" w:rsidRPr="00E41D24">
        <w:t>s</w:t>
      </w:r>
      <w:r w:rsidR="00AD0B0A" w:rsidRPr="00E41D24">
        <w:t xml:space="preserve">ection </w:t>
      </w:r>
      <w:r w:rsidR="005F1919" w:rsidRPr="00E41D24">
        <w:t>695YB</w:t>
      </w:r>
      <w:r w:rsidR="00AD0B0A" w:rsidRPr="00E41D24">
        <w:t xml:space="preserve"> of the OPGGS Act</w:t>
      </w:r>
      <w:r w:rsidR="000B5F52" w:rsidRPr="00E41D24">
        <w:t>.</w:t>
      </w:r>
    </w:p>
    <w:p w14:paraId="769A82B4" w14:textId="0C7AB77E" w:rsidR="00903913" w:rsidRPr="00E41D24" w:rsidRDefault="005F1919" w:rsidP="007507EE">
      <w:pPr>
        <w:pStyle w:val="ListParagraph"/>
        <w:numPr>
          <w:ilvl w:val="2"/>
          <w:numId w:val="12"/>
        </w:numPr>
        <w:ind w:left="1418" w:hanging="425"/>
      </w:pPr>
      <w:r w:rsidRPr="00E41D24">
        <w:t xml:space="preserve">and other relevant matters such as </w:t>
      </w:r>
      <w:r w:rsidR="00C51D40" w:rsidRPr="00E41D24">
        <w:t xml:space="preserve">corporate </w:t>
      </w:r>
      <w:r w:rsidRPr="00E41D24">
        <w:t>governance arrangements or relevant experience</w:t>
      </w:r>
      <w:r w:rsidR="00903913" w:rsidRPr="00E41D24">
        <w:t>.</w:t>
      </w:r>
    </w:p>
    <w:p w14:paraId="20951FF7" w14:textId="30D40623" w:rsidR="00903913" w:rsidRPr="00E41D24" w:rsidRDefault="00903913" w:rsidP="007507EE">
      <w:pPr>
        <w:pStyle w:val="ListParagraph"/>
        <w:numPr>
          <w:ilvl w:val="2"/>
          <w:numId w:val="12"/>
        </w:numPr>
        <w:ind w:left="1418" w:hanging="425"/>
      </w:pPr>
      <w:r w:rsidRPr="00E41D24">
        <w:t xml:space="preserve">Joint Authority is </w:t>
      </w:r>
      <w:r w:rsidR="00A12FA8" w:rsidRPr="00E41D24">
        <w:t xml:space="preserve">of the view the </w:t>
      </w:r>
      <w:r w:rsidRPr="00E41D24">
        <w:t>past performance of the applicant in Australia or internationally</w:t>
      </w:r>
      <w:r w:rsidR="00A12FA8" w:rsidRPr="00E41D24">
        <w:t xml:space="preserve"> is not satisfactory</w:t>
      </w:r>
      <w:r w:rsidRPr="00E41D24">
        <w:t>.</w:t>
      </w:r>
      <w:bookmarkStart w:id="150" w:name="_Toc792911"/>
      <w:bookmarkStart w:id="151" w:name="_Toc792992"/>
      <w:bookmarkStart w:id="152" w:name="_Toc2244371"/>
      <w:bookmarkStart w:id="153" w:name="_Toc2244427"/>
      <w:bookmarkEnd w:id="140"/>
      <w:bookmarkEnd w:id="150"/>
      <w:bookmarkEnd w:id="151"/>
      <w:bookmarkEnd w:id="152"/>
      <w:bookmarkEnd w:id="153"/>
    </w:p>
    <w:p w14:paraId="13F801DA" w14:textId="77777777" w:rsidR="0028017D" w:rsidRPr="0028017D" w:rsidRDefault="0028017D">
      <w:pPr>
        <w:spacing w:before="0" w:after="160" w:line="259" w:lineRule="auto"/>
        <w:rPr>
          <w:rStyle w:val="SubtleReference"/>
        </w:rPr>
      </w:pPr>
      <w:bookmarkStart w:id="154" w:name="_Toc81487636"/>
      <w:bookmarkStart w:id="155" w:name="_Toc83042918"/>
      <w:bookmarkStart w:id="156" w:name="_Toc83395031"/>
      <w:bookmarkStart w:id="157" w:name="_Toc90044315"/>
      <w:r>
        <w:br w:type="page"/>
      </w:r>
    </w:p>
    <w:p w14:paraId="2C6BC7BC" w14:textId="77777777" w:rsidR="00903913" w:rsidRPr="004E124E" w:rsidRDefault="00903913" w:rsidP="007507EE">
      <w:pPr>
        <w:pStyle w:val="Heading2"/>
        <w:numPr>
          <w:ilvl w:val="0"/>
          <w:numId w:val="12"/>
        </w:numPr>
      </w:pPr>
      <w:bookmarkStart w:id="158" w:name="_Toc183622562"/>
      <w:bookmarkStart w:id="159" w:name="_Toc193955358"/>
      <w:r>
        <w:lastRenderedPageBreak/>
        <w:t>Petroleum exploration permit conditions and administration</w:t>
      </w:r>
      <w:bookmarkEnd w:id="154"/>
      <w:bookmarkEnd w:id="155"/>
      <w:bookmarkEnd w:id="156"/>
      <w:bookmarkEnd w:id="157"/>
      <w:bookmarkEnd w:id="158"/>
      <w:bookmarkEnd w:id="159"/>
    </w:p>
    <w:p w14:paraId="2FBF7B36" w14:textId="77777777" w:rsidR="003E5CDB" w:rsidRDefault="00903913" w:rsidP="003E5CDB">
      <w:pPr>
        <w:pStyle w:val="ListParagraph"/>
        <w:numPr>
          <w:ilvl w:val="1"/>
          <w:numId w:val="12"/>
        </w:numPr>
        <w:ind w:left="851" w:hanging="716"/>
      </w:pPr>
      <w:r w:rsidRPr="00EE213D">
        <w:t xml:space="preserve">Titleholders are expected to ensure that all obligations under the </w:t>
      </w:r>
      <w:r w:rsidR="00B6682F">
        <w:t xml:space="preserve">OPGGS </w:t>
      </w:r>
      <w:r w:rsidRPr="00EE213D">
        <w:t xml:space="preserve">Act, </w:t>
      </w:r>
      <w:hyperlink r:id="rId35" w:tooltip="Link to Act" w:history="1">
        <w:r w:rsidRPr="001B0C86">
          <w:rPr>
            <w:i/>
            <w:iCs/>
          </w:rPr>
          <w:t>Offshore Petroleum and Greenhouse Gas (Regulatory Levies) Act 2003</w:t>
        </w:r>
      </w:hyperlink>
      <w:r w:rsidRPr="00EE213D">
        <w:t xml:space="preserve"> (OPGGS Levies), the associated regulations, any directions and title conditions are met at all times.</w:t>
      </w:r>
    </w:p>
    <w:p w14:paraId="596E18BD" w14:textId="68748D37" w:rsidR="001431CD" w:rsidRDefault="001431CD" w:rsidP="0032159D">
      <w:pPr>
        <w:pStyle w:val="ListParagraph"/>
        <w:numPr>
          <w:ilvl w:val="1"/>
          <w:numId w:val="12"/>
        </w:numPr>
        <w:ind w:left="851" w:hanging="716"/>
      </w:pPr>
      <w:r w:rsidRPr="0031311C">
        <w:t>Section 280 of the OPGGS Act makes it an offence for a person to carry on activities in an offshore area in a manner that interferes with the enjoyment of other rights and interests, to a greater extent than is necessary for the reasonable exercise of the person’s rights and performance of that person’s duties under the OPGGS Act. A person who contravenes section 280 may also be liable to civil penalties. It may also be grounds for cancellation of a title</w:t>
      </w:r>
      <w:r w:rsidRPr="0071727A">
        <w:t>.</w:t>
      </w:r>
    </w:p>
    <w:p w14:paraId="2FCCBA18" w14:textId="392D993C" w:rsidR="00FC1880" w:rsidRDefault="00903913" w:rsidP="0032159D">
      <w:pPr>
        <w:pStyle w:val="ListParagraph"/>
        <w:numPr>
          <w:ilvl w:val="1"/>
          <w:numId w:val="12"/>
        </w:numPr>
        <w:ind w:left="851" w:hanging="716"/>
      </w:pPr>
      <w:r w:rsidRPr="00EE213D">
        <w:t xml:space="preserve">Titleholders must comply with the data management and reporting requirements of the </w:t>
      </w:r>
      <w:r w:rsidR="001639D9" w:rsidRPr="00A0224A">
        <w:t>RMA Regulations</w:t>
      </w:r>
      <w:r w:rsidR="001639D9">
        <w:rPr>
          <w:i/>
          <w:iCs/>
        </w:rPr>
        <w:t xml:space="preserve">. </w:t>
      </w:r>
    </w:p>
    <w:p w14:paraId="30A8B69B" w14:textId="255C527D" w:rsidR="00903913" w:rsidRPr="00EE213D" w:rsidRDefault="00903913" w:rsidP="0032159D">
      <w:pPr>
        <w:pStyle w:val="ListParagraph"/>
        <w:numPr>
          <w:ilvl w:val="1"/>
          <w:numId w:val="12"/>
        </w:numPr>
        <w:ind w:left="851" w:hanging="716"/>
      </w:pPr>
      <w:r w:rsidRPr="00EE213D">
        <w:t>The</w:t>
      </w:r>
      <w:r w:rsidR="00B6682F">
        <w:t xml:space="preserve"> OPGGS</w:t>
      </w:r>
      <w:r w:rsidRPr="00EE213D">
        <w:t xml:space="preserve"> Act allows for a variation, suspension and/or exemption from compliance with work program condition</w:t>
      </w:r>
      <w:r w:rsidR="001B0C86">
        <w:t>/s</w:t>
      </w:r>
      <w:r w:rsidRPr="00EE213D">
        <w:t xml:space="preserve">. Where </w:t>
      </w:r>
      <w:r w:rsidR="008F1AD7">
        <w:t>the Joint Authority considers the circumstances make it reasonable to do so</w:t>
      </w:r>
      <w:r w:rsidRPr="00EE213D">
        <w:t>, the Joint Authority may also grant an extension to the permit term where a condition has been suspended.</w:t>
      </w:r>
    </w:p>
    <w:p w14:paraId="53722C9A" w14:textId="19F979DD" w:rsidR="00903913" w:rsidRPr="00EE213D" w:rsidRDefault="00903913" w:rsidP="0032159D">
      <w:pPr>
        <w:pStyle w:val="ListParagraph"/>
        <w:numPr>
          <w:ilvl w:val="1"/>
          <w:numId w:val="12"/>
        </w:numPr>
        <w:ind w:left="851" w:hanging="716"/>
      </w:pPr>
      <w:r w:rsidRPr="00EE213D">
        <w:t xml:space="preserve">The Joint Authority acknowledges elements of an exploration work </w:t>
      </w:r>
      <w:r w:rsidR="00750B0B" w:rsidRPr="00EE213D">
        <w:t>program,</w:t>
      </w:r>
      <w:r w:rsidRPr="00EE213D">
        <w:t xml:space="preserve"> or its timing may need to change as:</w:t>
      </w:r>
    </w:p>
    <w:p w14:paraId="020FC9B6" w14:textId="766A4B57" w:rsidR="00FC1880" w:rsidRPr="00E41D24" w:rsidRDefault="00903913" w:rsidP="0032159D">
      <w:pPr>
        <w:pStyle w:val="ListParagraph"/>
        <w:numPr>
          <w:ilvl w:val="2"/>
          <w:numId w:val="12"/>
        </w:numPr>
        <w:ind w:hanging="373"/>
      </w:pPr>
      <w:r w:rsidRPr="00EE213D">
        <w:t xml:space="preserve">Geological or technical knowledge is gained, requiring additional work i.e. technical </w:t>
      </w:r>
      <w:r w:rsidRPr="00E41D24">
        <w:t>grounds</w:t>
      </w:r>
      <w:r w:rsidR="00237E7B" w:rsidRPr="00E41D24">
        <w:t>.</w:t>
      </w:r>
    </w:p>
    <w:p w14:paraId="71835ECC" w14:textId="4BCFE84E" w:rsidR="00903913" w:rsidRPr="00E41D24" w:rsidRDefault="00903913" w:rsidP="0032159D">
      <w:pPr>
        <w:pStyle w:val="ListParagraph"/>
        <w:numPr>
          <w:ilvl w:val="2"/>
          <w:numId w:val="12"/>
        </w:numPr>
        <w:ind w:hanging="373"/>
      </w:pPr>
      <w:r w:rsidRPr="00E41D24">
        <w:t>If the timing of an activity is impacted by force majeure circumstances.</w:t>
      </w:r>
    </w:p>
    <w:p w14:paraId="57D8B756" w14:textId="215D8046" w:rsidR="00976EB7" w:rsidRPr="00E41D24" w:rsidRDefault="00C16B02" w:rsidP="0032159D">
      <w:pPr>
        <w:pStyle w:val="ListParagraph"/>
        <w:numPr>
          <w:ilvl w:val="2"/>
          <w:numId w:val="12"/>
        </w:numPr>
        <w:ind w:hanging="373"/>
      </w:pPr>
      <w:r w:rsidRPr="00E41D24">
        <w:t xml:space="preserve">New technology is </w:t>
      </w:r>
      <w:r w:rsidR="003439FA" w:rsidRPr="00E41D24">
        <w:t>used</w:t>
      </w:r>
      <w:r w:rsidRPr="00E41D24">
        <w:t xml:space="preserve"> to fulfill previously stated exploration objectives.</w:t>
      </w:r>
    </w:p>
    <w:p w14:paraId="2FFE4891" w14:textId="6760F56B" w:rsidR="00E77E70" w:rsidRPr="00E41D24" w:rsidRDefault="00903913" w:rsidP="00E70015">
      <w:pPr>
        <w:pStyle w:val="ListParagraph"/>
        <w:numPr>
          <w:ilvl w:val="1"/>
          <w:numId w:val="12"/>
        </w:numPr>
        <w:ind w:left="851" w:hanging="716"/>
      </w:pPr>
      <w:r w:rsidRPr="00E41D24">
        <w:t>All applications are considered by the Joint Authority on a permit</w:t>
      </w:r>
      <w:r w:rsidR="001B0C86" w:rsidRPr="00E41D24">
        <w:t>-</w:t>
      </w:r>
      <w:r w:rsidRPr="00E41D24">
        <w:t>by</w:t>
      </w:r>
      <w:r w:rsidR="001B0C86" w:rsidRPr="00E41D24">
        <w:t>-</w:t>
      </w:r>
      <w:r w:rsidRPr="00E41D24">
        <w:t xml:space="preserve">permit basis. Therefore, a separate application must be lodged for each permit. Application forms are available on </w:t>
      </w:r>
      <w:hyperlink r:id="rId36" w:tooltip="Link to website" w:history="1">
        <w:r w:rsidRPr="00E41D24">
          <w:t>NOPTA's website</w:t>
        </w:r>
      </w:hyperlink>
      <w:r w:rsidRPr="00E41D24">
        <w:t>.</w:t>
      </w:r>
    </w:p>
    <w:p w14:paraId="4932B2D9" w14:textId="0670DD66" w:rsidR="00E77E70" w:rsidRPr="00E41D24" w:rsidRDefault="00E77E70" w:rsidP="00E77E70">
      <w:pPr>
        <w:pStyle w:val="Calloutbox"/>
      </w:pPr>
      <w:r w:rsidRPr="00E41D24">
        <w:t xml:space="preserve">Further information on application requirements is at section </w:t>
      </w:r>
      <w:r w:rsidRPr="00E41D24">
        <w:fldChar w:fldCharType="begin"/>
      </w:r>
      <w:r w:rsidRPr="00E41D24">
        <w:instrText xml:space="preserve"> REF _Ref170990468 \r \h  \* MERGEFORMAT </w:instrText>
      </w:r>
      <w:r w:rsidRPr="00E41D24">
        <w:fldChar w:fldCharType="separate"/>
      </w:r>
      <w:r w:rsidR="00D95F2F">
        <w:t>1</w:t>
      </w:r>
      <w:r w:rsidRPr="00E41D24">
        <w:fldChar w:fldCharType="end"/>
      </w:r>
      <w:r w:rsidRPr="00E41D24">
        <w:t>.</w:t>
      </w:r>
    </w:p>
    <w:p w14:paraId="3904164F" w14:textId="14F4581F" w:rsidR="00903913" w:rsidRPr="00E41D24" w:rsidRDefault="00903913" w:rsidP="00E70015">
      <w:pPr>
        <w:pStyle w:val="ListParagraph"/>
        <w:numPr>
          <w:ilvl w:val="1"/>
          <w:numId w:val="12"/>
        </w:numPr>
        <w:ind w:left="851" w:hanging="716"/>
      </w:pPr>
      <w:r w:rsidRPr="00E41D24">
        <w:t xml:space="preserve">Applications made under </w:t>
      </w:r>
      <w:hyperlink r:id="rId37" w:tooltip="Link to Act" w:history="1">
        <w:r w:rsidRPr="00E41D24">
          <w:t xml:space="preserve">section 264 of the </w:t>
        </w:r>
        <w:r w:rsidR="00B6682F" w:rsidRPr="00E41D24">
          <w:t xml:space="preserve">OPGGS </w:t>
        </w:r>
        <w:r w:rsidRPr="00E41D24">
          <w:t>Act</w:t>
        </w:r>
      </w:hyperlink>
      <w:r w:rsidRPr="00E41D24">
        <w:t xml:space="preserve"> may be submitted at any time but should not be made later than 60 days before the end of the primary term or the permit year.</w:t>
      </w:r>
    </w:p>
    <w:p w14:paraId="6CD8A89E" w14:textId="78CCCDE1" w:rsidR="005B1EF8" w:rsidRPr="00E41D24" w:rsidRDefault="005B1EF8" w:rsidP="00E70015">
      <w:pPr>
        <w:pStyle w:val="ListParagraph"/>
        <w:numPr>
          <w:ilvl w:val="1"/>
          <w:numId w:val="12"/>
        </w:numPr>
        <w:ind w:left="851" w:hanging="716"/>
      </w:pPr>
      <w:r w:rsidRPr="00E41D24">
        <w:t xml:space="preserve">In the event the Joint Authority </w:t>
      </w:r>
      <w:r w:rsidR="00F66096" w:rsidRPr="00E41D24">
        <w:t>forms the view that it proposes to refuse</w:t>
      </w:r>
      <w:r w:rsidRPr="00E41D24">
        <w:t xml:space="preserve"> an application, </w:t>
      </w:r>
      <w:r w:rsidR="00FA3394" w:rsidRPr="00E41D24">
        <w:t xml:space="preserve">the applicant will </w:t>
      </w:r>
      <w:r w:rsidR="00F66096" w:rsidRPr="00E41D24">
        <w:t xml:space="preserve">be afforded </w:t>
      </w:r>
      <w:r w:rsidR="00FA3394" w:rsidRPr="00E41D24">
        <w:t>procedural fairness</w:t>
      </w:r>
      <w:r w:rsidR="00F66096" w:rsidRPr="00E41D24">
        <w:t xml:space="preserve">.  The applicant will be issued </w:t>
      </w:r>
      <w:r w:rsidR="00FA3394" w:rsidRPr="00E41D24">
        <w:t xml:space="preserve">a Notice of Intention to Refuse and be provided the opportunity to </w:t>
      </w:r>
      <w:r w:rsidR="00F66096" w:rsidRPr="00E41D24">
        <w:t xml:space="preserve">respond to the Joint Authority including to </w:t>
      </w:r>
      <w:r w:rsidR="00FA3394" w:rsidRPr="00E41D24">
        <w:t>provide additional information</w:t>
      </w:r>
      <w:r w:rsidR="00A264A5" w:rsidRPr="00E41D24">
        <w:t>, which will</w:t>
      </w:r>
      <w:r w:rsidR="008156A8" w:rsidRPr="00E41D24">
        <w:t xml:space="preserve"> then</w:t>
      </w:r>
      <w:r w:rsidR="00A264A5" w:rsidRPr="00E41D24">
        <w:t xml:space="preserve"> be considered by the Joint Authority prior to making a</w:t>
      </w:r>
      <w:r w:rsidR="00F66096" w:rsidRPr="00E41D24">
        <w:t xml:space="preserve"> final</w:t>
      </w:r>
      <w:r w:rsidR="00A264A5" w:rsidRPr="00E41D24">
        <w:t xml:space="preserve"> </w:t>
      </w:r>
      <w:r w:rsidR="008156A8" w:rsidRPr="00E41D24">
        <w:t>decision on the application.</w:t>
      </w:r>
    </w:p>
    <w:p w14:paraId="4EC9A005" w14:textId="77777777" w:rsidR="005B1EF8" w:rsidRDefault="00903913" w:rsidP="00E70015">
      <w:pPr>
        <w:pStyle w:val="ListParagraph"/>
        <w:numPr>
          <w:ilvl w:val="1"/>
          <w:numId w:val="12"/>
        </w:numPr>
        <w:ind w:left="851" w:hanging="716"/>
      </w:pPr>
      <w:r w:rsidRPr="00443628">
        <w:t>Titles that have a ‘prior usage right’ for the purposes of section</w:t>
      </w:r>
      <w:r w:rsidRPr="00EE213D">
        <w:t xml:space="preserve"> 359 of </w:t>
      </w:r>
      <w:hyperlink r:id="rId38" w:tooltip="Link to Act" w:history="1">
        <w:r w:rsidRPr="001B0C86">
          <w:rPr>
            <w:i/>
            <w:iCs/>
          </w:rPr>
          <w:t>the Environment Protection and Biodiversity Protection Act 1999</w:t>
        </w:r>
      </w:hyperlink>
      <w:r w:rsidRPr="00EE213D">
        <w:t xml:space="preserve"> (EPBC Act) will require consent from the Minister for the Environment before an extension to the permit term can be granted by the Joint Authority</w:t>
      </w:r>
      <w:r w:rsidR="00205E42">
        <w:t>.</w:t>
      </w:r>
    </w:p>
    <w:p w14:paraId="280CCBF1" w14:textId="03B16500" w:rsidR="00903913" w:rsidRPr="00EE213D" w:rsidRDefault="00205E42" w:rsidP="00205E42">
      <w:pPr>
        <w:pStyle w:val="Calloutbox"/>
      </w:pPr>
      <w:r>
        <w:t>R</w:t>
      </w:r>
      <w:r w:rsidR="00903913" w:rsidRPr="00EE213D">
        <w:t>efer to the</w:t>
      </w:r>
      <w:r w:rsidR="003F5E11">
        <w:t xml:space="preserve"> </w:t>
      </w:r>
      <w:hyperlink r:id="rId39" w:history="1">
        <w:r w:rsidR="003F5E11" w:rsidRPr="003F5E11">
          <w:rPr>
            <w:rStyle w:val="Hyperlink"/>
          </w:rPr>
          <w:t>Australian Marine Parks website</w:t>
        </w:r>
      </w:hyperlink>
      <w:r w:rsidR="003F5E11">
        <w:t xml:space="preserve"> for further information and a prior usage rights guideline.</w:t>
      </w:r>
    </w:p>
    <w:p w14:paraId="0DF89427" w14:textId="77777777" w:rsidR="00903913" w:rsidRPr="003F2D82" w:rsidRDefault="001B0C86" w:rsidP="00DC18F9">
      <w:pPr>
        <w:pStyle w:val="Heading3"/>
      </w:pPr>
      <w:bookmarkStart w:id="160" w:name="_Toc81487638"/>
      <w:bookmarkStart w:id="161" w:name="_Toc83042920"/>
      <w:bookmarkStart w:id="162" w:name="_Toc83395033"/>
      <w:bookmarkStart w:id="163" w:name="_Toc90044317"/>
      <w:bookmarkStart w:id="164" w:name="_Toc183622563"/>
      <w:bookmarkStart w:id="165" w:name="_Toc193955359"/>
      <w:r>
        <w:t>T</w:t>
      </w:r>
      <w:r w:rsidR="00903913">
        <w:t>echnical and financial capacity</w:t>
      </w:r>
      <w:bookmarkEnd w:id="160"/>
      <w:bookmarkEnd w:id="161"/>
      <w:bookmarkEnd w:id="162"/>
      <w:bookmarkEnd w:id="163"/>
      <w:bookmarkEnd w:id="164"/>
      <w:bookmarkEnd w:id="165"/>
    </w:p>
    <w:p w14:paraId="6ACE1B59" w14:textId="7388DE12" w:rsidR="00F66096" w:rsidRDefault="000B7C9B" w:rsidP="00E70015">
      <w:pPr>
        <w:pStyle w:val="ListParagraph"/>
        <w:numPr>
          <w:ilvl w:val="1"/>
          <w:numId w:val="12"/>
        </w:numPr>
        <w:ind w:left="851" w:hanging="716"/>
      </w:pPr>
      <w:r>
        <w:t>Section 264(2AA) of t</w:t>
      </w:r>
      <w:r w:rsidR="00903913" w:rsidRPr="00EE213D">
        <w:t xml:space="preserve">he </w:t>
      </w:r>
      <w:r w:rsidR="00B6682F">
        <w:t xml:space="preserve">OPGGS </w:t>
      </w:r>
      <w:r w:rsidR="00903913" w:rsidRPr="00EE213D">
        <w:t xml:space="preserve">Act provides that the Joint Authority may </w:t>
      </w:r>
      <w:r w:rsidR="00F66096">
        <w:t>have regard to:</w:t>
      </w:r>
    </w:p>
    <w:p w14:paraId="1BD43E78" w14:textId="6CE1ECA3" w:rsidR="00F66096" w:rsidRDefault="00F66096" w:rsidP="00833CF7">
      <w:pPr>
        <w:pStyle w:val="ListParagraph"/>
        <w:numPr>
          <w:ilvl w:val="0"/>
          <w:numId w:val="26"/>
        </w:numPr>
      </w:pPr>
      <w:r>
        <w:lastRenderedPageBreak/>
        <w:t xml:space="preserve">whether the </w:t>
      </w:r>
      <w:r w:rsidR="00903913" w:rsidRPr="00EE213D">
        <w:t xml:space="preserve">technical advice and financial resources </w:t>
      </w:r>
      <w:r>
        <w:t>available to the permittee are sufficient to:</w:t>
      </w:r>
    </w:p>
    <w:p w14:paraId="11A56CA2" w14:textId="37E19D97" w:rsidR="00F66096" w:rsidRDefault="00F66096" w:rsidP="00F66096">
      <w:pPr>
        <w:pStyle w:val="ListParagraph"/>
        <w:numPr>
          <w:ilvl w:val="0"/>
          <w:numId w:val="27"/>
        </w:numPr>
      </w:pPr>
      <w:r>
        <w:t>carry out the operations and works that will be authorised by the permit, if the condition of the permit is varied or suspended or the permittee is exempt from compliance with the conditions; and</w:t>
      </w:r>
    </w:p>
    <w:p w14:paraId="6682BAD9" w14:textId="28B961F1" w:rsidR="00F66096" w:rsidRDefault="00F66096" w:rsidP="00F66096">
      <w:pPr>
        <w:pStyle w:val="ListParagraph"/>
        <w:numPr>
          <w:ilvl w:val="0"/>
          <w:numId w:val="27"/>
        </w:numPr>
      </w:pPr>
      <w:r>
        <w:t>discharge the obligations that will be imposed under the OPGGS Act or a legislative instrument under the Act, in relation to the permit if the condition of the permit is varied or suspended or the permittee is exempt from compliance with the condition; and</w:t>
      </w:r>
    </w:p>
    <w:p w14:paraId="0E0F0403" w14:textId="6AEF2507" w:rsidR="00F66096" w:rsidRDefault="00F66096" w:rsidP="00F66096">
      <w:pPr>
        <w:pStyle w:val="ListParagraph"/>
        <w:ind w:left="851"/>
      </w:pPr>
      <w:r>
        <w:t>(b)</w:t>
      </w:r>
      <w:r>
        <w:tab/>
      </w:r>
      <w:r w:rsidR="00903913" w:rsidRPr="00EE213D">
        <w:t xml:space="preserve"> any other </w:t>
      </w:r>
      <w:r>
        <w:t>prescribed by the regulations; and</w:t>
      </w:r>
    </w:p>
    <w:p w14:paraId="1458471B" w14:textId="69AF2374" w:rsidR="00903913" w:rsidRPr="00EE213D" w:rsidRDefault="00F66096" w:rsidP="00833CF7">
      <w:pPr>
        <w:pStyle w:val="ListParagraph"/>
        <w:ind w:left="851"/>
      </w:pPr>
      <w:r>
        <w:t>(c)</w:t>
      </w:r>
      <w:r>
        <w:tab/>
        <w:t xml:space="preserve">any other </w:t>
      </w:r>
      <w:r w:rsidR="00903913" w:rsidRPr="00EE213D">
        <w:t>matters the Joint Authority considers relevant</w:t>
      </w:r>
      <w:r>
        <w:t xml:space="preserve">. </w:t>
      </w:r>
    </w:p>
    <w:p w14:paraId="19AC8D5C" w14:textId="1715175D" w:rsidR="00205E42" w:rsidRDefault="008178C1" w:rsidP="00833CF7">
      <w:pPr>
        <w:pStyle w:val="ListParagraph"/>
        <w:numPr>
          <w:ilvl w:val="1"/>
          <w:numId w:val="12"/>
        </w:numPr>
        <w:ind w:left="851" w:hanging="716"/>
      </w:pPr>
      <w:r>
        <w:t>An a</w:t>
      </w:r>
      <w:r w:rsidR="00903913" w:rsidRPr="00EE213D">
        <w:t xml:space="preserve">pplicant should include with </w:t>
      </w:r>
      <w:r>
        <w:t>its</w:t>
      </w:r>
      <w:r w:rsidR="00903913" w:rsidRPr="00EE213D">
        <w:t xml:space="preserve"> application any relevant information to demonstrate sufficient technical advice and financial resources are available.</w:t>
      </w:r>
    </w:p>
    <w:p w14:paraId="0BB7BEE4" w14:textId="06DC871B" w:rsidR="00806C3F" w:rsidRDefault="00903913" w:rsidP="00205E42">
      <w:pPr>
        <w:pStyle w:val="Calloutbox"/>
      </w:pPr>
      <w:r w:rsidRPr="00205E42">
        <w:t xml:space="preserve">Refer to the </w:t>
      </w:r>
      <w:hyperlink r:id="rId40" w:history="1">
        <w:r w:rsidRPr="00741FF4">
          <w:rPr>
            <w:rStyle w:val="Hyperlink"/>
          </w:rPr>
          <w:t>Factsheet: Financial resources</w:t>
        </w:r>
      </w:hyperlink>
      <w:r w:rsidRPr="00205E42">
        <w:t xml:space="preserve"> and the </w:t>
      </w:r>
      <w:hyperlink r:id="rId41" w:history="1">
        <w:r w:rsidRPr="007E04DF">
          <w:rPr>
            <w:rStyle w:val="Hyperlink"/>
          </w:rPr>
          <w:t>Guideline: Applicant suitability</w:t>
        </w:r>
      </w:hyperlink>
      <w:r w:rsidRPr="00205E42">
        <w:t xml:space="preserve"> for further details on application submissions requirements, assessments and decision making against these criteria.</w:t>
      </w:r>
    </w:p>
    <w:p w14:paraId="2322FAB6" w14:textId="60B6A15C" w:rsidR="00806C3F" w:rsidRPr="00AE04CB" w:rsidRDefault="00806C3F" w:rsidP="00806C3F">
      <w:pPr>
        <w:pStyle w:val="Calloutbox"/>
      </w:pPr>
      <w:r w:rsidRPr="00E77E70">
        <w:t xml:space="preserve">Further information on application requirements is at section </w:t>
      </w:r>
      <w:r w:rsidR="007E04DF">
        <w:fldChar w:fldCharType="begin"/>
      </w:r>
      <w:r w:rsidR="007E04DF">
        <w:instrText xml:space="preserve"> REF _Ref189217251 \r \h </w:instrText>
      </w:r>
      <w:r w:rsidR="007E04DF">
        <w:fldChar w:fldCharType="separate"/>
      </w:r>
      <w:r w:rsidR="00D95F2F">
        <w:t>1</w:t>
      </w:r>
      <w:r w:rsidR="007E04DF">
        <w:fldChar w:fldCharType="end"/>
      </w:r>
      <w:r w:rsidR="00F8714A">
        <w:t xml:space="preserve"> of this guideline.</w:t>
      </w:r>
    </w:p>
    <w:p w14:paraId="0FF8CF58" w14:textId="77777777" w:rsidR="00903913" w:rsidRPr="00EE213D" w:rsidRDefault="00903913" w:rsidP="00833CF7">
      <w:pPr>
        <w:pStyle w:val="ListParagraph"/>
        <w:numPr>
          <w:ilvl w:val="1"/>
          <w:numId w:val="12"/>
        </w:numPr>
        <w:ind w:left="851" w:hanging="716"/>
      </w:pPr>
      <w:r w:rsidRPr="00EE213D">
        <w:t>Following review of the initial information provided, the Titles Administrator and/or the Joint Authority may request further information from an applicant.</w:t>
      </w:r>
    </w:p>
    <w:p w14:paraId="5737116C" w14:textId="77777777" w:rsidR="00903913" w:rsidRPr="00EE213D" w:rsidRDefault="00903913" w:rsidP="00833CF7">
      <w:pPr>
        <w:pStyle w:val="ListParagraph"/>
        <w:numPr>
          <w:ilvl w:val="1"/>
          <w:numId w:val="12"/>
        </w:numPr>
        <w:ind w:left="851" w:hanging="716"/>
      </w:pPr>
      <w:r w:rsidRPr="00EE213D">
        <w:t xml:space="preserve">When determining whether an applicant has sufficient financial resources and technical advice for the purpose of </w:t>
      </w:r>
      <w:proofErr w:type="gramStart"/>
      <w:r w:rsidRPr="00EE213D">
        <w:t>making a decision</w:t>
      </w:r>
      <w:proofErr w:type="gramEnd"/>
      <w:r w:rsidRPr="00EE213D">
        <w:t xml:space="preserve"> on </w:t>
      </w:r>
      <w:r w:rsidR="001B0C86">
        <w:t>its</w:t>
      </w:r>
      <w:r w:rsidR="001B0C86" w:rsidRPr="00EE213D">
        <w:t xml:space="preserve"> </w:t>
      </w:r>
      <w:r w:rsidRPr="00EE213D">
        <w:t xml:space="preserve">application, the Joint Authority may consider: </w:t>
      </w:r>
    </w:p>
    <w:p w14:paraId="76A44DBF" w14:textId="77777777" w:rsidR="00903913" w:rsidRPr="001B0C86" w:rsidRDefault="001B0C86" w:rsidP="00833CF7">
      <w:pPr>
        <w:pStyle w:val="ListParagraph"/>
        <w:numPr>
          <w:ilvl w:val="2"/>
          <w:numId w:val="12"/>
        </w:numPr>
        <w:ind w:hanging="373"/>
      </w:pPr>
      <w:r>
        <w:t>W</w:t>
      </w:r>
      <w:r w:rsidR="00903913" w:rsidRPr="001B0C86">
        <w:t>hether there has been any material change in the financial resources and technical advice available to the applicant since the title was granted or last renewed</w:t>
      </w:r>
      <w:r>
        <w:t>.</w:t>
      </w:r>
    </w:p>
    <w:p w14:paraId="18479FB6" w14:textId="77777777" w:rsidR="00903913" w:rsidRPr="001B0C86" w:rsidRDefault="001B0C86" w:rsidP="00833CF7">
      <w:pPr>
        <w:pStyle w:val="ListParagraph"/>
        <w:numPr>
          <w:ilvl w:val="2"/>
          <w:numId w:val="12"/>
        </w:numPr>
        <w:ind w:hanging="373"/>
      </w:pPr>
      <w:r>
        <w:t>T</w:t>
      </w:r>
      <w:r w:rsidR="00903913" w:rsidRPr="001B0C86">
        <w:t>he impact of the application on the overall work program commitments</w:t>
      </w:r>
      <w:r>
        <w:t>.</w:t>
      </w:r>
    </w:p>
    <w:p w14:paraId="0EC6BE65" w14:textId="77777777" w:rsidR="00903913" w:rsidRPr="001B0C86" w:rsidRDefault="001B0C86" w:rsidP="00833CF7">
      <w:pPr>
        <w:pStyle w:val="ListParagraph"/>
        <w:numPr>
          <w:ilvl w:val="2"/>
          <w:numId w:val="12"/>
        </w:numPr>
        <w:ind w:hanging="373"/>
      </w:pPr>
      <w:r>
        <w:t>W</w:t>
      </w:r>
      <w:r w:rsidR="00903913" w:rsidRPr="001B0C86">
        <w:t>here future funding proposals have previously been identified to fund work program commitments, what progress has been made to date.</w:t>
      </w:r>
    </w:p>
    <w:p w14:paraId="7982E1C9" w14:textId="5E233911" w:rsidR="001B0C86" w:rsidRDefault="000B7C9B" w:rsidP="00DC18F9">
      <w:pPr>
        <w:pStyle w:val="Heading3"/>
      </w:pPr>
      <w:bookmarkStart w:id="166" w:name="_Toc183622564"/>
      <w:bookmarkStart w:id="167" w:name="_Toc193955360"/>
      <w:bookmarkStart w:id="168" w:name="_Toc81487639"/>
      <w:bookmarkStart w:id="169" w:name="_Toc83042921"/>
      <w:bookmarkStart w:id="170" w:name="_Toc83395034"/>
      <w:bookmarkStart w:id="171" w:name="_Toc90044318"/>
      <w:r>
        <w:t>Work</w:t>
      </w:r>
      <w:r w:rsidR="00903913">
        <w:t xml:space="preserve"> program commitment</w:t>
      </w:r>
      <w:r w:rsidR="00DA7C47">
        <w:t>s</w:t>
      </w:r>
      <w:bookmarkEnd w:id="166"/>
      <w:bookmarkEnd w:id="167"/>
    </w:p>
    <w:p w14:paraId="2D1CC598" w14:textId="2622B44A" w:rsidR="00903913" w:rsidRPr="00196F14" w:rsidRDefault="001B0C86" w:rsidP="001B0C86">
      <w:pPr>
        <w:pStyle w:val="Heading4"/>
      </w:pPr>
      <w:r>
        <w:t>S</w:t>
      </w:r>
      <w:r w:rsidR="00903913">
        <w:t>eismic data and reprocessing</w:t>
      </w:r>
      <w:bookmarkEnd w:id="168"/>
      <w:bookmarkEnd w:id="169"/>
      <w:bookmarkEnd w:id="170"/>
      <w:bookmarkEnd w:id="171"/>
    </w:p>
    <w:p w14:paraId="43D52F83" w14:textId="48BB581D" w:rsidR="00903913" w:rsidRPr="00EE213D" w:rsidRDefault="00903913" w:rsidP="00833CF7">
      <w:pPr>
        <w:pStyle w:val="ListParagraph"/>
        <w:numPr>
          <w:ilvl w:val="1"/>
          <w:numId w:val="12"/>
        </w:numPr>
        <w:ind w:left="851" w:hanging="716"/>
      </w:pPr>
      <w:r w:rsidRPr="00EE213D">
        <w:t>A titleholder may meet a seismic surveying commitment by licen</w:t>
      </w:r>
      <w:r w:rsidR="008F1AD7">
        <w:t>s</w:t>
      </w:r>
      <w:r w:rsidRPr="00EE213D">
        <w:t xml:space="preserve">ing an equivalent amount of </w:t>
      </w:r>
      <w:r w:rsidR="009710ED">
        <w:t xml:space="preserve">non-exclusive </w:t>
      </w:r>
      <w:r w:rsidR="00526040">
        <w:t xml:space="preserve">multi-client </w:t>
      </w:r>
      <w:r w:rsidRPr="00EE213D">
        <w:t xml:space="preserve">seismic </w:t>
      </w:r>
      <w:r w:rsidR="007E04DF" w:rsidRPr="00EE213D">
        <w:t>data if</w:t>
      </w:r>
      <w:r w:rsidRPr="00EE213D">
        <w:t xml:space="preserve"> the final processed data becomes available after the date the permit was granted.</w:t>
      </w:r>
    </w:p>
    <w:p w14:paraId="648C7F84" w14:textId="77777777" w:rsidR="00903913" w:rsidRPr="00EE213D" w:rsidRDefault="00903913" w:rsidP="00833CF7">
      <w:pPr>
        <w:pStyle w:val="ListParagraph"/>
        <w:numPr>
          <w:ilvl w:val="1"/>
          <w:numId w:val="12"/>
        </w:numPr>
        <w:ind w:left="851" w:hanging="716"/>
      </w:pPr>
      <w:r w:rsidRPr="00EE213D">
        <w:t>A titleholder may purchase and/or licence reprocessed seismic data to meet a seismic reprocessing work program commitment subject to the following conditions:</w:t>
      </w:r>
    </w:p>
    <w:p w14:paraId="7D04DD5D" w14:textId="77777777" w:rsidR="00903913" w:rsidRPr="001B0C86" w:rsidRDefault="00903913" w:rsidP="00833CF7">
      <w:pPr>
        <w:pStyle w:val="ListParagraph"/>
        <w:numPr>
          <w:ilvl w:val="2"/>
          <w:numId w:val="12"/>
        </w:numPr>
        <w:ind w:hanging="373"/>
      </w:pPr>
      <w:r w:rsidRPr="001B0C86">
        <w:t>The reprocessed data will only be accepted to the extent it meets, in part or in full, the original work program commitment.</w:t>
      </w:r>
    </w:p>
    <w:p w14:paraId="3EAD4700" w14:textId="77777777" w:rsidR="00903913" w:rsidRPr="001B0C86" w:rsidRDefault="00903913" w:rsidP="00833CF7">
      <w:pPr>
        <w:pStyle w:val="ListParagraph"/>
        <w:numPr>
          <w:ilvl w:val="2"/>
          <w:numId w:val="12"/>
        </w:numPr>
        <w:ind w:hanging="373"/>
      </w:pPr>
      <w:r w:rsidRPr="001B0C86">
        <w:t>The data must have been reprocessed after the date the permit was granted.</w:t>
      </w:r>
    </w:p>
    <w:p w14:paraId="18899B8D" w14:textId="7852E943" w:rsidR="00903913" w:rsidRPr="001B0C86" w:rsidRDefault="00903913" w:rsidP="00833CF7">
      <w:pPr>
        <w:pStyle w:val="ListParagraph"/>
        <w:numPr>
          <w:ilvl w:val="2"/>
          <w:numId w:val="12"/>
        </w:numPr>
        <w:ind w:hanging="373"/>
      </w:pPr>
      <w:r w:rsidRPr="001B0C86">
        <w:t xml:space="preserve">The reprocessing will be from raw data or the </w:t>
      </w:r>
      <w:r w:rsidR="007E04DF" w:rsidRPr="001B0C86">
        <w:t>quality-controlled</w:t>
      </w:r>
      <w:r w:rsidRPr="001B0C86">
        <w:t xml:space="preserve"> traces.</w:t>
      </w:r>
    </w:p>
    <w:p w14:paraId="72212DD0" w14:textId="77777777" w:rsidR="00903913" w:rsidRPr="001B0C86" w:rsidRDefault="00903913" w:rsidP="00833CF7">
      <w:pPr>
        <w:pStyle w:val="ListParagraph"/>
        <w:numPr>
          <w:ilvl w:val="2"/>
          <w:numId w:val="12"/>
        </w:numPr>
        <w:ind w:hanging="373"/>
      </w:pPr>
      <w:r w:rsidRPr="001B0C86">
        <w:t>The reprocessing must utilise techniques not previously undertaken on seismic data acquired within the permit.</w:t>
      </w:r>
    </w:p>
    <w:p w14:paraId="7DE76A3D" w14:textId="77777777" w:rsidR="00903913" w:rsidRPr="00EE213D" w:rsidRDefault="00903913" w:rsidP="00833CF7">
      <w:pPr>
        <w:pStyle w:val="ListParagraph"/>
        <w:numPr>
          <w:ilvl w:val="1"/>
          <w:numId w:val="12"/>
        </w:numPr>
        <w:ind w:left="851" w:hanging="716"/>
      </w:pPr>
      <w:r w:rsidRPr="00EE213D">
        <w:t>If an applicant proposes to licence data to use in its current form, or to reprocess as part of a work program commitment, it must ensure that:</w:t>
      </w:r>
    </w:p>
    <w:p w14:paraId="31E392BC" w14:textId="77777777" w:rsidR="00903913" w:rsidRPr="001B0C86" w:rsidRDefault="00903913" w:rsidP="000C47A6">
      <w:pPr>
        <w:pStyle w:val="ListParagraph"/>
        <w:numPr>
          <w:ilvl w:val="2"/>
          <w:numId w:val="12"/>
        </w:numPr>
        <w:ind w:hanging="373"/>
      </w:pPr>
      <w:r w:rsidRPr="001B0C86">
        <w:lastRenderedPageBreak/>
        <w:t>The data is in an industry standard form that is for purpose in meeting the objectives of the work program.</w:t>
      </w:r>
    </w:p>
    <w:p w14:paraId="0280F16B" w14:textId="77777777" w:rsidR="00903913" w:rsidRPr="001B0C86" w:rsidRDefault="00903913" w:rsidP="000C47A6">
      <w:pPr>
        <w:pStyle w:val="ListParagraph"/>
        <w:numPr>
          <w:ilvl w:val="2"/>
          <w:numId w:val="12"/>
        </w:numPr>
        <w:ind w:hanging="373"/>
      </w:pPr>
      <w:r w:rsidRPr="001B0C86">
        <w:t xml:space="preserve">It </w:t>
      </w:r>
      <w:proofErr w:type="gramStart"/>
      <w:r w:rsidRPr="001B0C86">
        <w:t>is able to</w:t>
      </w:r>
      <w:proofErr w:type="gramEnd"/>
      <w:r w:rsidRPr="001B0C86">
        <w:t xml:space="preserve"> provide information to NOPTA that demonstrates the work program commitment has been met.</w:t>
      </w:r>
    </w:p>
    <w:p w14:paraId="27BA5569" w14:textId="77777777" w:rsidR="00903913" w:rsidRPr="001B0C86" w:rsidRDefault="00903913" w:rsidP="000C47A6">
      <w:pPr>
        <w:pStyle w:val="ListParagraph"/>
        <w:numPr>
          <w:ilvl w:val="2"/>
          <w:numId w:val="12"/>
        </w:numPr>
        <w:ind w:hanging="373"/>
      </w:pPr>
      <w:r w:rsidRPr="001B0C86">
        <w:t>The data submission and release requirements can be met.</w:t>
      </w:r>
    </w:p>
    <w:p w14:paraId="326B7830" w14:textId="4275A42D" w:rsidR="00903913" w:rsidRPr="00842FAB" w:rsidRDefault="00BE31A1" w:rsidP="001B0C86">
      <w:pPr>
        <w:pStyle w:val="Heading4"/>
      </w:pPr>
      <w:bookmarkStart w:id="172" w:name="_Toc81487640"/>
      <w:bookmarkStart w:id="173" w:name="_Toc83042922"/>
      <w:bookmarkStart w:id="174" w:name="_Toc83395035"/>
      <w:bookmarkStart w:id="175" w:name="_Toc90044319"/>
      <w:r>
        <w:t>C</w:t>
      </w:r>
      <w:r w:rsidR="00903913">
        <w:t>redit</w:t>
      </w:r>
      <w:bookmarkEnd w:id="172"/>
      <w:bookmarkEnd w:id="173"/>
      <w:bookmarkEnd w:id="174"/>
      <w:bookmarkEnd w:id="175"/>
    </w:p>
    <w:p w14:paraId="5FEE8827" w14:textId="5A33F6CC" w:rsidR="00903913" w:rsidRPr="00EE213D" w:rsidRDefault="00903913" w:rsidP="004A6DD8">
      <w:pPr>
        <w:pStyle w:val="ListParagraph"/>
        <w:numPr>
          <w:ilvl w:val="1"/>
          <w:numId w:val="12"/>
        </w:numPr>
        <w:ind w:left="851" w:hanging="716"/>
      </w:pPr>
      <w:r w:rsidRPr="00EE213D">
        <w:t>The Joint Authority places a standard condition on</w:t>
      </w:r>
      <w:r w:rsidR="00F66096">
        <w:t xml:space="preserve"> a</w:t>
      </w:r>
      <w:r w:rsidRPr="00EE213D">
        <w:t xml:space="preserve"> title that enables the Titles Administrator, at its discretion and by written instrument, to credit activities undertaken within an earlier permit year as meeting the work program commitments of a later permit year.</w:t>
      </w:r>
    </w:p>
    <w:p w14:paraId="5CEA1B48" w14:textId="2DA2492E" w:rsidR="00903913" w:rsidRPr="00EE213D" w:rsidRDefault="00903913" w:rsidP="004A6DD8">
      <w:pPr>
        <w:pStyle w:val="ListParagraph"/>
        <w:numPr>
          <w:ilvl w:val="1"/>
          <w:numId w:val="12"/>
        </w:numPr>
        <w:ind w:left="851" w:hanging="716"/>
      </w:pPr>
      <w:r w:rsidRPr="00EE213D">
        <w:t xml:space="preserve">It is the responsibility of </w:t>
      </w:r>
      <w:r w:rsidR="00036A6F">
        <w:t xml:space="preserve">the </w:t>
      </w:r>
      <w:r w:rsidRPr="00EE213D">
        <w:t>titleholder to obtain the Titles Administrator’s agreement to credit an activity to a later permit year.</w:t>
      </w:r>
    </w:p>
    <w:p w14:paraId="1C256E34" w14:textId="5437CA40" w:rsidR="00903913" w:rsidRPr="00FD6D52" w:rsidRDefault="00903913" w:rsidP="00DC18F9">
      <w:pPr>
        <w:pStyle w:val="Heading3"/>
      </w:pPr>
      <w:bookmarkStart w:id="176" w:name="_Toc81487641"/>
      <w:bookmarkStart w:id="177" w:name="_Toc83042923"/>
      <w:bookmarkStart w:id="178" w:name="_Toc83395036"/>
      <w:bookmarkStart w:id="179" w:name="_Toc90044320"/>
      <w:bookmarkStart w:id="180" w:name="_Toc183622565"/>
      <w:bookmarkStart w:id="181" w:name="_Toc193955361"/>
      <w:r w:rsidRPr="00FD6D52">
        <w:t>Suspension or a suspension and extension</w:t>
      </w:r>
      <w:bookmarkEnd w:id="176"/>
      <w:bookmarkEnd w:id="177"/>
      <w:bookmarkEnd w:id="178"/>
      <w:bookmarkEnd w:id="179"/>
      <w:bookmarkEnd w:id="180"/>
      <w:bookmarkEnd w:id="181"/>
    </w:p>
    <w:p w14:paraId="4AC8A116" w14:textId="57175E37" w:rsidR="00EE0CCA" w:rsidRPr="00FD6D52" w:rsidRDefault="00903913" w:rsidP="004A6DD8">
      <w:pPr>
        <w:pStyle w:val="ListParagraph"/>
        <w:numPr>
          <w:ilvl w:val="1"/>
          <w:numId w:val="12"/>
        </w:numPr>
        <w:ind w:left="851" w:hanging="716"/>
      </w:pPr>
      <w:r w:rsidRPr="00FD6D52">
        <w:t>Titleholders may apply to suspend any of the conditions to which the permit is subject or apply to suspend any of the conditions to which the permit is subject together with an extension of the permit term</w:t>
      </w:r>
      <w:r w:rsidR="00036A6F" w:rsidRPr="00FD6D52">
        <w:t>—</w:t>
      </w:r>
      <w:r w:rsidRPr="00FD6D52">
        <w:t>a ‘suspension and extension’.</w:t>
      </w:r>
    </w:p>
    <w:p w14:paraId="0DD8A59B" w14:textId="77777777" w:rsidR="00861641" w:rsidRPr="00E41D24" w:rsidRDefault="00861641" w:rsidP="004A6DD8">
      <w:pPr>
        <w:pStyle w:val="ListParagraph"/>
        <w:numPr>
          <w:ilvl w:val="1"/>
          <w:numId w:val="12"/>
        </w:numPr>
        <w:ind w:left="851" w:hanging="716"/>
      </w:pPr>
      <w:r w:rsidRPr="00FD6D52">
        <w:t xml:space="preserve">The Joint Authority considers the work program </w:t>
      </w:r>
      <w:proofErr w:type="gramStart"/>
      <w:r w:rsidRPr="00FD6D52">
        <w:t>as a whole when</w:t>
      </w:r>
      <w:proofErr w:type="gramEnd"/>
      <w:r w:rsidRPr="00FD6D52">
        <w:t xml:space="preserve"> reviewing a suspension </w:t>
      </w:r>
      <w:r w:rsidRPr="00E41D24">
        <w:t>or suspension and extension application.</w:t>
      </w:r>
    </w:p>
    <w:p w14:paraId="4B55F244" w14:textId="7ECD6576" w:rsidR="00CE0A32" w:rsidRPr="00E41D24" w:rsidRDefault="00EE0CCA" w:rsidP="004A6DD8">
      <w:pPr>
        <w:pStyle w:val="ListParagraph"/>
        <w:numPr>
          <w:ilvl w:val="1"/>
          <w:numId w:val="12"/>
        </w:numPr>
        <w:ind w:left="851" w:hanging="716"/>
      </w:pPr>
      <w:r w:rsidRPr="00E41D24">
        <w:t>When proposing to suspend a permit year or years or extend the permit term, the length of suspension and/or extension should reflect the time that is reasonably required to complete all activities for the relevant permit year(s).</w:t>
      </w:r>
    </w:p>
    <w:p w14:paraId="3B3BF511" w14:textId="2544C688" w:rsidR="004F6C7F" w:rsidRPr="00E41D24" w:rsidRDefault="004F6C7F" w:rsidP="004A6DD8">
      <w:pPr>
        <w:pStyle w:val="ListParagraph"/>
        <w:numPr>
          <w:ilvl w:val="1"/>
          <w:numId w:val="12"/>
        </w:numPr>
        <w:ind w:left="851" w:hanging="716"/>
      </w:pPr>
      <w:r w:rsidRPr="00E41D24">
        <w:t>Titleholders should identify if a decision is required to be made in respect to the application before progressing the relevant activities and describe the proposed forward work program in periods from the date on which the application is approved.</w:t>
      </w:r>
    </w:p>
    <w:p w14:paraId="06356944" w14:textId="7C39E0DC" w:rsidR="00EE0CCA" w:rsidRPr="00E41D24" w:rsidRDefault="00CE0A32" w:rsidP="004A6DD8">
      <w:pPr>
        <w:pStyle w:val="ListParagraph"/>
        <w:numPr>
          <w:ilvl w:val="1"/>
          <w:numId w:val="12"/>
        </w:numPr>
        <w:ind w:left="851" w:hanging="716"/>
        <w:rPr>
          <w:strike/>
        </w:rPr>
      </w:pPr>
      <w:r w:rsidRPr="00E41D24">
        <w:t xml:space="preserve">Titleholders should </w:t>
      </w:r>
      <w:r w:rsidR="0017290E" w:rsidRPr="00E41D24">
        <w:t xml:space="preserve">also </w:t>
      </w:r>
      <w:r w:rsidRPr="00E41D24">
        <w:t>nominate as part of their application if the length of suspension and/or extension should apply from either the end date of the permit year or from the date of decision of the Joint Authority. The requested length of suspension/extension will only be applied from the date of approval if the application is approved after the end of the relevant permit year(s).</w:t>
      </w:r>
    </w:p>
    <w:p w14:paraId="4A14123F" w14:textId="07D9A10D" w:rsidR="00903913" w:rsidRPr="00FD6D52" w:rsidRDefault="00903913" w:rsidP="004A6DD8">
      <w:pPr>
        <w:pStyle w:val="ListParagraph"/>
        <w:numPr>
          <w:ilvl w:val="1"/>
          <w:numId w:val="12"/>
        </w:numPr>
        <w:ind w:left="851" w:hanging="716"/>
      </w:pPr>
      <w:r w:rsidRPr="00FD6D52">
        <w:t>The Joint Authority will generally only consider a suspension with an extension of the permit term if the proposed work program for the subsequent year/s is reliant on the work to be undertaken in the suspended year i.e. the subsequent year consists of an exploration well or other operational activities.</w:t>
      </w:r>
    </w:p>
    <w:p w14:paraId="7F0CCBBB" w14:textId="77777777" w:rsidR="00903913" w:rsidRPr="00FD6D52" w:rsidRDefault="00903913" w:rsidP="004A6DD8">
      <w:pPr>
        <w:pStyle w:val="ListParagraph"/>
        <w:numPr>
          <w:ilvl w:val="1"/>
          <w:numId w:val="12"/>
        </w:numPr>
        <w:ind w:left="851" w:hanging="716"/>
      </w:pPr>
      <w:r w:rsidRPr="00FD6D52">
        <w:t>If a suspension application is lodged in the final year of the permit term, the permit will remain in force until a decision is made by the Joint Authority. If the Joint Authority refuses the application, the permit will continue in force for at least two months, effective from the date the titleholder was notified of the refusal. This will ensure the titleholder has time to apply for a renewal of the permit or for the grant of a successor title prior to the expiry of the permit</w:t>
      </w:r>
      <w:r w:rsidR="00036A6F" w:rsidRPr="00FD6D52">
        <w:t>.</w:t>
      </w:r>
    </w:p>
    <w:p w14:paraId="28F0C4C3" w14:textId="77777777" w:rsidR="002256F9" w:rsidRPr="00FD6D52" w:rsidRDefault="00903913" w:rsidP="004A6DD8">
      <w:pPr>
        <w:pStyle w:val="ListParagraph"/>
        <w:numPr>
          <w:ilvl w:val="1"/>
          <w:numId w:val="12"/>
        </w:numPr>
        <w:ind w:left="851" w:hanging="716"/>
      </w:pPr>
      <w:r w:rsidRPr="00FD6D52">
        <w:t>A suspension or a suspension and extension will not change the reporting date for the Annual Titles Assessment Report</w:t>
      </w:r>
      <w:r w:rsidR="002256F9" w:rsidRPr="00FD6D52">
        <w:t>.</w:t>
      </w:r>
    </w:p>
    <w:p w14:paraId="37B9422F" w14:textId="53F300D9" w:rsidR="00903913" w:rsidRPr="00FD6D52" w:rsidRDefault="002256F9" w:rsidP="002256F9">
      <w:pPr>
        <w:pStyle w:val="Calloutbox"/>
      </w:pPr>
      <w:r w:rsidRPr="00FD6D52">
        <w:t>R</w:t>
      </w:r>
      <w:r w:rsidR="00903913" w:rsidRPr="00FD6D52">
        <w:t xml:space="preserve">efer </w:t>
      </w:r>
      <w:hyperlink r:id="rId42" w:tooltip="Link to regulations" w:history="1">
        <w:r w:rsidR="00903913" w:rsidRPr="00FD6D52">
          <w:t xml:space="preserve">3.03 of the RMA </w:t>
        </w:r>
        <w:r w:rsidR="00147AD0">
          <w:t>R</w:t>
        </w:r>
        <w:r w:rsidR="00903913" w:rsidRPr="00FD6D52">
          <w:t>egulations</w:t>
        </w:r>
      </w:hyperlink>
      <w:r w:rsidR="00903913" w:rsidRPr="00FD6D52">
        <w:t>.</w:t>
      </w:r>
    </w:p>
    <w:p w14:paraId="592CDAA4" w14:textId="28DD7439" w:rsidR="00903913" w:rsidRPr="00FD6D52" w:rsidRDefault="00903913" w:rsidP="000F7FE0">
      <w:pPr>
        <w:pStyle w:val="ListParagraph"/>
        <w:numPr>
          <w:ilvl w:val="1"/>
          <w:numId w:val="12"/>
        </w:numPr>
        <w:ind w:left="851" w:hanging="716"/>
      </w:pPr>
      <w:r w:rsidRPr="00FD6D52">
        <w:t xml:space="preserve">A suspension of a permit year </w:t>
      </w:r>
      <w:r w:rsidR="00036A6F" w:rsidRPr="00FD6D52">
        <w:t xml:space="preserve">only </w:t>
      </w:r>
      <w:r w:rsidRPr="00FD6D52">
        <w:t xml:space="preserve">suspends the deadline to complete </w:t>
      </w:r>
      <w:r w:rsidR="00256CAD" w:rsidRPr="00FD6D52">
        <w:t xml:space="preserve">the </w:t>
      </w:r>
      <w:r w:rsidRPr="00FD6D52">
        <w:t xml:space="preserve">work program commitment activities. A suspension </w:t>
      </w:r>
      <w:r w:rsidR="00DE1C21" w:rsidRPr="00FD6D52">
        <w:t>will</w:t>
      </w:r>
      <w:r w:rsidR="00036A6F" w:rsidRPr="00FD6D52">
        <w:t xml:space="preserve"> </w:t>
      </w:r>
      <w:r w:rsidRPr="00FD6D52">
        <w:t xml:space="preserve">defer the end date of the current permit year but will </w:t>
      </w:r>
      <w:r w:rsidRPr="00FD6D52">
        <w:lastRenderedPageBreak/>
        <w:t>not alter the end date of subsequent permit years</w:t>
      </w:r>
      <w:r w:rsidR="00256CAD" w:rsidRPr="00FD6D52">
        <w:t>. This generally results in permit years running concurrently.</w:t>
      </w:r>
    </w:p>
    <w:p w14:paraId="28CCB00E" w14:textId="04AA587F" w:rsidR="00036A6F" w:rsidRPr="00FD6D52" w:rsidRDefault="00903913" w:rsidP="009C4866">
      <w:pPr>
        <w:pStyle w:val="Caption"/>
        <w:keepNext/>
      </w:pPr>
      <w:r w:rsidRPr="00FD6D52">
        <w:t xml:space="preserve">An example of a 12-month suspension of </w:t>
      </w:r>
      <w:r w:rsidR="00036A6F" w:rsidRPr="00FD6D52">
        <w:t>y</w:t>
      </w:r>
      <w:r w:rsidRPr="00FD6D52">
        <w:t>ear 4</w:t>
      </w:r>
      <w:r w:rsidR="00001ACD" w:rsidRPr="00FD6D52">
        <w:t>, without an extension</w:t>
      </w:r>
    </w:p>
    <w:tbl>
      <w:tblPr>
        <w:tblStyle w:val="ListTable3-Accent4"/>
        <w:tblW w:w="0" w:type="auto"/>
        <w:tblLook w:val="04A0" w:firstRow="1" w:lastRow="0" w:firstColumn="1" w:lastColumn="0" w:noHBand="0" w:noVBand="1"/>
      </w:tblPr>
      <w:tblGrid>
        <w:gridCol w:w="629"/>
        <w:gridCol w:w="1421"/>
        <w:gridCol w:w="1314"/>
        <w:gridCol w:w="4002"/>
        <w:gridCol w:w="1650"/>
      </w:tblGrid>
      <w:tr w:rsidR="00036A6F" w:rsidRPr="00FD6D52" w14:paraId="3BEB2BFC" w14:textId="77777777" w:rsidTr="009C48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Pr>
          <w:p w14:paraId="4F8AC0D5" w14:textId="77777777" w:rsidR="00036A6F" w:rsidRPr="009C4866" w:rsidRDefault="00036A6F" w:rsidP="009C4866">
            <w:pPr>
              <w:keepNext/>
              <w:rPr>
                <w:b w:val="0"/>
                <w:bCs w:val="0"/>
                <w:color w:val="FFFFFF" w:themeColor="background1"/>
              </w:rPr>
            </w:pPr>
            <w:r w:rsidRPr="009C4866">
              <w:rPr>
                <w:color w:val="FFFFFF" w:themeColor="background1"/>
              </w:rPr>
              <w:t>Year</w:t>
            </w:r>
          </w:p>
        </w:tc>
        <w:tc>
          <w:tcPr>
            <w:tcW w:w="1421" w:type="dxa"/>
          </w:tcPr>
          <w:p w14:paraId="19148A9E" w14:textId="77777777" w:rsidR="00036A6F" w:rsidRPr="009C4866" w:rsidRDefault="00036A6F" w:rsidP="009C4866">
            <w:pPr>
              <w:keepN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C4866">
              <w:rPr>
                <w:color w:val="FFFFFF" w:themeColor="background1"/>
              </w:rPr>
              <w:t>Start date</w:t>
            </w:r>
          </w:p>
        </w:tc>
        <w:tc>
          <w:tcPr>
            <w:tcW w:w="1314" w:type="dxa"/>
          </w:tcPr>
          <w:p w14:paraId="44167DB4" w14:textId="77777777" w:rsidR="00036A6F" w:rsidRPr="009C4866" w:rsidRDefault="00036A6F" w:rsidP="009C4866">
            <w:pPr>
              <w:keepN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C4866">
              <w:rPr>
                <w:color w:val="FFFFFF" w:themeColor="background1"/>
              </w:rPr>
              <w:t>End date</w:t>
            </w:r>
          </w:p>
        </w:tc>
        <w:tc>
          <w:tcPr>
            <w:tcW w:w="4002" w:type="dxa"/>
          </w:tcPr>
          <w:p w14:paraId="2DE145F9" w14:textId="77777777" w:rsidR="00036A6F" w:rsidRPr="009C4866" w:rsidRDefault="00036A6F" w:rsidP="009C4866">
            <w:pPr>
              <w:keepN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C4866">
              <w:rPr>
                <w:color w:val="FFFFFF" w:themeColor="background1"/>
              </w:rPr>
              <w:t>Activity</w:t>
            </w:r>
          </w:p>
        </w:tc>
        <w:tc>
          <w:tcPr>
            <w:tcW w:w="1650" w:type="dxa"/>
          </w:tcPr>
          <w:p w14:paraId="3646244B" w14:textId="77777777" w:rsidR="00036A6F" w:rsidRPr="009C4866" w:rsidRDefault="00036A6F" w:rsidP="009C4866">
            <w:pPr>
              <w:keepN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C4866">
              <w:rPr>
                <w:color w:val="FFFFFF" w:themeColor="background1"/>
              </w:rPr>
              <w:t>Indicative cost $A</w:t>
            </w:r>
          </w:p>
        </w:tc>
      </w:tr>
      <w:tr w:rsidR="00036A6F" w:rsidRPr="00FD6D52" w14:paraId="5A8BE50C" w14:textId="77777777" w:rsidTr="009C4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Pr>
          <w:p w14:paraId="48033B1D" w14:textId="77777777" w:rsidR="00036A6F" w:rsidRPr="00FD6D52" w:rsidRDefault="00036A6F" w:rsidP="009C4866">
            <w:pPr>
              <w:keepNext/>
              <w:jc w:val="center"/>
              <w:rPr>
                <w:b w:val="0"/>
                <w:bCs w:val="0"/>
              </w:rPr>
            </w:pPr>
            <w:r w:rsidRPr="00FD6D52">
              <w:t>4</w:t>
            </w:r>
          </w:p>
        </w:tc>
        <w:tc>
          <w:tcPr>
            <w:tcW w:w="1421" w:type="dxa"/>
          </w:tcPr>
          <w:p w14:paraId="3EFF95D6" w14:textId="1E063EAC" w:rsidR="00036A6F" w:rsidRPr="00FD6D52" w:rsidRDefault="00036A6F" w:rsidP="009C4866">
            <w:pPr>
              <w:keepNext/>
              <w:jc w:val="center"/>
              <w:cnfStyle w:val="000000100000" w:firstRow="0" w:lastRow="0" w:firstColumn="0" w:lastColumn="0" w:oddVBand="0" w:evenVBand="0" w:oddHBand="1" w:evenHBand="0" w:firstRowFirstColumn="0" w:firstRowLastColumn="0" w:lastRowFirstColumn="0" w:lastRowLastColumn="0"/>
            </w:pPr>
            <w:r w:rsidRPr="00FD6D52">
              <w:t>01/01/20</w:t>
            </w:r>
            <w:r w:rsidR="00DE1C21" w:rsidRPr="00FD6D52">
              <w:t>2</w:t>
            </w:r>
            <w:r w:rsidRPr="00FD6D52">
              <w:t>8</w:t>
            </w:r>
          </w:p>
        </w:tc>
        <w:tc>
          <w:tcPr>
            <w:tcW w:w="1314" w:type="dxa"/>
          </w:tcPr>
          <w:p w14:paraId="76F26E15" w14:textId="77777777" w:rsidR="00036A6F" w:rsidRPr="00FD6D52" w:rsidRDefault="00036A6F" w:rsidP="009C4866">
            <w:pPr>
              <w:keepNext/>
              <w:jc w:val="center"/>
              <w:cnfStyle w:val="000000100000" w:firstRow="0" w:lastRow="0" w:firstColumn="0" w:lastColumn="0" w:oddVBand="0" w:evenVBand="0" w:oddHBand="1" w:evenHBand="0" w:firstRowFirstColumn="0" w:firstRowLastColumn="0" w:lastRowFirstColumn="0" w:lastRowLastColumn="0"/>
            </w:pPr>
            <w:r w:rsidRPr="00FD6D52">
              <w:t>31/12/2029</w:t>
            </w:r>
          </w:p>
        </w:tc>
        <w:tc>
          <w:tcPr>
            <w:tcW w:w="4002" w:type="dxa"/>
          </w:tcPr>
          <w:p w14:paraId="4D762353" w14:textId="77777777" w:rsidR="00036A6F" w:rsidRPr="00FD6D52" w:rsidRDefault="00036A6F" w:rsidP="009C4866">
            <w:pPr>
              <w:keepNext/>
              <w:cnfStyle w:val="000000100000" w:firstRow="0" w:lastRow="0" w:firstColumn="0" w:lastColumn="0" w:oddVBand="0" w:evenVBand="0" w:oddHBand="1" w:evenHBand="0" w:firstRowFirstColumn="0" w:firstRowLastColumn="0" w:lastRowFirstColumn="0" w:lastRowLastColumn="0"/>
            </w:pPr>
            <w:r w:rsidRPr="00FD6D52">
              <w:t>Geophysical and geological studies including prospect and lead maturation studies</w:t>
            </w:r>
          </w:p>
        </w:tc>
        <w:tc>
          <w:tcPr>
            <w:tcW w:w="1650" w:type="dxa"/>
          </w:tcPr>
          <w:p w14:paraId="4835FF31" w14:textId="77777777" w:rsidR="00036A6F" w:rsidRPr="00FD6D52" w:rsidRDefault="00036A6F" w:rsidP="009C4866">
            <w:pPr>
              <w:keepNext/>
              <w:cnfStyle w:val="000000100000" w:firstRow="0" w:lastRow="0" w:firstColumn="0" w:lastColumn="0" w:oddVBand="0" w:evenVBand="0" w:oddHBand="1" w:evenHBand="0" w:firstRowFirstColumn="0" w:firstRowLastColumn="0" w:lastRowFirstColumn="0" w:lastRowLastColumn="0"/>
            </w:pPr>
            <w:r w:rsidRPr="00FD6D52">
              <w:t>000,000</w:t>
            </w:r>
          </w:p>
        </w:tc>
      </w:tr>
      <w:tr w:rsidR="00036A6F" w:rsidRPr="00FD6D52" w14:paraId="14346E17" w14:textId="77777777" w:rsidTr="009C4866">
        <w:tc>
          <w:tcPr>
            <w:cnfStyle w:val="001000000000" w:firstRow="0" w:lastRow="0" w:firstColumn="1" w:lastColumn="0" w:oddVBand="0" w:evenVBand="0" w:oddHBand="0" w:evenHBand="0" w:firstRowFirstColumn="0" w:firstRowLastColumn="0" w:lastRowFirstColumn="0" w:lastRowLastColumn="0"/>
            <w:tcW w:w="629" w:type="dxa"/>
          </w:tcPr>
          <w:p w14:paraId="43DEECED" w14:textId="77777777" w:rsidR="00036A6F" w:rsidRPr="00FD6D52" w:rsidRDefault="00036A6F" w:rsidP="009C4866">
            <w:pPr>
              <w:keepNext/>
              <w:jc w:val="center"/>
              <w:rPr>
                <w:b w:val="0"/>
                <w:bCs w:val="0"/>
              </w:rPr>
            </w:pPr>
            <w:r w:rsidRPr="00FD6D52">
              <w:t>5</w:t>
            </w:r>
          </w:p>
        </w:tc>
        <w:tc>
          <w:tcPr>
            <w:tcW w:w="1421" w:type="dxa"/>
          </w:tcPr>
          <w:p w14:paraId="5A342BB2" w14:textId="2BA768CA" w:rsidR="00036A6F" w:rsidRPr="00FD6D52" w:rsidRDefault="00036A6F" w:rsidP="009C4866">
            <w:pPr>
              <w:keepNext/>
              <w:jc w:val="center"/>
              <w:cnfStyle w:val="000000000000" w:firstRow="0" w:lastRow="0" w:firstColumn="0" w:lastColumn="0" w:oddVBand="0" w:evenVBand="0" w:oddHBand="0" w:evenHBand="0" w:firstRowFirstColumn="0" w:firstRowLastColumn="0" w:lastRowFirstColumn="0" w:lastRowLastColumn="0"/>
            </w:pPr>
            <w:r w:rsidRPr="00FD6D52">
              <w:t>01/01/20</w:t>
            </w:r>
            <w:r w:rsidR="00DE1C21" w:rsidRPr="00FD6D52">
              <w:t>2</w:t>
            </w:r>
            <w:r w:rsidRPr="00FD6D52">
              <w:t>9</w:t>
            </w:r>
          </w:p>
        </w:tc>
        <w:tc>
          <w:tcPr>
            <w:tcW w:w="1314" w:type="dxa"/>
          </w:tcPr>
          <w:p w14:paraId="1E7D1F36" w14:textId="506BD47D" w:rsidR="00036A6F" w:rsidRPr="00FD6D52" w:rsidRDefault="00036A6F" w:rsidP="009C4866">
            <w:pPr>
              <w:keepNext/>
              <w:jc w:val="center"/>
              <w:cnfStyle w:val="000000000000" w:firstRow="0" w:lastRow="0" w:firstColumn="0" w:lastColumn="0" w:oddVBand="0" w:evenVBand="0" w:oddHBand="0" w:evenHBand="0" w:firstRowFirstColumn="0" w:firstRowLastColumn="0" w:lastRowFirstColumn="0" w:lastRowLastColumn="0"/>
            </w:pPr>
            <w:r w:rsidRPr="00FD6D52">
              <w:t>31/12/20</w:t>
            </w:r>
            <w:r w:rsidR="00DE1C21" w:rsidRPr="00FD6D52">
              <w:t>2</w:t>
            </w:r>
            <w:r w:rsidRPr="00FD6D52">
              <w:t>9</w:t>
            </w:r>
          </w:p>
        </w:tc>
        <w:tc>
          <w:tcPr>
            <w:tcW w:w="4002" w:type="dxa"/>
          </w:tcPr>
          <w:p w14:paraId="41232266" w14:textId="77777777" w:rsidR="00036A6F" w:rsidRPr="00FD6D52" w:rsidRDefault="00036A6F" w:rsidP="009C4866">
            <w:pPr>
              <w:keepNext/>
              <w:cnfStyle w:val="000000000000" w:firstRow="0" w:lastRow="0" w:firstColumn="0" w:lastColumn="0" w:oddVBand="0" w:evenVBand="0" w:oddHBand="0" w:evenHBand="0" w:firstRowFirstColumn="0" w:firstRowLastColumn="0" w:lastRowFirstColumn="0" w:lastRowLastColumn="0"/>
            </w:pPr>
            <w:r w:rsidRPr="00FD6D52">
              <w:t>One exploration well</w:t>
            </w:r>
          </w:p>
        </w:tc>
        <w:tc>
          <w:tcPr>
            <w:tcW w:w="1650" w:type="dxa"/>
          </w:tcPr>
          <w:p w14:paraId="7BEB7D57" w14:textId="77777777" w:rsidR="00036A6F" w:rsidRPr="00FD6D52" w:rsidRDefault="00036A6F" w:rsidP="009C4866">
            <w:pPr>
              <w:keepNext/>
              <w:cnfStyle w:val="000000000000" w:firstRow="0" w:lastRow="0" w:firstColumn="0" w:lastColumn="0" w:oddVBand="0" w:evenVBand="0" w:oddHBand="0" w:evenHBand="0" w:firstRowFirstColumn="0" w:firstRowLastColumn="0" w:lastRowFirstColumn="0" w:lastRowLastColumn="0"/>
            </w:pPr>
            <w:r w:rsidRPr="00FD6D52">
              <w:t>00,000,000</w:t>
            </w:r>
          </w:p>
        </w:tc>
      </w:tr>
      <w:tr w:rsidR="00036A6F" w:rsidRPr="00FD6D52" w14:paraId="7FF08E9E" w14:textId="77777777" w:rsidTr="009C4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Pr>
          <w:p w14:paraId="3A702905" w14:textId="77777777" w:rsidR="00036A6F" w:rsidRPr="00FD6D52" w:rsidRDefault="00036A6F" w:rsidP="009C4866">
            <w:pPr>
              <w:keepNext/>
              <w:jc w:val="center"/>
              <w:rPr>
                <w:b w:val="0"/>
                <w:bCs w:val="0"/>
              </w:rPr>
            </w:pPr>
            <w:r w:rsidRPr="00FD6D52">
              <w:t>6</w:t>
            </w:r>
          </w:p>
        </w:tc>
        <w:tc>
          <w:tcPr>
            <w:tcW w:w="1421" w:type="dxa"/>
          </w:tcPr>
          <w:p w14:paraId="7BE27549" w14:textId="53C3A7B6" w:rsidR="00036A6F" w:rsidRPr="00FD6D52" w:rsidRDefault="00036A6F" w:rsidP="009C4866">
            <w:pPr>
              <w:keepNext/>
              <w:jc w:val="center"/>
              <w:cnfStyle w:val="000000100000" w:firstRow="0" w:lastRow="0" w:firstColumn="0" w:lastColumn="0" w:oddVBand="0" w:evenVBand="0" w:oddHBand="1" w:evenHBand="0" w:firstRowFirstColumn="0" w:firstRowLastColumn="0" w:lastRowFirstColumn="0" w:lastRowLastColumn="0"/>
            </w:pPr>
            <w:r w:rsidRPr="00FD6D52">
              <w:t>01/01/20</w:t>
            </w:r>
            <w:r w:rsidR="00DE1C21" w:rsidRPr="00FD6D52">
              <w:t>3</w:t>
            </w:r>
            <w:r w:rsidRPr="00FD6D52">
              <w:t>0</w:t>
            </w:r>
          </w:p>
        </w:tc>
        <w:tc>
          <w:tcPr>
            <w:tcW w:w="1314" w:type="dxa"/>
          </w:tcPr>
          <w:p w14:paraId="39BA74DF" w14:textId="1405C4F7" w:rsidR="00036A6F" w:rsidRPr="00FD6D52" w:rsidRDefault="00036A6F" w:rsidP="009C4866">
            <w:pPr>
              <w:keepNext/>
              <w:jc w:val="center"/>
              <w:cnfStyle w:val="000000100000" w:firstRow="0" w:lastRow="0" w:firstColumn="0" w:lastColumn="0" w:oddVBand="0" w:evenVBand="0" w:oddHBand="1" w:evenHBand="0" w:firstRowFirstColumn="0" w:firstRowLastColumn="0" w:lastRowFirstColumn="0" w:lastRowLastColumn="0"/>
            </w:pPr>
            <w:r w:rsidRPr="00FD6D52">
              <w:t>31/12/20</w:t>
            </w:r>
            <w:r w:rsidR="00DE1C21" w:rsidRPr="00FD6D52">
              <w:t>3</w:t>
            </w:r>
            <w:r w:rsidRPr="00FD6D52">
              <w:t>0</w:t>
            </w:r>
          </w:p>
        </w:tc>
        <w:tc>
          <w:tcPr>
            <w:tcW w:w="4002" w:type="dxa"/>
          </w:tcPr>
          <w:p w14:paraId="41225286" w14:textId="77777777" w:rsidR="00036A6F" w:rsidRPr="00FD6D52" w:rsidRDefault="00036A6F" w:rsidP="009C4866">
            <w:pPr>
              <w:keepNext/>
              <w:cnfStyle w:val="000000100000" w:firstRow="0" w:lastRow="0" w:firstColumn="0" w:lastColumn="0" w:oddVBand="0" w:evenVBand="0" w:oddHBand="1" w:evenHBand="0" w:firstRowFirstColumn="0" w:firstRowLastColumn="0" w:lastRowFirstColumn="0" w:lastRowLastColumn="0"/>
            </w:pPr>
            <w:r w:rsidRPr="00FD6D52">
              <w:t>Geotechnical and geological studies</w:t>
            </w:r>
          </w:p>
        </w:tc>
        <w:tc>
          <w:tcPr>
            <w:tcW w:w="1650" w:type="dxa"/>
          </w:tcPr>
          <w:p w14:paraId="5CC4AB68" w14:textId="77777777" w:rsidR="00036A6F" w:rsidRPr="00FD6D52" w:rsidRDefault="00036A6F" w:rsidP="009C4866">
            <w:pPr>
              <w:keepNext/>
              <w:cnfStyle w:val="000000100000" w:firstRow="0" w:lastRow="0" w:firstColumn="0" w:lastColumn="0" w:oddVBand="0" w:evenVBand="0" w:oddHBand="1" w:evenHBand="0" w:firstRowFirstColumn="0" w:firstRowLastColumn="0" w:lastRowFirstColumn="0" w:lastRowLastColumn="0"/>
            </w:pPr>
            <w:r w:rsidRPr="00FD6D52">
              <w:t>0,000,000</w:t>
            </w:r>
          </w:p>
        </w:tc>
      </w:tr>
    </w:tbl>
    <w:p w14:paraId="4A9C3B6F" w14:textId="77777777" w:rsidR="00903913" w:rsidRPr="00FD6D52" w:rsidRDefault="00903913" w:rsidP="004F5E0E">
      <w:pPr>
        <w:pStyle w:val="ListParagraph"/>
        <w:numPr>
          <w:ilvl w:val="1"/>
          <w:numId w:val="12"/>
        </w:numPr>
        <w:spacing w:before="120"/>
        <w:ind w:left="850" w:hanging="714"/>
      </w:pPr>
      <w:r w:rsidRPr="00FD6D52">
        <w:t>A suspension and extension will defer the end date of the current permit year and all subsequent permit years.</w:t>
      </w:r>
    </w:p>
    <w:p w14:paraId="66A0EADD" w14:textId="0F3A6823" w:rsidR="00903913" w:rsidRPr="00FD6D52" w:rsidRDefault="00903913" w:rsidP="009C4866">
      <w:pPr>
        <w:pStyle w:val="Caption"/>
        <w:keepNext/>
        <w:keepLines/>
      </w:pPr>
      <w:r w:rsidRPr="00FD6D52">
        <w:t xml:space="preserve">An example of a 12-month suspension of </w:t>
      </w:r>
      <w:r w:rsidR="00036A6F" w:rsidRPr="00FD6D52">
        <w:t>y</w:t>
      </w:r>
      <w:r w:rsidRPr="00FD6D52">
        <w:t xml:space="preserve">ear 4 and </w:t>
      </w:r>
      <w:r w:rsidR="00036A6F" w:rsidRPr="00FD6D52">
        <w:t xml:space="preserve">an </w:t>
      </w:r>
      <w:r w:rsidRPr="00FD6D52">
        <w:t>extension of the permit term</w:t>
      </w:r>
    </w:p>
    <w:tbl>
      <w:tblPr>
        <w:tblStyle w:val="ListTable3-Accent4"/>
        <w:tblW w:w="0" w:type="auto"/>
        <w:tblLook w:val="04A0" w:firstRow="1" w:lastRow="0" w:firstColumn="1" w:lastColumn="0" w:noHBand="0" w:noVBand="1"/>
      </w:tblPr>
      <w:tblGrid>
        <w:gridCol w:w="629"/>
        <w:gridCol w:w="1421"/>
        <w:gridCol w:w="1314"/>
        <w:gridCol w:w="4002"/>
        <w:gridCol w:w="1650"/>
      </w:tblGrid>
      <w:tr w:rsidR="00036A6F" w:rsidRPr="00FD6D52" w14:paraId="291B1EE2" w14:textId="77777777" w:rsidTr="009C48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Pr>
          <w:p w14:paraId="465EFC72" w14:textId="77777777" w:rsidR="00036A6F" w:rsidRPr="009C4866" w:rsidRDefault="00036A6F" w:rsidP="009C4866">
            <w:pPr>
              <w:keepNext/>
              <w:keepLines/>
              <w:rPr>
                <w:b w:val="0"/>
                <w:bCs w:val="0"/>
                <w:color w:val="FFFFFF" w:themeColor="background1"/>
              </w:rPr>
            </w:pPr>
            <w:r w:rsidRPr="009C4866">
              <w:rPr>
                <w:color w:val="FFFFFF" w:themeColor="background1"/>
              </w:rPr>
              <w:t>Year</w:t>
            </w:r>
          </w:p>
        </w:tc>
        <w:tc>
          <w:tcPr>
            <w:tcW w:w="1421" w:type="dxa"/>
          </w:tcPr>
          <w:p w14:paraId="45078B4A" w14:textId="77777777" w:rsidR="00036A6F" w:rsidRPr="009C4866" w:rsidRDefault="00036A6F" w:rsidP="009C4866">
            <w:pPr>
              <w:keepNext/>
              <w:keepLines/>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C4866">
              <w:rPr>
                <w:color w:val="FFFFFF" w:themeColor="background1"/>
              </w:rPr>
              <w:t>Start date</w:t>
            </w:r>
          </w:p>
        </w:tc>
        <w:tc>
          <w:tcPr>
            <w:tcW w:w="1314" w:type="dxa"/>
          </w:tcPr>
          <w:p w14:paraId="4D77629C" w14:textId="77777777" w:rsidR="00036A6F" w:rsidRPr="009C4866" w:rsidRDefault="00036A6F" w:rsidP="009C4866">
            <w:pPr>
              <w:keepNext/>
              <w:keepLines/>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C4866">
              <w:rPr>
                <w:color w:val="FFFFFF" w:themeColor="background1"/>
              </w:rPr>
              <w:t>End date</w:t>
            </w:r>
          </w:p>
        </w:tc>
        <w:tc>
          <w:tcPr>
            <w:tcW w:w="4002" w:type="dxa"/>
          </w:tcPr>
          <w:p w14:paraId="780ED482" w14:textId="77777777" w:rsidR="00036A6F" w:rsidRPr="009C4866" w:rsidRDefault="00036A6F" w:rsidP="009C4866">
            <w:pPr>
              <w:keepNext/>
              <w:keepLines/>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C4866">
              <w:rPr>
                <w:color w:val="FFFFFF" w:themeColor="background1"/>
              </w:rPr>
              <w:t>Activity</w:t>
            </w:r>
          </w:p>
        </w:tc>
        <w:tc>
          <w:tcPr>
            <w:tcW w:w="1650" w:type="dxa"/>
          </w:tcPr>
          <w:p w14:paraId="6BFB7742" w14:textId="77777777" w:rsidR="00036A6F" w:rsidRPr="009C4866" w:rsidRDefault="00036A6F" w:rsidP="009C4866">
            <w:pPr>
              <w:keepNext/>
              <w:keepLines/>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C4866">
              <w:rPr>
                <w:color w:val="FFFFFF" w:themeColor="background1"/>
              </w:rPr>
              <w:t>Indicative cost $A</w:t>
            </w:r>
          </w:p>
        </w:tc>
      </w:tr>
      <w:tr w:rsidR="00036A6F" w:rsidRPr="00FD6D52" w14:paraId="5B9EFAA4" w14:textId="77777777" w:rsidTr="009C4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Pr>
          <w:p w14:paraId="107C79FA" w14:textId="77777777" w:rsidR="00036A6F" w:rsidRPr="00FD6D52" w:rsidRDefault="00036A6F" w:rsidP="009C4866">
            <w:pPr>
              <w:keepNext/>
              <w:keepLines/>
              <w:jc w:val="center"/>
              <w:rPr>
                <w:b w:val="0"/>
                <w:bCs w:val="0"/>
              </w:rPr>
            </w:pPr>
            <w:r w:rsidRPr="00FD6D52">
              <w:t>4</w:t>
            </w:r>
          </w:p>
        </w:tc>
        <w:tc>
          <w:tcPr>
            <w:tcW w:w="1421" w:type="dxa"/>
          </w:tcPr>
          <w:p w14:paraId="1260364D" w14:textId="2FE7C767" w:rsidR="00036A6F" w:rsidRPr="00FD6D52" w:rsidRDefault="00322607" w:rsidP="009C4866">
            <w:pPr>
              <w:keepNext/>
              <w:keepLines/>
              <w:jc w:val="center"/>
              <w:cnfStyle w:val="000000100000" w:firstRow="0" w:lastRow="0" w:firstColumn="0" w:lastColumn="0" w:oddVBand="0" w:evenVBand="0" w:oddHBand="1" w:evenHBand="0" w:firstRowFirstColumn="0" w:firstRowLastColumn="0" w:lastRowFirstColumn="0" w:lastRowLastColumn="0"/>
            </w:pPr>
            <w:r w:rsidRPr="00FD6D52">
              <w:t>0</w:t>
            </w:r>
            <w:r w:rsidR="00036A6F" w:rsidRPr="00FD6D52">
              <w:t>1/01/20</w:t>
            </w:r>
            <w:r w:rsidR="00DE1C21" w:rsidRPr="00FD6D52">
              <w:t>2</w:t>
            </w:r>
            <w:r w:rsidR="00036A6F" w:rsidRPr="00FD6D52">
              <w:t>8</w:t>
            </w:r>
          </w:p>
        </w:tc>
        <w:tc>
          <w:tcPr>
            <w:tcW w:w="1314" w:type="dxa"/>
          </w:tcPr>
          <w:p w14:paraId="4E8D37FB" w14:textId="77777777" w:rsidR="00036A6F" w:rsidRPr="00FD6D52" w:rsidRDefault="00036A6F" w:rsidP="009C4866">
            <w:pPr>
              <w:keepNext/>
              <w:keepLines/>
              <w:jc w:val="center"/>
              <w:cnfStyle w:val="000000100000" w:firstRow="0" w:lastRow="0" w:firstColumn="0" w:lastColumn="0" w:oddVBand="0" w:evenVBand="0" w:oddHBand="1" w:evenHBand="0" w:firstRowFirstColumn="0" w:firstRowLastColumn="0" w:lastRowFirstColumn="0" w:lastRowLastColumn="0"/>
            </w:pPr>
            <w:r w:rsidRPr="00FD6D52">
              <w:t>31/12/2029</w:t>
            </w:r>
          </w:p>
        </w:tc>
        <w:tc>
          <w:tcPr>
            <w:tcW w:w="4002" w:type="dxa"/>
          </w:tcPr>
          <w:p w14:paraId="1AA96656" w14:textId="77777777" w:rsidR="00036A6F" w:rsidRPr="00FD6D52" w:rsidRDefault="00036A6F" w:rsidP="009C4866">
            <w:pPr>
              <w:keepNext/>
              <w:keepLines/>
              <w:cnfStyle w:val="000000100000" w:firstRow="0" w:lastRow="0" w:firstColumn="0" w:lastColumn="0" w:oddVBand="0" w:evenVBand="0" w:oddHBand="1" w:evenHBand="0" w:firstRowFirstColumn="0" w:firstRowLastColumn="0" w:lastRowFirstColumn="0" w:lastRowLastColumn="0"/>
            </w:pPr>
            <w:r w:rsidRPr="00FD6D52">
              <w:t>Geophysical and geological studies including prospect and lead maturation studies</w:t>
            </w:r>
          </w:p>
        </w:tc>
        <w:tc>
          <w:tcPr>
            <w:tcW w:w="1650" w:type="dxa"/>
          </w:tcPr>
          <w:p w14:paraId="6FC7B606" w14:textId="77777777" w:rsidR="00036A6F" w:rsidRPr="00FD6D52" w:rsidRDefault="00036A6F" w:rsidP="009C4866">
            <w:pPr>
              <w:keepNext/>
              <w:keepLines/>
              <w:cnfStyle w:val="000000100000" w:firstRow="0" w:lastRow="0" w:firstColumn="0" w:lastColumn="0" w:oddVBand="0" w:evenVBand="0" w:oddHBand="1" w:evenHBand="0" w:firstRowFirstColumn="0" w:firstRowLastColumn="0" w:lastRowFirstColumn="0" w:lastRowLastColumn="0"/>
            </w:pPr>
            <w:r w:rsidRPr="00FD6D52">
              <w:t>000,000</w:t>
            </w:r>
          </w:p>
        </w:tc>
      </w:tr>
      <w:tr w:rsidR="00036A6F" w:rsidRPr="00FD6D52" w14:paraId="76FA9B26" w14:textId="77777777" w:rsidTr="009C4866">
        <w:tc>
          <w:tcPr>
            <w:cnfStyle w:val="001000000000" w:firstRow="0" w:lastRow="0" w:firstColumn="1" w:lastColumn="0" w:oddVBand="0" w:evenVBand="0" w:oddHBand="0" w:evenHBand="0" w:firstRowFirstColumn="0" w:firstRowLastColumn="0" w:lastRowFirstColumn="0" w:lastRowLastColumn="0"/>
            <w:tcW w:w="629" w:type="dxa"/>
          </w:tcPr>
          <w:p w14:paraId="7D024628" w14:textId="77777777" w:rsidR="00036A6F" w:rsidRPr="00FD6D52" w:rsidRDefault="00036A6F" w:rsidP="009C4866">
            <w:pPr>
              <w:keepNext/>
              <w:keepLines/>
              <w:jc w:val="center"/>
              <w:rPr>
                <w:b w:val="0"/>
                <w:bCs w:val="0"/>
              </w:rPr>
            </w:pPr>
            <w:r w:rsidRPr="00FD6D52">
              <w:t>5</w:t>
            </w:r>
          </w:p>
        </w:tc>
        <w:tc>
          <w:tcPr>
            <w:tcW w:w="1421" w:type="dxa"/>
          </w:tcPr>
          <w:p w14:paraId="5200910B" w14:textId="77777777" w:rsidR="00322607" w:rsidRPr="00FD6D52" w:rsidRDefault="00322607" w:rsidP="009C4866">
            <w:pPr>
              <w:keepNext/>
              <w:keepLines/>
              <w:jc w:val="center"/>
              <w:cnfStyle w:val="000000000000" w:firstRow="0" w:lastRow="0" w:firstColumn="0" w:lastColumn="0" w:oddVBand="0" w:evenVBand="0" w:oddHBand="0" w:evenHBand="0" w:firstRowFirstColumn="0" w:firstRowLastColumn="0" w:lastRowFirstColumn="0" w:lastRowLastColumn="0"/>
            </w:pPr>
            <w:r w:rsidRPr="00FD6D52">
              <w:t>01/01/2030</w:t>
            </w:r>
          </w:p>
        </w:tc>
        <w:tc>
          <w:tcPr>
            <w:tcW w:w="1314" w:type="dxa"/>
          </w:tcPr>
          <w:p w14:paraId="1619D944" w14:textId="739989D1" w:rsidR="00036A6F" w:rsidRPr="00FD6D52" w:rsidRDefault="00036A6F" w:rsidP="009C4866">
            <w:pPr>
              <w:keepNext/>
              <w:keepLines/>
              <w:jc w:val="center"/>
              <w:cnfStyle w:val="000000000000" w:firstRow="0" w:lastRow="0" w:firstColumn="0" w:lastColumn="0" w:oddVBand="0" w:evenVBand="0" w:oddHBand="0" w:evenHBand="0" w:firstRowFirstColumn="0" w:firstRowLastColumn="0" w:lastRowFirstColumn="0" w:lastRowLastColumn="0"/>
            </w:pPr>
            <w:r w:rsidRPr="00FD6D52">
              <w:t>31/12/</w:t>
            </w:r>
            <w:r w:rsidR="00DE1C21" w:rsidRPr="00FD6D52">
              <w:t>2</w:t>
            </w:r>
            <w:r w:rsidRPr="00FD6D52">
              <w:t>030</w:t>
            </w:r>
          </w:p>
        </w:tc>
        <w:tc>
          <w:tcPr>
            <w:tcW w:w="4002" w:type="dxa"/>
          </w:tcPr>
          <w:p w14:paraId="78B0C4B7" w14:textId="77777777" w:rsidR="00036A6F" w:rsidRPr="00FD6D52" w:rsidRDefault="00036A6F" w:rsidP="009C4866">
            <w:pPr>
              <w:keepNext/>
              <w:keepLines/>
              <w:cnfStyle w:val="000000000000" w:firstRow="0" w:lastRow="0" w:firstColumn="0" w:lastColumn="0" w:oddVBand="0" w:evenVBand="0" w:oddHBand="0" w:evenHBand="0" w:firstRowFirstColumn="0" w:firstRowLastColumn="0" w:lastRowFirstColumn="0" w:lastRowLastColumn="0"/>
            </w:pPr>
            <w:r w:rsidRPr="00FD6D52">
              <w:t>One exploration well</w:t>
            </w:r>
          </w:p>
        </w:tc>
        <w:tc>
          <w:tcPr>
            <w:tcW w:w="1650" w:type="dxa"/>
          </w:tcPr>
          <w:p w14:paraId="30779778" w14:textId="77777777" w:rsidR="00036A6F" w:rsidRPr="00FD6D52" w:rsidRDefault="00036A6F" w:rsidP="009C4866">
            <w:pPr>
              <w:keepNext/>
              <w:keepLines/>
              <w:cnfStyle w:val="000000000000" w:firstRow="0" w:lastRow="0" w:firstColumn="0" w:lastColumn="0" w:oddVBand="0" w:evenVBand="0" w:oddHBand="0" w:evenHBand="0" w:firstRowFirstColumn="0" w:firstRowLastColumn="0" w:lastRowFirstColumn="0" w:lastRowLastColumn="0"/>
            </w:pPr>
            <w:r w:rsidRPr="00FD6D52">
              <w:t>00,000,000</w:t>
            </w:r>
          </w:p>
        </w:tc>
      </w:tr>
      <w:tr w:rsidR="00036A6F" w:rsidRPr="00FD6D52" w14:paraId="008F442A" w14:textId="77777777" w:rsidTr="009C4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Pr>
          <w:p w14:paraId="071F08BA" w14:textId="77777777" w:rsidR="00036A6F" w:rsidRPr="00FD6D52" w:rsidRDefault="00036A6F" w:rsidP="009C4866">
            <w:pPr>
              <w:keepNext/>
              <w:keepLines/>
              <w:jc w:val="center"/>
              <w:rPr>
                <w:b w:val="0"/>
                <w:bCs w:val="0"/>
              </w:rPr>
            </w:pPr>
            <w:r w:rsidRPr="00FD6D52">
              <w:t>6</w:t>
            </w:r>
          </w:p>
        </w:tc>
        <w:tc>
          <w:tcPr>
            <w:tcW w:w="1421" w:type="dxa"/>
          </w:tcPr>
          <w:p w14:paraId="79C32BEC" w14:textId="77777777" w:rsidR="00322607" w:rsidRPr="00FD6D52" w:rsidRDefault="00322607" w:rsidP="009C4866">
            <w:pPr>
              <w:keepNext/>
              <w:keepLines/>
              <w:jc w:val="center"/>
              <w:cnfStyle w:val="000000100000" w:firstRow="0" w:lastRow="0" w:firstColumn="0" w:lastColumn="0" w:oddVBand="0" w:evenVBand="0" w:oddHBand="1" w:evenHBand="0" w:firstRowFirstColumn="0" w:firstRowLastColumn="0" w:lastRowFirstColumn="0" w:lastRowLastColumn="0"/>
            </w:pPr>
            <w:r w:rsidRPr="00FD6D52">
              <w:t>01/01/2031</w:t>
            </w:r>
          </w:p>
        </w:tc>
        <w:tc>
          <w:tcPr>
            <w:tcW w:w="1314" w:type="dxa"/>
          </w:tcPr>
          <w:p w14:paraId="6C9B36D1" w14:textId="77777777" w:rsidR="00036A6F" w:rsidRPr="00FD6D52" w:rsidRDefault="00036A6F" w:rsidP="009C4866">
            <w:pPr>
              <w:keepNext/>
              <w:keepLines/>
              <w:jc w:val="center"/>
              <w:cnfStyle w:val="000000100000" w:firstRow="0" w:lastRow="0" w:firstColumn="0" w:lastColumn="0" w:oddVBand="0" w:evenVBand="0" w:oddHBand="1" w:evenHBand="0" w:firstRowFirstColumn="0" w:firstRowLastColumn="0" w:lastRowFirstColumn="0" w:lastRowLastColumn="0"/>
            </w:pPr>
            <w:r w:rsidRPr="00FD6D52">
              <w:t>31/12/2031</w:t>
            </w:r>
          </w:p>
        </w:tc>
        <w:tc>
          <w:tcPr>
            <w:tcW w:w="4002" w:type="dxa"/>
          </w:tcPr>
          <w:p w14:paraId="1992D5D5" w14:textId="77777777" w:rsidR="00036A6F" w:rsidRPr="00FD6D52" w:rsidRDefault="00036A6F" w:rsidP="009C4866">
            <w:pPr>
              <w:keepNext/>
              <w:keepLines/>
              <w:cnfStyle w:val="000000100000" w:firstRow="0" w:lastRow="0" w:firstColumn="0" w:lastColumn="0" w:oddVBand="0" w:evenVBand="0" w:oddHBand="1" w:evenHBand="0" w:firstRowFirstColumn="0" w:firstRowLastColumn="0" w:lastRowFirstColumn="0" w:lastRowLastColumn="0"/>
            </w:pPr>
            <w:r w:rsidRPr="00FD6D52">
              <w:t>Geotechnical and geological studies</w:t>
            </w:r>
          </w:p>
        </w:tc>
        <w:tc>
          <w:tcPr>
            <w:tcW w:w="1650" w:type="dxa"/>
          </w:tcPr>
          <w:p w14:paraId="3122010E" w14:textId="77777777" w:rsidR="00036A6F" w:rsidRPr="00FD6D52" w:rsidRDefault="00036A6F" w:rsidP="009C4866">
            <w:pPr>
              <w:keepNext/>
              <w:keepLines/>
              <w:cnfStyle w:val="000000100000" w:firstRow="0" w:lastRow="0" w:firstColumn="0" w:lastColumn="0" w:oddVBand="0" w:evenVBand="0" w:oddHBand="1" w:evenHBand="0" w:firstRowFirstColumn="0" w:firstRowLastColumn="0" w:lastRowFirstColumn="0" w:lastRowLastColumn="0"/>
            </w:pPr>
            <w:r w:rsidRPr="00FD6D52">
              <w:t>0,000,000</w:t>
            </w:r>
          </w:p>
        </w:tc>
      </w:tr>
    </w:tbl>
    <w:p w14:paraId="1336BD14" w14:textId="77777777" w:rsidR="00903913" w:rsidRPr="00DC18F9" w:rsidRDefault="00903913" w:rsidP="00DC18F9">
      <w:pPr>
        <w:pStyle w:val="Heading3"/>
      </w:pPr>
      <w:bookmarkStart w:id="182" w:name="_Toc81487642"/>
      <w:bookmarkStart w:id="183" w:name="_Toc83042924"/>
      <w:bookmarkStart w:id="184" w:name="_Toc83395037"/>
      <w:bookmarkStart w:id="185" w:name="_Toc90044321"/>
      <w:bookmarkStart w:id="186" w:name="_Toc183622566"/>
      <w:bookmarkStart w:id="187" w:name="_Toc193955362"/>
      <w:r w:rsidRPr="00FD6D52">
        <w:t>Force majeure</w:t>
      </w:r>
      <w:bookmarkEnd w:id="182"/>
      <w:bookmarkEnd w:id="183"/>
      <w:bookmarkEnd w:id="184"/>
      <w:bookmarkEnd w:id="185"/>
      <w:bookmarkEnd w:id="186"/>
      <w:bookmarkEnd w:id="187"/>
    </w:p>
    <w:p w14:paraId="36005620" w14:textId="1F3FA7C7" w:rsidR="00903913" w:rsidRPr="00EE213D" w:rsidRDefault="00903913" w:rsidP="005E2D5E">
      <w:pPr>
        <w:pStyle w:val="ListParagraph"/>
        <w:numPr>
          <w:ilvl w:val="1"/>
          <w:numId w:val="12"/>
        </w:numPr>
        <w:ind w:left="851" w:hanging="716"/>
      </w:pPr>
      <w:r w:rsidRPr="00EE213D">
        <w:t xml:space="preserve">If the ability of a titleholder to meet a work program commitment is adversely impacted by an event that cannot be reasonably anticipated or controlled </w:t>
      </w:r>
      <w:proofErr w:type="gramStart"/>
      <w:r w:rsidRPr="00EE213D">
        <w:t>during the course of</w:t>
      </w:r>
      <w:proofErr w:type="gramEnd"/>
      <w:r w:rsidRPr="00EE213D">
        <w:t xml:space="preserve"> the exploration work program via experience or care the Joint Authority may approve a suspension or a suspension and extension</w:t>
      </w:r>
      <w:r w:rsidR="00322607">
        <w:t xml:space="preserve"> </w:t>
      </w:r>
      <w:r w:rsidR="00C371D5">
        <w:t>on a force majeure basis</w:t>
      </w:r>
      <w:r w:rsidRPr="00EE213D">
        <w:t>.</w:t>
      </w:r>
    </w:p>
    <w:p w14:paraId="45F4CEE5" w14:textId="5B4C53BF" w:rsidR="00903913" w:rsidRPr="00EE213D" w:rsidRDefault="00903913" w:rsidP="005E2D5E">
      <w:pPr>
        <w:pStyle w:val="ListParagraph"/>
        <w:numPr>
          <w:ilvl w:val="1"/>
          <w:numId w:val="12"/>
        </w:numPr>
        <w:ind w:left="851" w:hanging="716"/>
      </w:pPr>
      <w:r w:rsidRPr="00EE213D">
        <w:t xml:space="preserve">An application on force majeure grounds must include substantial and compelling documentary evidence to demonstrate how the force majeure circumstance has adversely impacted the ability to complete the work program, and a </w:t>
      </w:r>
      <w:r w:rsidR="00EA2F03">
        <w:t>G</w:t>
      </w:r>
      <w:r w:rsidRPr="00EE213D">
        <w:t>antt chart showing the proposed schedule for the forward work program.</w:t>
      </w:r>
    </w:p>
    <w:p w14:paraId="5BB21170" w14:textId="77777777" w:rsidR="00903913" w:rsidRPr="00EE213D" w:rsidRDefault="00903913" w:rsidP="005E2D5E">
      <w:pPr>
        <w:pStyle w:val="ListParagraph"/>
        <w:numPr>
          <w:ilvl w:val="1"/>
          <w:numId w:val="12"/>
        </w:numPr>
        <w:ind w:left="851" w:hanging="716"/>
      </w:pPr>
      <w:bookmarkStart w:id="188" w:name="_Ref183681573"/>
      <w:r w:rsidRPr="00EE213D">
        <w:t>Commercial circumstances and common risks in the industry are not considered to constitute force majeure. These may influence the perceived commercial viability of an activity but would not normally prevent an explorer from adhering to its commitment. Such circumstances and risks may include, but are not limited to:</w:t>
      </w:r>
      <w:bookmarkEnd w:id="188"/>
    </w:p>
    <w:p w14:paraId="5953E541" w14:textId="77777777" w:rsidR="00903913" w:rsidRPr="001B0C86" w:rsidRDefault="00903913" w:rsidP="007507EE">
      <w:pPr>
        <w:pStyle w:val="ListParagraph"/>
        <w:numPr>
          <w:ilvl w:val="3"/>
          <w:numId w:val="13"/>
        </w:numPr>
      </w:pPr>
      <w:r w:rsidRPr="001B0C86">
        <w:t>avoidable delays in receiving processed/reprocessed data from contractors</w:t>
      </w:r>
    </w:p>
    <w:p w14:paraId="028EDA37" w14:textId="77777777" w:rsidR="00903913" w:rsidRPr="001B0C86" w:rsidRDefault="00903913" w:rsidP="007507EE">
      <w:pPr>
        <w:pStyle w:val="ListParagraph"/>
        <w:numPr>
          <w:ilvl w:val="3"/>
          <w:numId w:val="13"/>
        </w:numPr>
      </w:pPr>
      <w:r w:rsidRPr="001B0C86">
        <w:t>failure to mature a drillable prospect</w:t>
      </w:r>
    </w:p>
    <w:p w14:paraId="3D561D2A" w14:textId="368659FE" w:rsidR="00903913" w:rsidRPr="001B0C86" w:rsidRDefault="00903913" w:rsidP="007507EE">
      <w:pPr>
        <w:pStyle w:val="ListParagraph"/>
        <w:numPr>
          <w:ilvl w:val="3"/>
          <w:numId w:val="13"/>
        </w:numPr>
      </w:pPr>
      <w:r w:rsidRPr="001B0C86">
        <w:t>changes in oil price</w:t>
      </w:r>
    </w:p>
    <w:p w14:paraId="2BA99C0B" w14:textId="77777777" w:rsidR="00903913" w:rsidRPr="001B0C86" w:rsidRDefault="00903913" w:rsidP="007507EE">
      <w:pPr>
        <w:pStyle w:val="ListParagraph"/>
        <w:numPr>
          <w:ilvl w:val="3"/>
          <w:numId w:val="13"/>
        </w:numPr>
      </w:pPr>
      <w:r w:rsidRPr="001B0C86">
        <w:t>difficulty attracting a farm-in partner</w:t>
      </w:r>
    </w:p>
    <w:p w14:paraId="24D41CED" w14:textId="77777777" w:rsidR="00903913" w:rsidRPr="001B0C86" w:rsidRDefault="00903913" w:rsidP="007507EE">
      <w:pPr>
        <w:pStyle w:val="ListParagraph"/>
        <w:numPr>
          <w:ilvl w:val="3"/>
          <w:numId w:val="13"/>
        </w:numPr>
      </w:pPr>
      <w:r w:rsidRPr="001B0C86">
        <w:lastRenderedPageBreak/>
        <w:t>avoidable delays in contracting a drilling rig/seismic vessel</w:t>
      </w:r>
    </w:p>
    <w:p w14:paraId="78667C26" w14:textId="77777777" w:rsidR="00903913" w:rsidRPr="001B0C86" w:rsidRDefault="00903913" w:rsidP="007507EE">
      <w:pPr>
        <w:pStyle w:val="ListParagraph"/>
        <w:numPr>
          <w:ilvl w:val="3"/>
          <w:numId w:val="13"/>
        </w:numPr>
      </w:pPr>
      <w:r w:rsidRPr="001B0C86">
        <w:t>difficulty in raising capital</w:t>
      </w:r>
    </w:p>
    <w:p w14:paraId="0EB5A5A9" w14:textId="77777777" w:rsidR="00903913" w:rsidRPr="001B0C86" w:rsidRDefault="00903913" w:rsidP="007507EE">
      <w:pPr>
        <w:pStyle w:val="ListParagraph"/>
        <w:numPr>
          <w:ilvl w:val="3"/>
          <w:numId w:val="13"/>
        </w:numPr>
      </w:pPr>
      <w:r w:rsidRPr="001B0C86">
        <w:t>disappointing exploration results</w:t>
      </w:r>
    </w:p>
    <w:p w14:paraId="7B79DA0E" w14:textId="77777777" w:rsidR="00C532E3" w:rsidRDefault="00903913" w:rsidP="007507EE">
      <w:pPr>
        <w:pStyle w:val="ListParagraph"/>
        <w:numPr>
          <w:ilvl w:val="3"/>
          <w:numId w:val="13"/>
        </w:numPr>
      </w:pPr>
      <w:r w:rsidRPr="001B0C86">
        <w:t>the need to wait for the results of exploration work undertaken outside the permit area</w:t>
      </w:r>
    </w:p>
    <w:p w14:paraId="7C7C8385" w14:textId="77777777" w:rsidR="00903913" w:rsidRPr="00CF03BA" w:rsidRDefault="00903913" w:rsidP="00DC18F9">
      <w:pPr>
        <w:pStyle w:val="Heading3"/>
      </w:pPr>
      <w:bookmarkStart w:id="189" w:name="_Toc81487643"/>
      <w:bookmarkStart w:id="190" w:name="_Toc83042925"/>
      <w:bookmarkStart w:id="191" w:name="_Toc83395038"/>
      <w:bookmarkStart w:id="192" w:name="_Toc410902796"/>
      <w:bookmarkStart w:id="193" w:name="_Toc90044322"/>
      <w:bookmarkStart w:id="194" w:name="_Toc183622567"/>
      <w:bookmarkStart w:id="195" w:name="_Toc193955363"/>
      <w:r>
        <w:t>Technical grounds</w:t>
      </w:r>
      <w:bookmarkEnd w:id="189"/>
      <w:bookmarkEnd w:id="190"/>
      <w:bookmarkEnd w:id="191"/>
      <w:bookmarkEnd w:id="192"/>
      <w:bookmarkEnd w:id="193"/>
      <w:bookmarkEnd w:id="194"/>
      <w:bookmarkEnd w:id="195"/>
    </w:p>
    <w:p w14:paraId="4FCE71D0" w14:textId="77777777" w:rsidR="00322607" w:rsidRDefault="00903913" w:rsidP="005E2D5E">
      <w:pPr>
        <w:pStyle w:val="ListParagraph"/>
        <w:numPr>
          <w:ilvl w:val="1"/>
          <w:numId w:val="12"/>
        </w:numPr>
        <w:ind w:left="851" w:hanging="716"/>
      </w:pPr>
      <w:r w:rsidRPr="00EE213D">
        <w:t>If the ability of a titleholder to meet an existing work program commitment is affected by new geological knowledge or unexpected technical challenges, the Joint Authority may approve a suspension or a suspension and extension on technical grounds.</w:t>
      </w:r>
    </w:p>
    <w:p w14:paraId="3DF11300" w14:textId="7BCD1E53" w:rsidR="00903913" w:rsidRPr="00EF248F" w:rsidRDefault="00322607" w:rsidP="005E2D5E">
      <w:pPr>
        <w:pStyle w:val="ListParagraph"/>
        <w:numPr>
          <w:ilvl w:val="1"/>
          <w:numId w:val="12"/>
        </w:numPr>
        <w:ind w:left="851" w:hanging="716"/>
      </w:pPr>
      <w:r>
        <w:t>I</w:t>
      </w:r>
      <w:r w:rsidR="00903913" w:rsidRPr="00EE213D">
        <w:t>f a titleholder proposes additional work activities to address new geological knowledge or unexpected technical challenges, the Joint Authority w</w:t>
      </w:r>
      <w:r w:rsidR="007F4813">
        <w:t>ill</w:t>
      </w:r>
      <w:r w:rsidR="00903913" w:rsidRPr="00EE213D">
        <w:t xml:space="preserve"> generally expect this work to be varied into the work program through an above-commitment work </w:t>
      </w:r>
      <w:r w:rsidR="00903913" w:rsidRPr="00EF248F">
        <w:t>variation</w:t>
      </w:r>
      <w:r w:rsidRPr="00EF248F">
        <w:t>.</w:t>
      </w:r>
    </w:p>
    <w:p w14:paraId="6472CA0E" w14:textId="697D20E4" w:rsidR="00931384" w:rsidRPr="00DA530D" w:rsidRDefault="00903913" w:rsidP="005E2D5E">
      <w:pPr>
        <w:pStyle w:val="ListParagraph"/>
        <w:numPr>
          <w:ilvl w:val="1"/>
          <w:numId w:val="12"/>
        </w:numPr>
        <w:ind w:left="851" w:hanging="716"/>
      </w:pPr>
      <w:bookmarkStart w:id="196" w:name="_Hlk173935724"/>
      <w:r w:rsidRPr="00EF248F">
        <w:t xml:space="preserve">An application on technical grounds must include compelling documentary evidence to demonstrate how these technical grounds have adversely impacted the ability to complete the work program, and a </w:t>
      </w:r>
      <w:r w:rsidR="006F2A2C" w:rsidRPr="00EF248F">
        <w:t>G</w:t>
      </w:r>
      <w:r w:rsidRPr="00EF248F">
        <w:t xml:space="preserve">antt chart showing the proposed </w:t>
      </w:r>
      <w:r w:rsidRPr="00DA530D">
        <w:t xml:space="preserve">schedule </w:t>
      </w:r>
      <w:r w:rsidR="00424C17" w:rsidRPr="00DA530D">
        <w:t>for completion of the minimum work program activities in the requested suspension or suspension and extension period.</w:t>
      </w:r>
    </w:p>
    <w:p w14:paraId="22BE59DF" w14:textId="21DFFAC1" w:rsidR="004E11CC" w:rsidRPr="00E41D24" w:rsidRDefault="004E11CC" w:rsidP="00DC18F9">
      <w:pPr>
        <w:pStyle w:val="Heading3"/>
      </w:pPr>
      <w:bookmarkStart w:id="197" w:name="_Toc183622568"/>
      <w:bookmarkStart w:id="198" w:name="_Toc193955364"/>
      <w:bookmarkStart w:id="199" w:name="_Toc81487644"/>
      <w:bookmarkStart w:id="200" w:name="_Toc83042926"/>
      <w:bookmarkStart w:id="201" w:name="_Toc83395039"/>
      <w:bookmarkStart w:id="202" w:name="_Toc90044323"/>
      <w:bookmarkEnd w:id="196"/>
      <w:r w:rsidRPr="00E41D24">
        <w:t>Merits</w:t>
      </w:r>
      <w:bookmarkEnd w:id="197"/>
      <w:bookmarkEnd w:id="198"/>
    </w:p>
    <w:p w14:paraId="7B8A913B" w14:textId="773A97B7" w:rsidR="00993B8D" w:rsidRPr="00E41D24" w:rsidRDefault="00993B8D" w:rsidP="005E2D5E">
      <w:pPr>
        <w:pStyle w:val="ListParagraph"/>
        <w:numPr>
          <w:ilvl w:val="1"/>
          <w:numId w:val="12"/>
        </w:numPr>
        <w:ind w:left="851" w:hanging="716"/>
      </w:pPr>
      <w:r w:rsidRPr="00E41D24">
        <w:t xml:space="preserve">If the ability of a titleholder to meet a work program commitment is adversely impacted by an event or circumstances that do not constitute </w:t>
      </w:r>
      <w:r w:rsidRPr="00E41D24">
        <w:rPr>
          <w:iCs/>
        </w:rPr>
        <w:t>force majeure</w:t>
      </w:r>
      <w:r w:rsidR="005F74B1" w:rsidRPr="00E41D24">
        <w:t xml:space="preserve"> </w:t>
      </w:r>
      <w:r w:rsidR="00EA2F03" w:rsidRPr="00E41D24">
        <w:t>grounds</w:t>
      </w:r>
      <w:r w:rsidRPr="00E41D24">
        <w:t xml:space="preserve"> or technical grounds, the Joint Authority may approve a suspension or a suspension and extension on a </w:t>
      </w:r>
      <w:r w:rsidR="005F64F2" w:rsidRPr="00E41D24">
        <w:t>merit</w:t>
      </w:r>
      <w:r w:rsidRPr="00E41D24">
        <w:t xml:space="preserve"> basis.</w:t>
      </w:r>
    </w:p>
    <w:p w14:paraId="0DF280BE" w14:textId="5B374255" w:rsidR="005F64F2" w:rsidRPr="00E41D24" w:rsidRDefault="005F64F2" w:rsidP="005E2D5E">
      <w:pPr>
        <w:pStyle w:val="ListParagraph"/>
        <w:numPr>
          <w:ilvl w:val="1"/>
          <w:numId w:val="12"/>
        </w:numPr>
        <w:ind w:left="851" w:hanging="716"/>
      </w:pPr>
      <w:r w:rsidRPr="00E41D24">
        <w:t>An application on merits grounds must include compelling documentary evidence to demonstrate the merits of the application and the event or circumstances that have adversely impacted the ability to complete the work program, and a Gantt chart showing the proposed schedule for completion of the minimum work program activities in the requested suspension or suspension and extension period.</w:t>
      </w:r>
    </w:p>
    <w:p w14:paraId="137D656A" w14:textId="77777777" w:rsidR="00903913" w:rsidRDefault="00903913" w:rsidP="00DC18F9">
      <w:pPr>
        <w:pStyle w:val="Heading3"/>
      </w:pPr>
      <w:bookmarkStart w:id="203" w:name="_Toc183622569"/>
      <w:bookmarkStart w:id="204" w:name="_Toc193955365"/>
      <w:r w:rsidRPr="00E41D24">
        <w:t>Variations</w:t>
      </w:r>
      <w:bookmarkEnd w:id="199"/>
      <w:bookmarkEnd w:id="200"/>
      <w:bookmarkEnd w:id="201"/>
      <w:bookmarkEnd w:id="202"/>
      <w:bookmarkEnd w:id="203"/>
      <w:bookmarkEnd w:id="204"/>
    </w:p>
    <w:p w14:paraId="6F30BDC9" w14:textId="77777777" w:rsidR="00903913" w:rsidRPr="00EE213D" w:rsidRDefault="00903913" w:rsidP="005E2D5E">
      <w:pPr>
        <w:pStyle w:val="ListParagraph"/>
        <w:numPr>
          <w:ilvl w:val="1"/>
          <w:numId w:val="12"/>
        </w:numPr>
        <w:ind w:left="851" w:hanging="716"/>
      </w:pPr>
      <w:bookmarkStart w:id="205" w:name="_Ref90391175"/>
      <w:r w:rsidRPr="00EE213D">
        <w:t>Titleholders may apply to vary any of the conditions to which the permit is subject. In submitting variation applications titleholders should note that:</w:t>
      </w:r>
      <w:bookmarkEnd w:id="205"/>
    </w:p>
    <w:p w14:paraId="3BEDB424" w14:textId="77777777" w:rsidR="00903913" w:rsidRPr="001B0C86" w:rsidRDefault="00903913" w:rsidP="005E2D5E">
      <w:pPr>
        <w:pStyle w:val="ListParagraph"/>
        <w:numPr>
          <w:ilvl w:val="2"/>
          <w:numId w:val="12"/>
        </w:numPr>
        <w:ind w:hanging="373"/>
      </w:pPr>
      <w:r w:rsidRPr="001B0C86">
        <w:t>Proposed work program activities to be varied into the permit should only include work that will be undertaken within the permit area. Any work, studies or reprocessing proposed outside the permit area must be clearly differentiated.</w:t>
      </w:r>
    </w:p>
    <w:p w14:paraId="7E2BDBCC" w14:textId="62E3300D" w:rsidR="00903913" w:rsidRPr="001B0C86" w:rsidRDefault="00903913" w:rsidP="005E2D5E">
      <w:pPr>
        <w:pStyle w:val="ListParagraph"/>
        <w:numPr>
          <w:ilvl w:val="2"/>
          <w:numId w:val="12"/>
        </w:numPr>
        <w:ind w:hanging="373"/>
      </w:pPr>
      <w:r w:rsidRPr="001B0C86">
        <w:t xml:space="preserve">If a titleholder applies for a suspension and variation at the same time, this </w:t>
      </w:r>
      <w:r w:rsidR="00655F71">
        <w:t>is expected to</w:t>
      </w:r>
      <w:r w:rsidR="00C6768D">
        <w:t xml:space="preserve"> </w:t>
      </w:r>
      <w:r w:rsidRPr="001B0C86">
        <w:t>be lodged as a single application on the appropriate application form.</w:t>
      </w:r>
    </w:p>
    <w:p w14:paraId="739C2043" w14:textId="5D64FFEC" w:rsidR="00903913" w:rsidRPr="00EE213D" w:rsidRDefault="00903913" w:rsidP="005E2D5E">
      <w:pPr>
        <w:pStyle w:val="ListParagraph"/>
        <w:numPr>
          <w:ilvl w:val="1"/>
          <w:numId w:val="12"/>
        </w:numPr>
        <w:ind w:left="851" w:hanging="716"/>
      </w:pPr>
      <w:bookmarkStart w:id="206" w:name="_Ref170988537"/>
      <w:r w:rsidRPr="00EE213D">
        <w:t>A titleholder may apply for:</w:t>
      </w:r>
      <w:bookmarkEnd w:id="206"/>
    </w:p>
    <w:p w14:paraId="478E8D9F" w14:textId="7CF6F438" w:rsidR="00903913" w:rsidRPr="00322607" w:rsidRDefault="00C6768D" w:rsidP="005E2D5E">
      <w:pPr>
        <w:pStyle w:val="ListParagraph"/>
        <w:numPr>
          <w:ilvl w:val="2"/>
          <w:numId w:val="12"/>
        </w:numPr>
        <w:ind w:hanging="373"/>
      </w:pPr>
      <w:r>
        <w:t xml:space="preserve">A </w:t>
      </w:r>
      <w:r w:rsidR="00903913" w:rsidRPr="00322607">
        <w:t>work equivalent variation</w:t>
      </w:r>
      <w:r w:rsidR="001B0961">
        <w:t>.</w:t>
      </w:r>
    </w:p>
    <w:p w14:paraId="42DBDA2A" w14:textId="29041609" w:rsidR="00903913" w:rsidRPr="00322607" w:rsidRDefault="00C6768D" w:rsidP="005E2D5E">
      <w:pPr>
        <w:pStyle w:val="ListParagraph"/>
        <w:numPr>
          <w:ilvl w:val="2"/>
          <w:numId w:val="12"/>
        </w:numPr>
        <w:ind w:hanging="373"/>
      </w:pPr>
      <w:r>
        <w:t>an</w:t>
      </w:r>
      <w:r w:rsidR="00903913" w:rsidRPr="00322607">
        <w:t xml:space="preserve"> above-commitment work variation</w:t>
      </w:r>
      <w:r w:rsidR="001B0961">
        <w:t>.</w:t>
      </w:r>
    </w:p>
    <w:p w14:paraId="074D4917" w14:textId="7DCB90C8" w:rsidR="00903913" w:rsidRPr="001B0C86" w:rsidRDefault="00C6768D" w:rsidP="005E2D5E">
      <w:pPr>
        <w:pStyle w:val="ListParagraph"/>
        <w:numPr>
          <w:ilvl w:val="2"/>
          <w:numId w:val="12"/>
        </w:numPr>
        <w:ind w:hanging="373"/>
      </w:pPr>
      <w:r>
        <w:t xml:space="preserve">a </w:t>
      </w:r>
      <w:r w:rsidR="00903913" w:rsidRPr="00322607">
        <w:t>secondary work program variation</w:t>
      </w:r>
      <w:r w:rsidR="00903913" w:rsidRPr="001B0C86">
        <w:t>.</w:t>
      </w:r>
    </w:p>
    <w:p w14:paraId="3AF9A3F0" w14:textId="047A3246" w:rsidR="00903913" w:rsidRPr="00EE213D" w:rsidRDefault="00903913" w:rsidP="005E2D5E">
      <w:pPr>
        <w:pStyle w:val="ListParagraph"/>
        <w:numPr>
          <w:ilvl w:val="1"/>
          <w:numId w:val="12"/>
        </w:numPr>
        <w:ind w:left="851" w:hanging="716"/>
      </w:pPr>
      <w:r w:rsidRPr="00EE213D">
        <w:t xml:space="preserve">If the Joint Authority agrees to vary </w:t>
      </w:r>
      <w:r w:rsidR="006C4D7B">
        <w:t xml:space="preserve">a condition which requires the titleholder to drill </w:t>
      </w:r>
      <w:r w:rsidRPr="00EE213D">
        <w:t xml:space="preserve">an exploration well </w:t>
      </w:r>
      <w:r w:rsidR="006C4D7B">
        <w:t>during</w:t>
      </w:r>
      <w:r w:rsidRPr="00EE213D">
        <w:t xml:space="preserve"> the permit term, an exploration well is expected to be included in the primary term of the renewal program, should the titleholder elect to renew the permit.</w:t>
      </w:r>
    </w:p>
    <w:p w14:paraId="16130AF4" w14:textId="234EEB12" w:rsidR="00903913" w:rsidRPr="008C65CA" w:rsidRDefault="00903913" w:rsidP="00DC18F9">
      <w:pPr>
        <w:pStyle w:val="Heading4"/>
      </w:pPr>
      <w:bookmarkStart w:id="207" w:name="_Toc81487645"/>
      <w:bookmarkStart w:id="208" w:name="_Toc83042927"/>
      <w:bookmarkStart w:id="209" w:name="_Toc83395040"/>
      <w:bookmarkStart w:id="210" w:name="_Toc90044324"/>
      <w:r w:rsidRPr="008C65CA">
        <w:lastRenderedPageBreak/>
        <w:t>Work equivalent</w:t>
      </w:r>
      <w:bookmarkEnd w:id="207"/>
      <w:bookmarkEnd w:id="208"/>
      <w:bookmarkEnd w:id="209"/>
      <w:bookmarkEnd w:id="210"/>
    </w:p>
    <w:p w14:paraId="7397E12B" w14:textId="77777777" w:rsidR="00903913" w:rsidRPr="00EE213D" w:rsidRDefault="00903913" w:rsidP="005E2D5E">
      <w:pPr>
        <w:pStyle w:val="ListParagraph"/>
        <w:numPr>
          <w:ilvl w:val="1"/>
          <w:numId w:val="12"/>
        </w:numPr>
        <w:ind w:left="851" w:hanging="716"/>
      </w:pPr>
      <w:r w:rsidRPr="00EE213D">
        <w:t>A titleholder may apply to replace a guaranteed work program activity with an equivalent work program activity.</w:t>
      </w:r>
    </w:p>
    <w:p w14:paraId="24A6271C" w14:textId="086E3302" w:rsidR="00903913" w:rsidRDefault="00903913" w:rsidP="005E2D5E">
      <w:pPr>
        <w:pStyle w:val="ListParagraph"/>
        <w:numPr>
          <w:ilvl w:val="1"/>
          <w:numId w:val="12"/>
        </w:numPr>
        <w:ind w:left="851" w:hanging="716"/>
      </w:pPr>
      <w:r w:rsidRPr="00EE213D">
        <w:t>The Joint Authority will generally only agree to a variation if the proposed replacement work program activity is a similar or superior technique</w:t>
      </w:r>
      <w:r w:rsidR="00B6682F">
        <w:t xml:space="preserve"> </w:t>
      </w:r>
      <w:r w:rsidRPr="00EE213D">
        <w:t>and the activity meets or exceeds the objective of the original work program commitment.</w:t>
      </w:r>
    </w:p>
    <w:p w14:paraId="153713A6" w14:textId="7EAFB4FC" w:rsidR="00903913" w:rsidRPr="00EE213D" w:rsidRDefault="00903913" w:rsidP="005E2D5E">
      <w:pPr>
        <w:pStyle w:val="ListParagraph"/>
        <w:numPr>
          <w:ilvl w:val="1"/>
          <w:numId w:val="12"/>
        </w:numPr>
        <w:ind w:left="851" w:hanging="716"/>
      </w:pPr>
      <w:r w:rsidRPr="00EE213D">
        <w:t>It is the responsibility of the titleholder to ensure the Joint Authority has agreed to the work equivalent variation before commencement of the work.</w:t>
      </w:r>
    </w:p>
    <w:p w14:paraId="7CF97CCD" w14:textId="39141E39" w:rsidR="00903913" w:rsidRPr="00823660" w:rsidRDefault="00903913" w:rsidP="00DC18F9">
      <w:pPr>
        <w:pStyle w:val="Heading4"/>
      </w:pPr>
      <w:bookmarkStart w:id="211" w:name="_Above-commitment_work_variation"/>
      <w:bookmarkStart w:id="212" w:name="_Toc81487646"/>
      <w:bookmarkStart w:id="213" w:name="_Toc83042928"/>
      <w:bookmarkStart w:id="214" w:name="_Toc83395041"/>
      <w:bookmarkStart w:id="215" w:name="_Toc90044325"/>
      <w:bookmarkStart w:id="216" w:name="_Ref170990640"/>
      <w:bookmarkStart w:id="217" w:name="_Ref170990664"/>
      <w:bookmarkStart w:id="218" w:name="_Ref170990713"/>
      <w:bookmarkStart w:id="219" w:name="_Ref183620057"/>
      <w:bookmarkStart w:id="220" w:name="_Ref183685369"/>
      <w:bookmarkEnd w:id="211"/>
      <w:r w:rsidRPr="00823660">
        <w:t>Above-commitment</w:t>
      </w:r>
      <w:bookmarkEnd w:id="212"/>
      <w:bookmarkEnd w:id="213"/>
      <w:bookmarkEnd w:id="214"/>
      <w:bookmarkEnd w:id="215"/>
      <w:bookmarkEnd w:id="216"/>
      <w:bookmarkEnd w:id="217"/>
      <w:bookmarkEnd w:id="218"/>
      <w:bookmarkEnd w:id="219"/>
      <w:bookmarkEnd w:id="220"/>
    </w:p>
    <w:p w14:paraId="0A35B8D7" w14:textId="77777777" w:rsidR="00903913" w:rsidRPr="00EE213D" w:rsidRDefault="00903913" w:rsidP="005E2D5E">
      <w:pPr>
        <w:pStyle w:val="ListParagraph"/>
        <w:numPr>
          <w:ilvl w:val="1"/>
          <w:numId w:val="12"/>
        </w:numPr>
        <w:ind w:left="851" w:hanging="716"/>
      </w:pPr>
      <w:bookmarkStart w:id="221" w:name="_Ref90389730"/>
      <w:r w:rsidRPr="00EE213D">
        <w:t>If a titleholder proposes to undertake significant above-commitment work that will have critical implications for the exploration of the permit area, the Joint Authority may agree to an above-commitment variation, to vary the work into the current permit year so that the work becomes guaranteed.</w:t>
      </w:r>
      <w:bookmarkEnd w:id="221"/>
    </w:p>
    <w:p w14:paraId="4A00C707" w14:textId="77777777" w:rsidR="00322607" w:rsidRDefault="00903913" w:rsidP="005E2D5E">
      <w:pPr>
        <w:pStyle w:val="ListParagraph"/>
        <w:numPr>
          <w:ilvl w:val="1"/>
          <w:numId w:val="12"/>
        </w:numPr>
        <w:ind w:left="851" w:hanging="716"/>
      </w:pPr>
      <w:r w:rsidRPr="00EE213D">
        <w:t>An application should be supported by</w:t>
      </w:r>
      <w:r w:rsidR="00322607">
        <w:t>:</w:t>
      </w:r>
    </w:p>
    <w:p w14:paraId="1AE036DB" w14:textId="7BF17D62" w:rsidR="00322607" w:rsidRDefault="00903913" w:rsidP="005E2D5E">
      <w:pPr>
        <w:pStyle w:val="ListParagraph"/>
        <w:numPr>
          <w:ilvl w:val="2"/>
          <w:numId w:val="12"/>
        </w:numPr>
        <w:ind w:hanging="373"/>
      </w:pPr>
      <w:r w:rsidRPr="00EE213D">
        <w:t>technical evidence as to why the work program should be varied</w:t>
      </w:r>
      <w:r w:rsidR="00DD5E22">
        <w:t>.</w:t>
      </w:r>
    </w:p>
    <w:p w14:paraId="26A524D6" w14:textId="7A642457" w:rsidR="00322607" w:rsidRDefault="00903913" w:rsidP="005E2D5E">
      <w:pPr>
        <w:pStyle w:val="ListParagraph"/>
        <w:numPr>
          <w:ilvl w:val="2"/>
          <w:numId w:val="12"/>
        </w:numPr>
        <w:ind w:hanging="373"/>
      </w:pPr>
      <w:r w:rsidRPr="00EE213D">
        <w:t>detailed outline of the proposed new activities</w:t>
      </w:r>
      <w:r w:rsidR="00DD5E22">
        <w:t>.</w:t>
      </w:r>
    </w:p>
    <w:p w14:paraId="2882DED7" w14:textId="6ED314AA" w:rsidR="00322607" w:rsidRDefault="00903913" w:rsidP="005E2D5E">
      <w:pPr>
        <w:pStyle w:val="ListParagraph"/>
        <w:numPr>
          <w:ilvl w:val="2"/>
          <w:numId w:val="12"/>
        </w:numPr>
        <w:ind w:hanging="373"/>
      </w:pPr>
      <w:r w:rsidRPr="00EE213D">
        <w:t xml:space="preserve">a </w:t>
      </w:r>
      <w:r w:rsidR="005464A4">
        <w:t>G</w:t>
      </w:r>
      <w:r w:rsidRPr="00EE213D">
        <w:t>antt chart showing the proposed schedule for the forward work program</w:t>
      </w:r>
      <w:r w:rsidR="00DD5E22">
        <w:t>.</w:t>
      </w:r>
    </w:p>
    <w:p w14:paraId="3FABA151" w14:textId="77777777" w:rsidR="00903913" w:rsidRPr="00EE213D" w:rsidRDefault="00903913" w:rsidP="005E2D5E">
      <w:pPr>
        <w:pStyle w:val="ListParagraph"/>
        <w:numPr>
          <w:ilvl w:val="2"/>
          <w:numId w:val="12"/>
        </w:numPr>
        <w:ind w:hanging="373"/>
      </w:pPr>
      <w:r w:rsidRPr="00EE213D">
        <w:t>documentary evidence</w:t>
      </w:r>
      <w:r w:rsidR="00322607">
        <w:t>,</w:t>
      </w:r>
      <w:r w:rsidRPr="00EE213D">
        <w:t xml:space="preserve"> such as contracts with a relevant service provider to undertake the new activities</w:t>
      </w:r>
      <w:r w:rsidR="00322607">
        <w:t>,</w:t>
      </w:r>
      <w:r w:rsidRPr="00EE213D">
        <w:t xml:space="preserve"> in support of the application.</w:t>
      </w:r>
    </w:p>
    <w:p w14:paraId="365877A5" w14:textId="77777777" w:rsidR="00903913" w:rsidRPr="00EE213D" w:rsidRDefault="00903913" w:rsidP="005E2D5E">
      <w:pPr>
        <w:pStyle w:val="ListParagraph"/>
        <w:numPr>
          <w:ilvl w:val="1"/>
          <w:numId w:val="12"/>
        </w:numPr>
        <w:ind w:left="851" w:hanging="716"/>
      </w:pPr>
      <w:r w:rsidRPr="00EE213D">
        <w:t xml:space="preserve">When considering an application for an above-commitment work variation, the Joint Authority may also agree to either a suspension or suspension and extension to enable the titleholder sufficient time to undertake the </w:t>
      </w:r>
      <w:r w:rsidR="002160A4">
        <w:t xml:space="preserve">new </w:t>
      </w:r>
      <w:r w:rsidRPr="00EE213D">
        <w:t>work.</w:t>
      </w:r>
    </w:p>
    <w:p w14:paraId="7AF2B8E6" w14:textId="7D2227AC" w:rsidR="00903913" w:rsidRPr="001B0C86" w:rsidRDefault="00903913" w:rsidP="005E2D5E">
      <w:pPr>
        <w:pStyle w:val="ListParagraph"/>
        <w:numPr>
          <w:ilvl w:val="2"/>
          <w:numId w:val="12"/>
        </w:numPr>
        <w:ind w:hanging="373"/>
      </w:pPr>
      <w:r w:rsidRPr="001B0C86">
        <w:t>A</w:t>
      </w:r>
      <w:r w:rsidR="002501F7">
        <w:t xml:space="preserve"> combined</w:t>
      </w:r>
      <w:r w:rsidRPr="001B0C86">
        <w:t xml:space="preserve"> application for a suspension or suspension and extension </w:t>
      </w:r>
      <w:r w:rsidR="004236A8">
        <w:t xml:space="preserve">and variation </w:t>
      </w:r>
      <w:r w:rsidR="009167B0">
        <w:t>may be submitted to NOPTA</w:t>
      </w:r>
      <w:r w:rsidRPr="001B0C86">
        <w:t>.</w:t>
      </w:r>
    </w:p>
    <w:p w14:paraId="4CAC4617" w14:textId="0F898AB2" w:rsidR="00903913" w:rsidRPr="00EE213D" w:rsidRDefault="00322607" w:rsidP="005E2D5E">
      <w:pPr>
        <w:pStyle w:val="ListParagraph"/>
        <w:numPr>
          <w:ilvl w:val="1"/>
          <w:numId w:val="12"/>
        </w:numPr>
        <w:ind w:left="851" w:hanging="716"/>
      </w:pPr>
      <w:bookmarkStart w:id="222" w:name="_Ref90389764"/>
      <w:r>
        <w:t>I</w:t>
      </w:r>
      <w:r w:rsidR="00903913" w:rsidRPr="00EE213D">
        <w:t xml:space="preserve">n the case of an above-commitment work variation, </w:t>
      </w:r>
      <w:r>
        <w:t xml:space="preserve">generally </w:t>
      </w:r>
      <w:r w:rsidR="00903913" w:rsidRPr="00EE213D">
        <w:t>the Joint Authority will consider up to a 12-month suspension or a 12-month suspension and extension, if supported by the circumstances of the application. However, a longer time frame may be requeste</w:t>
      </w:r>
      <w:r w:rsidR="00423807">
        <w:t>d</w:t>
      </w:r>
      <w:r w:rsidR="00E353C8">
        <w:t>,</w:t>
      </w:r>
      <w:r w:rsidR="00903913" w:rsidRPr="00EE213D">
        <w:t xml:space="preserve"> and the Joint Authority will consider this on a case-by-case basis and on its merits for circumstances such as when:</w:t>
      </w:r>
      <w:bookmarkEnd w:id="222"/>
    </w:p>
    <w:p w14:paraId="0809C7FC" w14:textId="77777777" w:rsidR="00903913" w:rsidRPr="00707C05" w:rsidRDefault="00903913" w:rsidP="005E2D5E">
      <w:pPr>
        <w:pStyle w:val="ListParagraph"/>
        <w:numPr>
          <w:ilvl w:val="2"/>
          <w:numId w:val="12"/>
        </w:numPr>
        <w:ind w:hanging="373"/>
      </w:pPr>
      <w:r w:rsidRPr="001B0C86">
        <w:t xml:space="preserve">A titleholder has entered a permit year with a drilling commitment and is unable to mature a drillable </w:t>
      </w:r>
      <w:r w:rsidRPr="00707C05">
        <w:t>prospect.</w:t>
      </w:r>
    </w:p>
    <w:p w14:paraId="7A49CA09" w14:textId="77777777" w:rsidR="00903913" w:rsidRPr="00E41D24" w:rsidRDefault="00903913" w:rsidP="005E2D5E">
      <w:pPr>
        <w:pStyle w:val="ListParagraph"/>
        <w:numPr>
          <w:ilvl w:val="2"/>
          <w:numId w:val="12"/>
        </w:numPr>
        <w:ind w:hanging="373"/>
      </w:pPr>
      <w:r w:rsidRPr="00E41D24">
        <w:t>The proposed work is significant and assessed to have critical implications on the titleholder’s forward work plans.</w:t>
      </w:r>
    </w:p>
    <w:p w14:paraId="7BD8C403" w14:textId="59717CD8" w:rsidR="00B83981" w:rsidRPr="00E41D24" w:rsidRDefault="00A70290" w:rsidP="005E2D5E">
      <w:pPr>
        <w:pStyle w:val="ListParagraph"/>
        <w:numPr>
          <w:ilvl w:val="1"/>
          <w:numId w:val="12"/>
        </w:numPr>
        <w:ind w:left="851" w:hanging="716"/>
      </w:pPr>
      <w:r w:rsidRPr="00E41D24">
        <w:t xml:space="preserve">Where a titleholder has exhausted all available data and processing techniques and needs to acquire new seismic data </w:t>
      </w:r>
      <w:proofErr w:type="gramStart"/>
      <w:r w:rsidRPr="00E41D24">
        <w:t>in order to</w:t>
      </w:r>
      <w:proofErr w:type="gramEnd"/>
      <w:r w:rsidRPr="00E41D24">
        <w:t xml:space="preserve"> progress</w:t>
      </w:r>
      <w:r w:rsidR="006767DC" w:rsidRPr="00E41D24">
        <w:t xml:space="preserve"> exploring the permit,</w:t>
      </w:r>
      <w:r w:rsidRPr="00E41D24">
        <w:t xml:space="preserve"> </w:t>
      </w:r>
      <w:r w:rsidR="006767DC" w:rsidRPr="00E41D24">
        <w:t xml:space="preserve">an above-commitment work program variation </w:t>
      </w:r>
      <w:r w:rsidR="007E2330" w:rsidRPr="00E41D24">
        <w:t xml:space="preserve">may be </w:t>
      </w:r>
      <w:r w:rsidR="006767DC" w:rsidRPr="00E41D24">
        <w:t>applied for</w:t>
      </w:r>
      <w:r w:rsidR="009F08EF" w:rsidRPr="00E41D24">
        <w:t>.</w:t>
      </w:r>
    </w:p>
    <w:p w14:paraId="45E493F6" w14:textId="77777777" w:rsidR="00B83981" w:rsidRPr="00E41D24" w:rsidRDefault="00B83981" w:rsidP="005E2D5E">
      <w:pPr>
        <w:pStyle w:val="ListParagraph"/>
        <w:numPr>
          <w:ilvl w:val="1"/>
          <w:numId w:val="12"/>
        </w:numPr>
        <w:ind w:left="851" w:hanging="716"/>
      </w:pPr>
      <w:bookmarkStart w:id="223" w:name="_Ref183685456"/>
      <w:r w:rsidRPr="00E41D24">
        <w:t>An application for an above-commitment work program variation to include new seismic data should include:</w:t>
      </w:r>
      <w:bookmarkEnd w:id="223"/>
    </w:p>
    <w:p w14:paraId="6D0D1B5B" w14:textId="77777777" w:rsidR="00930E57" w:rsidRPr="00E41D24" w:rsidRDefault="00930E57" w:rsidP="005E2D5E">
      <w:pPr>
        <w:pStyle w:val="ListParagraph"/>
        <w:numPr>
          <w:ilvl w:val="2"/>
          <w:numId w:val="12"/>
        </w:numPr>
        <w:ind w:hanging="373"/>
      </w:pPr>
      <w:r w:rsidRPr="00E41D24">
        <w:t>The number of line kilometres of 2D and line spacing and/or square kilometres of 3D seismic data that will be acquired and processed within the permit area, including:</w:t>
      </w:r>
    </w:p>
    <w:p w14:paraId="2ADF6DD7" w14:textId="77777777" w:rsidR="00930E57" w:rsidRPr="00E41D24" w:rsidRDefault="00930E57" w:rsidP="007507EE">
      <w:pPr>
        <w:pStyle w:val="ListParagraph"/>
        <w:numPr>
          <w:ilvl w:val="3"/>
          <w:numId w:val="14"/>
        </w:numPr>
        <w:ind w:hanging="452"/>
      </w:pPr>
      <w:r w:rsidRPr="00E41D24">
        <w:t>Full fold numbers within the permit area.</w:t>
      </w:r>
    </w:p>
    <w:p w14:paraId="5885ADA4" w14:textId="77777777" w:rsidR="00930E57" w:rsidRPr="00E41D24" w:rsidRDefault="00930E57" w:rsidP="007507EE">
      <w:pPr>
        <w:pStyle w:val="ListParagraph"/>
        <w:numPr>
          <w:ilvl w:val="3"/>
          <w:numId w:val="14"/>
        </w:numPr>
        <w:ind w:hanging="452"/>
      </w:pPr>
      <w:r w:rsidRPr="00E41D24">
        <w:lastRenderedPageBreak/>
        <w:t>A map showing the indicative location of the 2D lines or 3D survey outline, including any known leads and/or prospects. All existing seismic surveys should be identified on this map.</w:t>
      </w:r>
    </w:p>
    <w:p w14:paraId="1B6352EF" w14:textId="53DD9C7E" w:rsidR="00930E57" w:rsidRPr="00E41D24" w:rsidRDefault="00923E95" w:rsidP="007507EE">
      <w:pPr>
        <w:pStyle w:val="ListParagraph"/>
        <w:numPr>
          <w:ilvl w:val="3"/>
          <w:numId w:val="14"/>
        </w:numPr>
        <w:ind w:hanging="452"/>
      </w:pPr>
      <w:r w:rsidRPr="00E41D24">
        <w:t>T</w:t>
      </w:r>
      <w:r w:rsidR="00930E57" w:rsidRPr="00E41D24">
        <w:t>he parameters and methodology of the seismic acquisition and processing that will be undertaken.</w:t>
      </w:r>
    </w:p>
    <w:p w14:paraId="5D047C5A" w14:textId="066A6EC3" w:rsidR="00A66183" w:rsidRPr="00E41D24" w:rsidRDefault="00795066" w:rsidP="007507EE">
      <w:pPr>
        <w:pStyle w:val="ListParagraph"/>
        <w:numPr>
          <w:ilvl w:val="3"/>
          <w:numId w:val="14"/>
        </w:numPr>
        <w:ind w:hanging="452"/>
      </w:pPr>
      <w:r w:rsidRPr="00E41D24">
        <w:t>A description of the existing data options</w:t>
      </w:r>
      <w:r w:rsidR="00D6392D" w:rsidRPr="00E41D24">
        <w:t xml:space="preserve"> and analytical techniques </w:t>
      </w:r>
      <w:r w:rsidRPr="00E41D24">
        <w:t>considered i.e. reprocessing/</w:t>
      </w:r>
      <w:r w:rsidR="00E353C8" w:rsidRPr="00E41D24">
        <w:t xml:space="preserve">or </w:t>
      </w:r>
      <w:r w:rsidRPr="00E41D24">
        <w:t>licenc</w:t>
      </w:r>
      <w:r w:rsidR="00E353C8" w:rsidRPr="00E41D24">
        <w:t>ing</w:t>
      </w:r>
      <w:r w:rsidRPr="00E41D24">
        <w:t xml:space="preserve"> reprocess</w:t>
      </w:r>
      <w:r w:rsidR="00E353C8" w:rsidRPr="00E41D24">
        <w:t>ed</w:t>
      </w:r>
      <w:r w:rsidR="00DE2204" w:rsidRPr="00E41D24">
        <w:t xml:space="preserve"> data</w:t>
      </w:r>
      <w:r w:rsidR="00D6392D" w:rsidRPr="00E41D24">
        <w:t xml:space="preserve"> and explanation why these are not </w:t>
      </w:r>
      <w:r w:rsidR="00274425" w:rsidRPr="00E41D24">
        <w:t>considered sufficient or appropriate for progressing exploration in the permit area.</w:t>
      </w:r>
    </w:p>
    <w:p w14:paraId="01E3562D" w14:textId="63F4E343" w:rsidR="000568C6" w:rsidRPr="00E41D24" w:rsidRDefault="000568C6" w:rsidP="000568C6">
      <w:pPr>
        <w:pStyle w:val="ListParagraph"/>
        <w:numPr>
          <w:ilvl w:val="3"/>
          <w:numId w:val="14"/>
        </w:numPr>
        <w:ind w:hanging="452"/>
      </w:pPr>
      <w:r w:rsidRPr="00E41D24">
        <w:t>an explanation as to why new seismic data will significantly advance exploration of the permit area.</w:t>
      </w:r>
    </w:p>
    <w:p w14:paraId="4C7152F2" w14:textId="77777777" w:rsidR="00903913" w:rsidRPr="00BD6B30" w:rsidRDefault="00903913" w:rsidP="00DC18F9">
      <w:pPr>
        <w:pStyle w:val="Heading4"/>
      </w:pPr>
      <w:bookmarkStart w:id="224" w:name="_Toc81487647"/>
      <w:bookmarkStart w:id="225" w:name="_Toc83042929"/>
      <w:bookmarkStart w:id="226" w:name="_Toc83395042"/>
      <w:bookmarkStart w:id="227" w:name="_Toc90044326"/>
      <w:r w:rsidRPr="00E41D24">
        <w:t>Secondary work program variation</w:t>
      </w:r>
      <w:bookmarkEnd w:id="224"/>
      <w:bookmarkEnd w:id="225"/>
      <w:bookmarkEnd w:id="226"/>
      <w:bookmarkEnd w:id="227"/>
    </w:p>
    <w:p w14:paraId="3287E9A1" w14:textId="77777777" w:rsidR="00903913" w:rsidRPr="00EE213D" w:rsidRDefault="00903913" w:rsidP="00D73406">
      <w:pPr>
        <w:pStyle w:val="ListParagraph"/>
        <w:numPr>
          <w:ilvl w:val="1"/>
          <w:numId w:val="12"/>
        </w:numPr>
        <w:ind w:left="851" w:hanging="716"/>
      </w:pPr>
      <w:r w:rsidRPr="00EE213D">
        <w:t>A titleholder may apply to vary:</w:t>
      </w:r>
    </w:p>
    <w:p w14:paraId="231A858E" w14:textId="77777777" w:rsidR="00903913" w:rsidRPr="001B0C86" w:rsidRDefault="00903913" w:rsidP="00D73406">
      <w:pPr>
        <w:pStyle w:val="ListParagraph"/>
        <w:numPr>
          <w:ilvl w:val="2"/>
          <w:numId w:val="12"/>
        </w:numPr>
        <w:ind w:hanging="373"/>
      </w:pPr>
      <w:r w:rsidRPr="001B0C86">
        <w:t>Individual permit years before entry into the relevant permit year.</w:t>
      </w:r>
    </w:p>
    <w:p w14:paraId="4B8257AD" w14:textId="77777777" w:rsidR="00903913" w:rsidRPr="001B0C86" w:rsidRDefault="00903913" w:rsidP="00D73406">
      <w:pPr>
        <w:pStyle w:val="ListParagraph"/>
        <w:numPr>
          <w:ilvl w:val="2"/>
          <w:numId w:val="12"/>
        </w:numPr>
        <w:ind w:hanging="373"/>
      </w:pPr>
      <w:r w:rsidRPr="001B0C86">
        <w:t xml:space="preserve">Permit </w:t>
      </w:r>
      <w:r w:rsidR="0076617D">
        <w:t>y</w:t>
      </w:r>
      <w:r w:rsidRPr="001B0C86">
        <w:t xml:space="preserve">ears 5 and 6 before entry into </w:t>
      </w:r>
      <w:r w:rsidR="0076617D">
        <w:t>p</w:t>
      </w:r>
      <w:r w:rsidRPr="001B0C86">
        <w:t xml:space="preserve">ermit </w:t>
      </w:r>
      <w:r w:rsidR="0076617D">
        <w:t>y</w:t>
      </w:r>
      <w:r w:rsidRPr="001B0C86">
        <w:t>ear 5.</w:t>
      </w:r>
    </w:p>
    <w:p w14:paraId="626A5F70" w14:textId="77777777" w:rsidR="00903913" w:rsidRPr="001B0C86" w:rsidRDefault="00903913" w:rsidP="00D73406">
      <w:pPr>
        <w:pStyle w:val="ListParagraph"/>
        <w:numPr>
          <w:ilvl w:val="2"/>
          <w:numId w:val="12"/>
        </w:numPr>
        <w:ind w:hanging="373"/>
      </w:pPr>
      <w:r w:rsidRPr="001B0C86">
        <w:t xml:space="preserve">The whole secondary work program before entry into </w:t>
      </w:r>
      <w:r w:rsidR="0076617D">
        <w:t>p</w:t>
      </w:r>
      <w:r w:rsidRPr="001B0C86">
        <w:t xml:space="preserve">ermit </w:t>
      </w:r>
      <w:r w:rsidR="0076617D">
        <w:t>y</w:t>
      </w:r>
      <w:r w:rsidRPr="001B0C86">
        <w:t>ear 4.</w:t>
      </w:r>
    </w:p>
    <w:p w14:paraId="25DC327E" w14:textId="77777777" w:rsidR="00903913" w:rsidRPr="00EE213D" w:rsidRDefault="00903913" w:rsidP="00D73406">
      <w:pPr>
        <w:pStyle w:val="ListParagraph"/>
        <w:numPr>
          <w:ilvl w:val="1"/>
          <w:numId w:val="12"/>
        </w:numPr>
        <w:ind w:left="851" w:hanging="716"/>
      </w:pPr>
      <w:r w:rsidRPr="00EE213D">
        <w:t>An application should be supported by exploration results from the primary term or previous permit years and technical evidence as to why the work program should be varied.</w:t>
      </w:r>
    </w:p>
    <w:p w14:paraId="0B89C758" w14:textId="77777777" w:rsidR="00903913" w:rsidRDefault="00903913" w:rsidP="1315E805">
      <w:pPr>
        <w:pStyle w:val="Heading3"/>
        <w:rPr>
          <w:sz w:val="22"/>
          <w:szCs w:val="22"/>
        </w:rPr>
      </w:pPr>
      <w:bookmarkStart w:id="228" w:name="_Toc81487648"/>
      <w:bookmarkStart w:id="229" w:name="_Toc83042930"/>
      <w:bookmarkStart w:id="230" w:name="_Toc83395043"/>
      <w:bookmarkStart w:id="231" w:name="_Toc90044327"/>
      <w:bookmarkStart w:id="232" w:name="_Toc183622570"/>
      <w:bookmarkStart w:id="233" w:name="_Toc193955366"/>
      <w:r>
        <w:t>Exemptions</w:t>
      </w:r>
      <w:bookmarkEnd w:id="228"/>
      <w:bookmarkEnd w:id="229"/>
      <w:bookmarkEnd w:id="230"/>
      <w:bookmarkEnd w:id="231"/>
      <w:bookmarkEnd w:id="232"/>
      <w:bookmarkEnd w:id="233"/>
    </w:p>
    <w:p w14:paraId="0DA2A252" w14:textId="0DB51B62" w:rsidR="00903913" w:rsidRPr="00840389" w:rsidRDefault="00903913" w:rsidP="00D73406">
      <w:pPr>
        <w:pStyle w:val="ListParagraph"/>
        <w:numPr>
          <w:ilvl w:val="1"/>
          <w:numId w:val="12"/>
        </w:numPr>
        <w:ind w:left="851" w:hanging="716"/>
      </w:pPr>
      <w:r w:rsidRPr="00EE213D">
        <w:t xml:space="preserve">A titleholder may apply to be exempt from compliance with a work program condition. </w:t>
      </w:r>
      <w:r w:rsidRPr="00840389">
        <w:t xml:space="preserve">An exemption application may </w:t>
      </w:r>
      <w:r w:rsidR="004B267F" w:rsidRPr="00840389">
        <w:t xml:space="preserve">only </w:t>
      </w:r>
      <w:r w:rsidRPr="00840389">
        <w:t>be made on exceptional technical or force majeure grounds.</w:t>
      </w:r>
    </w:p>
    <w:p w14:paraId="72605C47" w14:textId="4F6D6B84" w:rsidR="00D0794E" w:rsidRPr="00840389" w:rsidRDefault="00EA74E6" w:rsidP="00D73406">
      <w:pPr>
        <w:pStyle w:val="ListParagraph"/>
        <w:numPr>
          <w:ilvl w:val="1"/>
          <w:numId w:val="12"/>
        </w:numPr>
        <w:ind w:left="851" w:hanging="716"/>
      </w:pPr>
      <w:r w:rsidRPr="00840389">
        <w:t xml:space="preserve">Commercial </w:t>
      </w:r>
      <w:r w:rsidR="00CD3AD9" w:rsidRPr="00840389">
        <w:t xml:space="preserve">circumstances </w:t>
      </w:r>
      <w:r w:rsidR="00D0794E" w:rsidRPr="00840389">
        <w:t>will not be considered as grounds for</w:t>
      </w:r>
      <w:r w:rsidR="004B267F" w:rsidRPr="00840389">
        <w:t xml:space="preserve"> an</w:t>
      </w:r>
      <w:r w:rsidR="00D0794E" w:rsidRPr="00840389">
        <w:t xml:space="preserve"> exemption</w:t>
      </w:r>
      <w:r w:rsidR="00070983">
        <w:t xml:space="preserve">—refer section </w:t>
      </w:r>
      <w:r w:rsidR="00070983" w:rsidRPr="00C85F2E">
        <w:fldChar w:fldCharType="begin"/>
      </w:r>
      <w:r w:rsidR="00070983" w:rsidRPr="00EB47A0">
        <w:instrText xml:space="preserve"> REF _Ref183681573 \r \h </w:instrText>
      </w:r>
      <w:r w:rsidR="005B4443" w:rsidRPr="00EB47A0">
        <w:instrText xml:space="preserve"> \* MERGEFORMAT </w:instrText>
      </w:r>
      <w:r w:rsidR="00070983" w:rsidRPr="00C85F2E">
        <w:fldChar w:fldCharType="separate"/>
      </w:r>
      <w:r w:rsidR="00D95F2F">
        <w:t>3.31</w:t>
      </w:r>
      <w:r w:rsidR="00070983" w:rsidRPr="00C85F2E">
        <w:fldChar w:fldCharType="end"/>
      </w:r>
      <w:r w:rsidR="00070983">
        <w:t xml:space="preserve"> of this guideline.</w:t>
      </w:r>
    </w:p>
    <w:p w14:paraId="4B970DCD" w14:textId="77777777" w:rsidR="00903913" w:rsidRPr="00EE213D" w:rsidRDefault="00903913" w:rsidP="00D73406">
      <w:pPr>
        <w:pStyle w:val="ListParagraph"/>
        <w:numPr>
          <w:ilvl w:val="1"/>
          <w:numId w:val="12"/>
        </w:numPr>
        <w:ind w:left="851" w:hanging="716"/>
      </w:pPr>
      <w:r w:rsidRPr="00EE213D">
        <w:t>In deciding whether to exempt a titleholder from compliance with a work program condition, the Joint Authority will consider</w:t>
      </w:r>
      <w:r w:rsidR="0076617D">
        <w:t xml:space="preserve"> if the</w:t>
      </w:r>
      <w:r w:rsidRPr="00EE213D">
        <w:t>:</w:t>
      </w:r>
    </w:p>
    <w:p w14:paraId="7CF93D26" w14:textId="77777777" w:rsidR="00903913" w:rsidRPr="001B0C86" w:rsidRDefault="0076617D" w:rsidP="00D73406">
      <w:pPr>
        <w:pStyle w:val="ListParagraph"/>
        <w:numPr>
          <w:ilvl w:val="2"/>
          <w:numId w:val="12"/>
        </w:numPr>
        <w:ind w:hanging="373"/>
      </w:pPr>
      <w:r>
        <w:t>T</w:t>
      </w:r>
      <w:r w:rsidR="00903913" w:rsidRPr="001B0C86">
        <w:t>itleholder has demonstrated a significant effort to identify and assess the petroleum potential of the permit and has provided substantial and compelling documentary evidence</w:t>
      </w:r>
      <w:r>
        <w:t>.</w:t>
      </w:r>
    </w:p>
    <w:p w14:paraId="00ABC62E" w14:textId="77777777" w:rsidR="00903913" w:rsidRPr="001B0C86" w:rsidRDefault="0076617D" w:rsidP="00D73406">
      <w:pPr>
        <w:pStyle w:val="ListParagraph"/>
        <w:numPr>
          <w:ilvl w:val="2"/>
          <w:numId w:val="12"/>
        </w:numPr>
        <w:ind w:hanging="373"/>
      </w:pPr>
      <w:r>
        <w:t>O</w:t>
      </w:r>
      <w:r w:rsidR="00903913" w:rsidRPr="001B0C86">
        <w:t>bjective of the original work program commitment has been met.</w:t>
      </w:r>
    </w:p>
    <w:p w14:paraId="58DE916D" w14:textId="77777777" w:rsidR="00903913" w:rsidRDefault="00903913" w:rsidP="00D73406">
      <w:pPr>
        <w:pStyle w:val="ListParagraph"/>
        <w:numPr>
          <w:ilvl w:val="1"/>
          <w:numId w:val="12"/>
        </w:numPr>
        <w:ind w:left="851" w:hanging="716"/>
      </w:pPr>
      <w:r w:rsidRPr="00EE213D">
        <w:t>The Joint Authority will not exempt a titleholder from an activity if the following permit years are reliant on that work being undertaken.</w:t>
      </w:r>
      <w:bookmarkStart w:id="234" w:name="_Toc81487649"/>
    </w:p>
    <w:p w14:paraId="6D7DDDB6" w14:textId="77777777" w:rsidR="00903913" w:rsidRDefault="00903913" w:rsidP="00DC18F9">
      <w:pPr>
        <w:pStyle w:val="Heading3"/>
      </w:pPr>
      <w:bookmarkStart w:id="235" w:name="_Toc83042931"/>
      <w:bookmarkStart w:id="236" w:name="_Toc83395044"/>
      <w:bookmarkStart w:id="237" w:name="_Toc90044328"/>
      <w:bookmarkStart w:id="238" w:name="_Toc183622571"/>
      <w:bookmarkStart w:id="239" w:name="_Toc193955367"/>
      <w:r>
        <w:t>Surrenders</w:t>
      </w:r>
      <w:bookmarkEnd w:id="234"/>
      <w:bookmarkEnd w:id="235"/>
      <w:bookmarkEnd w:id="236"/>
      <w:bookmarkEnd w:id="237"/>
      <w:bookmarkEnd w:id="238"/>
      <w:bookmarkEnd w:id="239"/>
    </w:p>
    <w:p w14:paraId="355A252B" w14:textId="77777777" w:rsidR="00903913" w:rsidRPr="00EE213D" w:rsidRDefault="00903913" w:rsidP="00D73406">
      <w:pPr>
        <w:pStyle w:val="ListParagraph"/>
        <w:numPr>
          <w:ilvl w:val="1"/>
          <w:numId w:val="12"/>
        </w:numPr>
        <w:ind w:left="851" w:hanging="716"/>
      </w:pPr>
      <w:r w:rsidRPr="00EE213D">
        <w:t xml:space="preserve">A titleholder may apply for consent to surrender some or </w:t>
      </w:r>
      <w:proofErr w:type="gramStart"/>
      <w:r w:rsidRPr="00EE213D">
        <w:t>all of</w:t>
      </w:r>
      <w:proofErr w:type="gramEnd"/>
      <w:r w:rsidRPr="00EE213D">
        <w:t xml:space="preserve"> the blocks that the permit is in force over.</w:t>
      </w:r>
    </w:p>
    <w:p w14:paraId="5E50A681" w14:textId="5EC0AA83" w:rsidR="00903913" w:rsidRPr="00EE213D" w:rsidRDefault="00903913" w:rsidP="00D73406">
      <w:pPr>
        <w:pStyle w:val="ListParagraph"/>
        <w:numPr>
          <w:ilvl w:val="1"/>
          <w:numId w:val="12"/>
        </w:numPr>
        <w:ind w:left="851" w:hanging="716"/>
      </w:pPr>
      <w:r w:rsidRPr="00EE213D">
        <w:t xml:space="preserve">In deciding whether to consent to the surrender, the Joint Authority will consider the </w:t>
      </w:r>
      <w:r w:rsidR="002F180F">
        <w:t xml:space="preserve">criteria in </w:t>
      </w:r>
      <w:r w:rsidRPr="00EE213D">
        <w:t xml:space="preserve"> </w:t>
      </w:r>
      <w:hyperlink r:id="rId43" w:tooltip="Link to Act" w:history="1">
        <w:r w:rsidRPr="00EE213D">
          <w:t>section 270 of the OPGGS Act</w:t>
        </w:r>
      </w:hyperlink>
      <w:r w:rsidRPr="00EE213D">
        <w:t>, including:</w:t>
      </w:r>
    </w:p>
    <w:p w14:paraId="5710926E" w14:textId="77777777" w:rsidR="00903913" w:rsidRPr="001B0C86" w:rsidRDefault="00903913" w:rsidP="00D73406">
      <w:pPr>
        <w:pStyle w:val="ListParagraph"/>
        <w:numPr>
          <w:ilvl w:val="2"/>
          <w:numId w:val="12"/>
        </w:numPr>
        <w:ind w:hanging="373"/>
      </w:pPr>
      <w:r w:rsidRPr="001B0C86">
        <w:t>The status of the work program</w:t>
      </w:r>
      <w:r w:rsidR="00957FDD">
        <w:t>—</w:t>
      </w:r>
      <w:r w:rsidRPr="001B0C86">
        <w:t xml:space="preserve">consent will </w:t>
      </w:r>
      <w:r w:rsidR="00D329E0">
        <w:t xml:space="preserve">usually </w:t>
      </w:r>
      <w:r w:rsidRPr="001B0C86">
        <w:t>be refused before the completion of the guaranteed primary term work program commitments.</w:t>
      </w:r>
    </w:p>
    <w:p w14:paraId="31CE718F" w14:textId="77777777" w:rsidR="00903913" w:rsidRPr="001B0C86" w:rsidRDefault="00903913" w:rsidP="00D73406">
      <w:pPr>
        <w:pStyle w:val="ListParagraph"/>
        <w:numPr>
          <w:ilvl w:val="2"/>
          <w:numId w:val="12"/>
        </w:numPr>
        <w:ind w:hanging="373"/>
      </w:pPr>
      <w:r w:rsidRPr="001B0C86">
        <w:t>Whether the titleholder has completed all guaranteed work program commitments up to and including the permit year in which the application has been made.</w:t>
      </w:r>
    </w:p>
    <w:p w14:paraId="57E74E7E" w14:textId="7D85DA98" w:rsidR="00903913" w:rsidRPr="001B0C86" w:rsidRDefault="00903913" w:rsidP="00D73406">
      <w:pPr>
        <w:pStyle w:val="ListParagraph"/>
        <w:numPr>
          <w:ilvl w:val="2"/>
          <w:numId w:val="12"/>
        </w:numPr>
        <w:ind w:hanging="373"/>
      </w:pPr>
      <w:r w:rsidRPr="001B0C86">
        <w:lastRenderedPageBreak/>
        <w:t>Whether there are sufficient grounds</w:t>
      </w:r>
      <w:r w:rsidR="00D329E0">
        <w:t>,</w:t>
      </w:r>
      <w:r w:rsidRPr="001B0C86">
        <w:t xml:space="preserve"> in the Joint Authority’s view</w:t>
      </w:r>
      <w:r w:rsidR="00D329E0">
        <w:t>,</w:t>
      </w:r>
      <w:r w:rsidRPr="001B0C86">
        <w:t xml:space="preserve"> to warrant the giving of consent to surrender despite non-compliance with any of the criteria outlined in subsection 270(3)</w:t>
      </w:r>
      <w:r w:rsidR="00D329E0">
        <w:t xml:space="preserve"> of the OPGGS Act</w:t>
      </w:r>
      <w:r w:rsidRPr="001B0C86">
        <w:t>. In determining if sufficient grounds exist for a surrender in non-compliance</w:t>
      </w:r>
      <w:r w:rsidR="0096245C">
        <w:t>,</w:t>
      </w:r>
      <w:r w:rsidR="00BC2119">
        <w:t xml:space="preserve"> </w:t>
      </w:r>
      <w:r w:rsidRPr="001B0C86">
        <w:t xml:space="preserve">the Joint Authority may </w:t>
      </w:r>
      <w:r w:rsidR="00794D7D">
        <w:t xml:space="preserve">also </w:t>
      </w:r>
      <w:r w:rsidRPr="001B0C86">
        <w:t>consider:</w:t>
      </w:r>
    </w:p>
    <w:p w14:paraId="5FBB25EB" w14:textId="77777777" w:rsidR="00903913" w:rsidRPr="001B0C86" w:rsidRDefault="0076617D" w:rsidP="007507EE">
      <w:pPr>
        <w:pStyle w:val="ListParagraph"/>
        <w:numPr>
          <w:ilvl w:val="3"/>
          <w:numId w:val="14"/>
        </w:numPr>
        <w:ind w:hanging="452"/>
      </w:pPr>
      <w:r>
        <w:t>I</w:t>
      </w:r>
      <w:r w:rsidR="00903913" w:rsidRPr="001B0C86">
        <w:t>f the titleholder has demonstrated a significant effort to identify and assess the petroleum potential of the permit and has provided substantial and compelling documentary evidence</w:t>
      </w:r>
      <w:r>
        <w:t>.</w:t>
      </w:r>
    </w:p>
    <w:p w14:paraId="29AA82A9" w14:textId="77777777" w:rsidR="00903913" w:rsidRPr="001B0C86" w:rsidRDefault="0076617D" w:rsidP="007507EE">
      <w:pPr>
        <w:pStyle w:val="ListParagraph"/>
        <w:numPr>
          <w:ilvl w:val="3"/>
          <w:numId w:val="14"/>
        </w:numPr>
        <w:ind w:hanging="452"/>
      </w:pPr>
      <w:r>
        <w:t>I</w:t>
      </w:r>
      <w:r w:rsidR="00903913" w:rsidRPr="001B0C86">
        <w:t>f the objective of the original work program commitment has been met</w:t>
      </w:r>
      <w:r>
        <w:t>.</w:t>
      </w:r>
    </w:p>
    <w:p w14:paraId="0D636284" w14:textId="5C81F786" w:rsidR="00903913" w:rsidRPr="001B0C86" w:rsidRDefault="0076617D" w:rsidP="007507EE">
      <w:pPr>
        <w:pStyle w:val="ListParagraph"/>
        <w:numPr>
          <w:ilvl w:val="3"/>
          <w:numId w:val="14"/>
        </w:numPr>
        <w:ind w:hanging="452"/>
      </w:pPr>
      <w:r>
        <w:t>O</w:t>
      </w:r>
      <w:r w:rsidR="00903913" w:rsidRPr="001B0C86">
        <w:t>ther matters as considered relevant by the Joint Authority.</w:t>
      </w:r>
    </w:p>
    <w:p w14:paraId="38C7229E" w14:textId="77777777" w:rsidR="00903913" w:rsidRPr="00EE213D" w:rsidRDefault="00903913" w:rsidP="003E7B94">
      <w:pPr>
        <w:pStyle w:val="ListParagraph"/>
        <w:numPr>
          <w:ilvl w:val="1"/>
          <w:numId w:val="12"/>
        </w:numPr>
        <w:ind w:left="851" w:hanging="716"/>
      </w:pPr>
      <w:r w:rsidRPr="00EE213D">
        <w:t xml:space="preserve">In undertaking its assessment, in accordance with the OPGGS Act, NOPTA consults with </w:t>
      </w:r>
      <w:r w:rsidR="0076617D">
        <w:t>NOPSEMA</w:t>
      </w:r>
      <w:r w:rsidRPr="00EE213D">
        <w:t>.</w:t>
      </w:r>
    </w:p>
    <w:p w14:paraId="4A87D7DF" w14:textId="3DCF9F27" w:rsidR="00903913" w:rsidRPr="00EE213D" w:rsidRDefault="00903913" w:rsidP="003E7B94">
      <w:pPr>
        <w:pStyle w:val="ListParagraph"/>
        <w:numPr>
          <w:ilvl w:val="1"/>
          <w:numId w:val="12"/>
        </w:numPr>
        <w:ind w:left="851" w:hanging="716"/>
      </w:pPr>
      <w:r w:rsidRPr="00EE213D">
        <w:t xml:space="preserve">Titleholders are expected to ensure any outstanding reports and data are lodged with the surrender application in accordance with the </w:t>
      </w:r>
      <w:hyperlink r:id="rId44" w:tooltip="Link to regulations" w:history="1">
        <w:r w:rsidRPr="00EE213D">
          <w:t xml:space="preserve">RMA </w:t>
        </w:r>
        <w:r w:rsidR="00B32475">
          <w:t>R</w:t>
        </w:r>
        <w:r w:rsidRPr="00EE213D">
          <w:t>egulations</w:t>
        </w:r>
      </w:hyperlink>
      <w:r w:rsidRPr="00EE213D">
        <w:t>.</w:t>
      </w:r>
    </w:p>
    <w:p w14:paraId="587162FF" w14:textId="77777777" w:rsidR="00903913" w:rsidRPr="00EE213D" w:rsidRDefault="00903913" w:rsidP="003E7B94">
      <w:pPr>
        <w:pStyle w:val="ListParagraph"/>
        <w:numPr>
          <w:ilvl w:val="1"/>
          <w:numId w:val="12"/>
        </w:numPr>
        <w:ind w:left="851" w:hanging="716"/>
      </w:pPr>
      <w:r w:rsidRPr="00EE213D">
        <w:t>If the Joint Authority gives consent to the surrender of the permit, the titleholder may, by written notice given to NOPTA, surrender the whole or part of the permit.</w:t>
      </w:r>
    </w:p>
    <w:p w14:paraId="10EFBA70" w14:textId="77777777" w:rsidR="00903913" w:rsidRPr="00EE213D" w:rsidRDefault="00903913" w:rsidP="003E7B94">
      <w:pPr>
        <w:pStyle w:val="ListParagraph"/>
        <w:numPr>
          <w:ilvl w:val="1"/>
          <w:numId w:val="12"/>
        </w:numPr>
        <w:ind w:left="851" w:hanging="716"/>
      </w:pPr>
      <w:r w:rsidRPr="00EE213D">
        <w:t xml:space="preserve">The surrender takes effect the day a notice is published in the </w:t>
      </w:r>
      <w:hyperlink r:id="rId45" w:tooltip="Link to gazette website" w:history="1">
        <w:r w:rsidRPr="00EE213D">
          <w:t>Australian Government Gazette</w:t>
        </w:r>
      </w:hyperlink>
      <w:r w:rsidRPr="00EE213D">
        <w:t>.</w:t>
      </w:r>
    </w:p>
    <w:p w14:paraId="57D02072" w14:textId="3F46D5C6" w:rsidR="00903913" w:rsidRPr="00EE213D" w:rsidRDefault="01D724D1" w:rsidP="0076617D">
      <w:pPr>
        <w:pStyle w:val="Calloutbox"/>
      </w:pPr>
      <w:r>
        <w:t>Refer</w:t>
      </w:r>
      <w:r w:rsidR="7DBDB3C1">
        <w:t xml:space="preserve"> to </w:t>
      </w:r>
      <w:r w:rsidR="6D20F0FC">
        <w:t>‘</w:t>
      </w:r>
      <w:hyperlink r:id="rId46">
        <w:r w:rsidR="6F4FB77F" w:rsidRPr="002F21D0">
          <w:rPr>
            <w:rStyle w:val="Hyperlink"/>
          </w:rPr>
          <w:t>Guideline: Offshore petroleum decommissioning</w:t>
        </w:r>
      </w:hyperlink>
      <w:r w:rsidR="6D20F0FC" w:rsidRPr="002F21D0">
        <w:rPr>
          <w:rStyle w:val="Hyperlink"/>
        </w:rPr>
        <w:t>’</w:t>
      </w:r>
      <w:r w:rsidR="6F4FB77F">
        <w:t xml:space="preserve"> on NOPTA’s website.</w:t>
      </w:r>
    </w:p>
    <w:p w14:paraId="6679935F" w14:textId="77777777" w:rsidR="00903913" w:rsidRPr="00BD6B30" w:rsidRDefault="00903913" w:rsidP="00DC18F9">
      <w:pPr>
        <w:pStyle w:val="Heading3"/>
      </w:pPr>
      <w:bookmarkStart w:id="240" w:name="_Toc81487650"/>
      <w:bookmarkStart w:id="241" w:name="_Toc83042932"/>
      <w:bookmarkStart w:id="242" w:name="_Toc83395045"/>
      <w:bookmarkStart w:id="243" w:name="_Toc90044329"/>
      <w:bookmarkStart w:id="244" w:name="_Toc183622572"/>
      <w:bookmarkStart w:id="245" w:name="_Toc193955368"/>
      <w:r>
        <w:t>Expiry</w:t>
      </w:r>
      <w:bookmarkEnd w:id="240"/>
      <w:bookmarkEnd w:id="241"/>
      <w:bookmarkEnd w:id="242"/>
      <w:bookmarkEnd w:id="243"/>
      <w:bookmarkEnd w:id="244"/>
      <w:bookmarkEnd w:id="245"/>
    </w:p>
    <w:p w14:paraId="61179B2C" w14:textId="77777777" w:rsidR="00903913" w:rsidRPr="0021791E" w:rsidRDefault="00903913" w:rsidP="003E7B94">
      <w:pPr>
        <w:pStyle w:val="ListParagraph"/>
        <w:numPr>
          <w:ilvl w:val="1"/>
          <w:numId w:val="12"/>
        </w:numPr>
        <w:ind w:left="851" w:hanging="716"/>
      </w:pPr>
      <w:r w:rsidRPr="0021791E">
        <w:t>An expiry takes effect on the day the permit ceases to be in force.</w:t>
      </w:r>
    </w:p>
    <w:p w14:paraId="61A8C3E5" w14:textId="77777777" w:rsidR="00903913" w:rsidRPr="0021791E" w:rsidRDefault="00903913" w:rsidP="003E7B94">
      <w:pPr>
        <w:pStyle w:val="ListParagraph"/>
        <w:numPr>
          <w:ilvl w:val="1"/>
          <w:numId w:val="12"/>
        </w:numPr>
        <w:ind w:left="851" w:hanging="716"/>
      </w:pPr>
      <w:r w:rsidRPr="0021791E">
        <w:t>Titleholders are not required to lodge an application if it is intended to let a permit expire. However, titleholders may choose to notify NOPTA of this intention before the expiration date.</w:t>
      </w:r>
    </w:p>
    <w:p w14:paraId="22700B06" w14:textId="54613D20" w:rsidR="00903913" w:rsidRPr="0021791E" w:rsidRDefault="00903913" w:rsidP="003E7B94">
      <w:pPr>
        <w:pStyle w:val="ListParagraph"/>
        <w:numPr>
          <w:ilvl w:val="1"/>
          <w:numId w:val="12"/>
        </w:numPr>
        <w:ind w:left="851" w:hanging="716"/>
      </w:pPr>
      <w:bookmarkStart w:id="246" w:name="_Ref90389950"/>
      <w:r w:rsidRPr="0021791E">
        <w:t xml:space="preserve">Prior to the permit expiry, the titleholder </w:t>
      </w:r>
      <w:r w:rsidR="00997644" w:rsidRPr="0021791E">
        <w:t>is expected to</w:t>
      </w:r>
      <w:r w:rsidR="00130519">
        <w:t xml:space="preserve"> ensure</w:t>
      </w:r>
      <w:r w:rsidR="00914C8E">
        <w:t xml:space="preserve"> </w:t>
      </w:r>
      <w:r w:rsidRPr="0021791E">
        <w:t>that</w:t>
      </w:r>
      <w:r w:rsidR="00B00D2E" w:rsidRPr="0021791E">
        <w:t xml:space="preserve"> all</w:t>
      </w:r>
      <w:bookmarkEnd w:id="246"/>
    </w:p>
    <w:p w14:paraId="3F63AF0F" w14:textId="594A785C" w:rsidR="00903913" w:rsidRPr="0021791E" w:rsidRDefault="00B00D2E" w:rsidP="003E7B94">
      <w:pPr>
        <w:pStyle w:val="ListParagraph"/>
        <w:numPr>
          <w:ilvl w:val="2"/>
          <w:numId w:val="12"/>
        </w:numPr>
        <w:ind w:hanging="373"/>
      </w:pPr>
      <w:r w:rsidRPr="0021791E">
        <w:t>C</w:t>
      </w:r>
      <w:r w:rsidR="00903913" w:rsidRPr="0021791E">
        <w:t>onditions of the title, including any work program commitments have been met.</w:t>
      </w:r>
    </w:p>
    <w:p w14:paraId="6E3FB008" w14:textId="38345018" w:rsidR="00903913" w:rsidRPr="0021791E" w:rsidRDefault="00B00D2E" w:rsidP="003E7B94">
      <w:pPr>
        <w:pStyle w:val="ListParagraph"/>
        <w:numPr>
          <w:ilvl w:val="2"/>
          <w:numId w:val="12"/>
        </w:numPr>
        <w:ind w:hanging="373"/>
      </w:pPr>
      <w:r w:rsidRPr="0021791E">
        <w:t>R</w:t>
      </w:r>
      <w:r w:rsidR="00903913" w:rsidRPr="0021791E">
        <w:t>elevant provisions of chapters 2, 4, 6 and part 7.1 of the OPGGS Act and the regulations have been complied with including the submission of all reports and data due and completion of any decommissioning obligations.</w:t>
      </w:r>
    </w:p>
    <w:p w14:paraId="1C511E17" w14:textId="529A6911" w:rsidR="00903913" w:rsidRPr="0021791E" w:rsidRDefault="00903913" w:rsidP="003E7B94">
      <w:pPr>
        <w:pStyle w:val="ListParagraph"/>
        <w:numPr>
          <w:ilvl w:val="2"/>
          <w:numId w:val="12"/>
        </w:numPr>
        <w:ind w:hanging="373"/>
      </w:pPr>
      <w:r w:rsidRPr="0021791E">
        <w:t>Any direction(s) given by the responsible Commonwealth Minister, NOPSEMA or the Joint Authority have been complied with.</w:t>
      </w:r>
    </w:p>
    <w:p w14:paraId="6EFC2382" w14:textId="6BE99A58" w:rsidR="0076617D" w:rsidRPr="0021791E" w:rsidRDefault="00903913" w:rsidP="003E7B94">
      <w:pPr>
        <w:pStyle w:val="ListParagraph"/>
        <w:numPr>
          <w:ilvl w:val="2"/>
          <w:numId w:val="12"/>
        </w:numPr>
        <w:ind w:hanging="373"/>
      </w:pPr>
      <w:r w:rsidRPr="0021791E">
        <w:t>All applicable fees, royalties and the annual titles administration levy have been paid, or appropriate arrangements have been made with NOPTA.</w:t>
      </w:r>
    </w:p>
    <w:p w14:paraId="59EB132F" w14:textId="13F9E346" w:rsidR="0076617D" w:rsidRPr="00E41D24" w:rsidRDefault="00B00D2E" w:rsidP="0076617D">
      <w:pPr>
        <w:pStyle w:val="Calloutbox"/>
      </w:pPr>
      <w:r w:rsidRPr="0021791E">
        <w:t>R</w:t>
      </w:r>
      <w:r w:rsidR="0076617D" w:rsidRPr="0021791E">
        <w:t xml:space="preserve">efer to </w:t>
      </w:r>
      <w:r w:rsidR="00806C3F" w:rsidRPr="0021791E">
        <w:t>‘</w:t>
      </w:r>
      <w:hyperlink r:id="rId47" w:history="1">
        <w:r w:rsidR="0076617D" w:rsidRPr="00E41D24">
          <w:rPr>
            <w:rStyle w:val="Hyperlink"/>
          </w:rPr>
          <w:t>Guideline: Offshore petroleum decommissioning</w:t>
        </w:r>
      </w:hyperlink>
      <w:r w:rsidR="00806C3F" w:rsidRPr="00E41D24">
        <w:t>’</w:t>
      </w:r>
      <w:r w:rsidR="0076617D" w:rsidRPr="00E41D24">
        <w:t xml:space="preserve"> on NOPTA’s website.</w:t>
      </w:r>
    </w:p>
    <w:p w14:paraId="0D1356FB" w14:textId="55165254" w:rsidR="00903913" w:rsidRPr="00E41D24" w:rsidRDefault="00903913" w:rsidP="003E7B94">
      <w:pPr>
        <w:pStyle w:val="ListParagraph"/>
        <w:numPr>
          <w:ilvl w:val="1"/>
          <w:numId w:val="12"/>
        </w:numPr>
        <w:ind w:left="851" w:hanging="716"/>
      </w:pPr>
      <w:r w:rsidRPr="00E41D24">
        <w:t>If the permit expires in default of the permit conditions</w:t>
      </w:r>
      <w:r w:rsidR="006D0EE2" w:rsidRPr="00E41D24">
        <w:t xml:space="preserve">, </w:t>
      </w:r>
      <w:r w:rsidRPr="00E41D24">
        <w:t>the titleholders will be recorded as having a past performance issue that will be used in the decision</w:t>
      </w:r>
      <w:r w:rsidR="0076617D" w:rsidRPr="00E41D24">
        <w:t>-</w:t>
      </w:r>
      <w:r w:rsidRPr="00E41D24">
        <w:t>making process,</w:t>
      </w:r>
      <w:r w:rsidR="00914C8E">
        <w:t xml:space="preserve"> </w:t>
      </w:r>
      <w:r w:rsidRPr="00E41D24">
        <w:t>effective from the da</w:t>
      </w:r>
      <w:r w:rsidR="00031C61" w:rsidRPr="00E41D24">
        <w:t xml:space="preserve">te of </w:t>
      </w:r>
      <w:r w:rsidRPr="00E41D24">
        <w:t>the expiry.</w:t>
      </w:r>
      <w:r w:rsidR="006C6AB9">
        <w:t xml:space="preserve"> </w:t>
      </w:r>
      <w:r w:rsidRPr="00E41D24">
        <w:t>After the expiry of the permit, NOPTA will:</w:t>
      </w:r>
    </w:p>
    <w:p w14:paraId="39FC8C0A" w14:textId="34C315DE" w:rsidR="00903913" w:rsidRPr="001B0C86" w:rsidRDefault="00903913" w:rsidP="003325DF">
      <w:pPr>
        <w:pStyle w:val="ListParagraph"/>
        <w:numPr>
          <w:ilvl w:val="2"/>
          <w:numId w:val="12"/>
        </w:numPr>
        <w:ind w:hanging="373"/>
      </w:pPr>
      <w:r w:rsidRPr="001B0C86">
        <w:t xml:space="preserve">Undertake a compliance check of the title. If any of the matters outlined in </w:t>
      </w:r>
      <w:r w:rsidR="00CF2AFC">
        <w:t xml:space="preserve">section </w:t>
      </w:r>
      <w:r w:rsidRPr="001B0C86">
        <w:fldChar w:fldCharType="begin"/>
      </w:r>
      <w:r w:rsidRPr="001B0C86">
        <w:instrText xml:space="preserve"> REF _Ref90389950 \r \p \h </w:instrText>
      </w:r>
      <w:r w:rsidR="001B0C86">
        <w:instrText xml:space="preserve"> \* MERGEFORMAT </w:instrText>
      </w:r>
      <w:r w:rsidRPr="001B0C86">
        <w:fldChar w:fldCharType="separate"/>
      </w:r>
      <w:r w:rsidR="00D95F2F">
        <w:t>3.63 above</w:t>
      </w:r>
      <w:r w:rsidRPr="001B0C86">
        <w:fldChar w:fldCharType="end"/>
      </w:r>
      <w:r w:rsidRPr="001B0C86">
        <w:t xml:space="preserve"> are outstanding NOPTA will contact the titleholder.</w:t>
      </w:r>
    </w:p>
    <w:p w14:paraId="28951F98" w14:textId="77777777" w:rsidR="00903913" w:rsidRPr="001B0C86" w:rsidRDefault="00903913" w:rsidP="003325DF">
      <w:pPr>
        <w:pStyle w:val="ListParagraph"/>
        <w:numPr>
          <w:ilvl w:val="2"/>
          <w:numId w:val="12"/>
        </w:numPr>
        <w:ind w:hanging="373"/>
      </w:pPr>
      <w:r w:rsidRPr="001B0C86">
        <w:t xml:space="preserve">Issue a formal notice of </w:t>
      </w:r>
      <w:r w:rsidR="0081767F">
        <w:t xml:space="preserve">the </w:t>
      </w:r>
      <w:r w:rsidRPr="001B0C86">
        <w:t xml:space="preserve">expiry in the </w:t>
      </w:r>
      <w:hyperlink r:id="rId48" w:tooltip="Link to gazette website" w:history="1">
        <w:r w:rsidRPr="001B0C86">
          <w:t>Australian Government Gazette</w:t>
        </w:r>
      </w:hyperlink>
      <w:r w:rsidR="0076617D">
        <w:t>—</w:t>
      </w:r>
      <w:hyperlink r:id="rId49" w:tooltip="Link to Act" w:history="1">
        <w:r w:rsidRPr="001B0C86">
          <w:t>section 708 of the OPGGS Act</w:t>
        </w:r>
      </w:hyperlink>
      <w:r w:rsidRPr="001B0C86">
        <w:t>.</w:t>
      </w:r>
    </w:p>
    <w:p w14:paraId="7BE9DA64" w14:textId="77777777" w:rsidR="00903913" w:rsidRPr="001B0C86" w:rsidRDefault="00903913" w:rsidP="003325DF">
      <w:pPr>
        <w:pStyle w:val="ListParagraph"/>
        <w:numPr>
          <w:ilvl w:val="2"/>
          <w:numId w:val="12"/>
        </w:numPr>
        <w:ind w:hanging="373"/>
      </w:pPr>
      <w:r w:rsidRPr="001B0C86">
        <w:t xml:space="preserve">Make an entry on the Register of Titles regarding </w:t>
      </w:r>
      <w:r w:rsidR="0076617D">
        <w:t xml:space="preserve">the </w:t>
      </w:r>
      <w:r w:rsidRPr="001B0C86">
        <w:t>expiry of the title</w:t>
      </w:r>
      <w:r w:rsidR="0076617D">
        <w:t>—</w:t>
      </w:r>
      <w:hyperlink r:id="rId50" w:tooltip="LInk to Act" w:history="1">
        <w:r w:rsidRPr="001B0C86">
          <w:t>section 471 of the OPGGS Act</w:t>
        </w:r>
      </w:hyperlink>
      <w:r w:rsidRPr="001B0C86">
        <w:t>.</w:t>
      </w:r>
    </w:p>
    <w:p w14:paraId="556C15CE" w14:textId="77777777" w:rsidR="00903913" w:rsidRPr="001B0C86" w:rsidRDefault="00903913" w:rsidP="003325DF">
      <w:pPr>
        <w:pStyle w:val="ListParagraph"/>
        <w:numPr>
          <w:ilvl w:val="2"/>
          <w:numId w:val="12"/>
        </w:numPr>
        <w:ind w:hanging="373"/>
      </w:pPr>
      <w:r w:rsidRPr="001B0C86">
        <w:lastRenderedPageBreak/>
        <w:t>Advise the titleholders in writing that the title has expired.</w:t>
      </w:r>
    </w:p>
    <w:p w14:paraId="2E8D53D5" w14:textId="77777777" w:rsidR="00903913" w:rsidRDefault="00903913" w:rsidP="00DC18F9">
      <w:pPr>
        <w:pStyle w:val="Heading3"/>
      </w:pPr>
      <w:bookmarkStart w:id="247" w:name="_Toc81487651"/>
      <w:bookmarkStart w:id="248" w:name="_Toc83042933"/>
      <w:bookmarkStart w:id="249" w:name="_Toc83395046"/>
      <w:bookmarkStart w:id="250" w:name="_Toc90044330"/>
      <w:bookmarkStart w:id="251" w:name="_Toc183622573"/>
      <w:bookmarkStart w:id="252" w:name="_Toc193955369"/>
      <w:r>
        <w:t>Cancellation</w:t>
      </w:r>
      <w:bookmarkEnd w:id="247"/>
      <w:bookmarkEnd w:id="248"/>
      <w:bookmarkEnd w:id="249"/>
      <w:bookmarkEnd w:id="250"/>
      <w:bookmarkEnd w:id="251"/>
      <w:bookmarkEnd w:id="252"/>
    </w:p>
    <w:p w14:paraId="6DA36B3B" w14:textId="700FA674" w:rsidR="003E2ECB" w:rsidRDefault="00903913" w:rsidP="008B56D3">
      <w:pPr>
        <w:pStyle w:val="ListParagraph"/>
        <w:numPr>
          <w:ilvl w:val="1"/>
          <w:numId w:val="12"/>
        </w:numPr>
        <w:ind w:left="851" w:hanging="716"/>
      </w:pPr>
      <w:r w:rsidRPr="00EE213D">
        <w:t xml:space="preserve">Titleholders </w:t>
      </w:r>
      <w:r w:rsidR="006C4D7B">
        <w:t xml:space="preserve">must </w:t>
      </w:r>
      <w:proofErr w:type="gramStart"/>
      <w:r w:rsidR="006C4D7B">
        <w:t>at all times</w:t>
      </w:r>
      <w:proofErr w:type="gramEnd"/>
      <w:r w:rsidR="006C4D7B">
        <w:t xml:space="preserve"> comply with their</w:t>
      </w:r>
      <w:r w:rsidRPr="00EE213D">
        <w:t xml:space="preserve"> obligations under the OPGGS Act, OPGGS Levies Act, the associated regulations, any directions and permit conditions. Failure to comply with any of these obligations, including work program commitments, is a ground for cancellation of the permit.</w:t>
      </w:r>
    </w:p>
    <w:p w14:paraId="3155B43D" w14:textId="73B6D7F8" w:rsidR="00903913" w:rsidRPr="00EE213D" w:rsidRDefault="002D5F14" w:rsidP="003E2ECB">
      <w:pPr>
        <w:pStyle w:val="Calloutbox"/>
      </w:pPr>
      <w:r>
        <w:t>R</w:t>
      </w:r>
      <w:r w:rsidR="0071296E">
        <w:t xml:space="preserve">efer to </w:t>
      </w:r>
      <w:hyperlink r:id="rId51" w:history="1">
        <w:r w:rsidR="00903913" w:rsidRPr="009524FC">
          <w:rPr>
            <w:rStyle w:val="Hyperlink"/>
          </w:rPr>
          <w:t xml:space="preserve">Guideline: Offshore </w:t>
        </w:r>
        <w:r w:rsidR="009524FC" w:rsidRPr="009524FC">
          <w:rPr>
            <w:rStyle w:val="Hyperlink"/>
          </w:rPr>
          <w:t>P</w:t>
        </w:r>
        <w:r w:rsidR="00903913" w:rsidRPr="009524FC">
          <w:rPr>
            <w:rStyle w:val="Hyperlink"/>
          </w:rPr>
          <w:t xml:space="preserve">etroleum </w:t>
        </w:r>
        <w:r w:rsidR="009524FC" w:rsidRPr="009524FC">
          <w:rPr>
            <w:rStyle w:val="Hyperlink"/>
          </w:rPr>
          <w:t>D</w:t>
        </w:r>
        <w:r w:rsidR="00903913" w:rsidRPr="009524FC">
          <w:rPr>
            <w:rStyle w:val="Hyperlink"/>
          </w:rPr>
          <w:t>ecommissioning</w:t>
        </w:r>
      </w:hyperlink>
      <w:r w:rsidR="00903913" w:rsidRPr="00EE213D">
        <w:t xml:space="preserve"> on NOPTA’s website.</w:t>
      </w:r>
    </w:p>
    <w:p w14:paraId="3FF0611A" w14:textId="1438D079" w:rsidR="00903913" w:rsidRPr="00EE213D" w:rsidRDefault="00903913" w:rsidP="008B56D3">
      <w:pPr>
        <w:pStyle w:val="ListParagraph"/>
        <w:numPr>
          <w:ilvl w:val="1"/>
          <w:numId w:val="12"/>
        </w:numPr>
        <w:ind w:left="851" w:hanging="716"/>
      </w:pPr>
      <w:r w:rsidRPr="00EE213D">
        <w:t xml:space="preserve">If there is/are a ground/s for cancellation, before making a decision the Joint Authority will issue the titleholder a written notice of intention to cancel the permit, setting out the </w:t>
      </w:r>
      <w:r w:rsidR="007F24BA">
        <w:t xml:space="preserve">details of the decision that is proposed to be made; </w:t>
      </w:r>
      <w:r w:rsidRPr="00EE213D">
        <w:t xml:space="preserve">reason/s for the proposed cancellation and </w:t>
      </w:r>
      <w:r w:rsidR="007F24BA">
        <w:t xml:space="preserve">invite a person to whom the notice is given to make a written submission to the Joint Authority about the proposed decision; and specifying a time limit for making that submission. </w:t>
      </w:r>
      <w:r w:rsidRPr="00EE213D">
        <w:t>Titleholders will be given at least 30 days to submit matters they wish to have considered by the Joint Authority in reaching its final decision.</w:t>
      </w:r>
    </w:p>
    <w:p w14:paraId="749E882F" w14:textId="5E16D595" w:rsidR="00903913" w:rsidRPr="00EE213D" w:rsidRDefault="00903913" w:rsidP="008B56D3">
      <w:pPr>
        <w:pStyle w:val="ListParagraph"/>
        <w:numPr>
          <w:ilvl w:val="1"/>
          <w:numId w:val="12"/>
        </w:numPr>
        <w:ind w:left="851" w:hanging="716"/>
      </w:pPr>
      <w:r w:rsidRPr="00EE213D">
        <w:t>Before deciding to cancel a title, the Joint Authority must</w:t>
      </w:r>
      <w:r w:rsidR="002D1915">
        <w:t>:</w:t>
      </w:r>
    </w:p>
    <w:p w14:paraId="00DB632C" w14:textId="2F6C27CE" w:rsidR="00903913" w:rsidRPr="001B0C86" w:rsidRDefault="00645E70" w:rsidP="008B56D3">
      <w:pPr>
        <w:pStyle w:val="ListParagraph"/>
        <w:numPr>
          <w:ilvl w:val="2"/>
          <w:numId w:val="12"/>
        </w:numPr>
        <w:ind w:hanging="373"/>
      </w:pPr>
      <w:r>
        <w:t>C</w:t>
      </w:r>
      <w:r w:rsidR="002D1915">
        <w:t xml:space="preserve">onsider </w:t>
      </w:r>
      <w:r w:rsidR="00903913" w:rsidRPr="001B0C86">
        <w:t>any submissions made by the titleholder or other relevant persons</w:t>
      </w:r>
      <w:r>
        <w:t>.</w:t>
      </w:r>
    </w:p>
    <w:p w14:paraId="7B783844" w14:textId="57D07A10" w:rsidR="00903913" w:rsidRPr="001B0C86" w:rsidRDefault="00645E70" w:rsidP="008B56D3">
      <w:pPr>
        <w:pStyle w:val="ListParagraph"/>
        <w:numPr>
          <w:ilvl w:val="2"/>
          <w:numId w:val="12"/>
        </w:numPr>
        <w:ind w:hanging="373"/>
      </w:pPr>
      <w:proofErr w:type="gramStart"/>
      <w:r>
        <w:t>T</w:t>
      </w:r>
      <w:r w:rsidR="00903913" w:rsidRPr="001B0C86">
        <w:t>ake into account</w:t>
      </w:r>
      <w:proofErr w:type="gramEnd"/>
      <w:r w:rsidR="00903913" w:rsidRPr="001B0C86">
        <w:t xml:space="preserve"> any action taken by the titleholder to remove the ground(s) for cancellation or prevent its recurrence</w:t>
      </w:r>
      <w:r w:rsidR="002D1915">
        <w:t>.</w:t>
      </w:r>
    </w:p>
    <w:p w14:paraId="4E138C21" w14:textId="77777777" w:rsidR="00903913" w:rsidRDefault="00903913" w:rsidP="008B56D3">
      <w:pPr>
        <w:pStyle w:val="ListParagraph"/>
        <w:numPr>
          <w:ilvl w:val="1"/>
          <w:numId w:val="12"/>
        </w:numPr>
        <w:ind w:left="851" w:hanging="716"/>
      </w:pPr>
      <w:r w:rsidRPr="00EE213D">
        <w:t xml:space="preserve">The titleholder(s) will be notified in writing if the Joint Authority cancels the title. A cancellation takes effect the day a notice is published in the </w:t>
      </w:r>
      <w:hyperlink r:id="rId52" w:tooltip="Link to gazette website" w:history="1">
        <w:r w:rsidRPr="00EE213D">
          <w:t>Australian Government Gazette</w:t>
        </w:r>
      </w:hyperlink>
      <w:r w:rsidRPr="00EE213D">
        <w:t xml:space="preserve">. </w:t>
      </w:r>
    </w:p>
    <w:p w14:paraId="0EBB258F" w14:textId="7F728218" w:rsidR="003D09FA" w:rsidRPr="00E41D24" w:rsidRDefault="003D09FA" w:rsidP="003D09FA">
      <w:pPr>
        <w:pStyle w:val="Heading3"/>
      </w:pPr>
      <w:bookmarkStart w:id="253" w:name="_Toc183622574"/>
      <w:bookmarkStart w:id="254" w:name="_Toc193955370"/>
      <w:r w:rsidRPr="00E41D24">
        <w:t>Good Standing Agreements</w:t>
      </w:r>
      <w:bookmarkEnd w:id="253"/>
      <w:bookmarkEnd w:id="254"/>
    </w:p>
    <w:p w14:paraId="74588B3F" w14:textId="7671C8EF" w:rsidR="00935F86" w:rsidRPr="00E41D24" w:rsidRDefault="003D09FA" w:rsidP="003D09FA">
      <w:pPr>
        <w:pStyle w:val="Calloutbox"/>
      </w:pPr>
      <w:r w:rsidRPr="00E41D24">
        <w:t xml:space="preserve">As of </w:t>
      </w:r>
      <w:r w:rsidR="00EA5040">
        <w:t>9</w:t>
      </w:r>
      <w:r w:rsidR="002A7142">
        <w:t xml:space="preserve"> December 2025</w:t>
      </w:r>
      <w:r w:rsidRPr="00E41D24">
        <w:t>, the Joint Authority will not offer nor enter into any further Good Standing Agreements (GSA). Instead, where a permit is cancelled or expires in default, the titleholder/s, the parent company (where applicable) and all associated company directors at the time of the cancellation or expiry will be considered to have a past performance issue that the Joint Authority must have regard to under section 695YB of the OPGGS Act and this guideline.</w:t>
      </w:r>
    </w:p>
    <w:p w14:paraId="2C45FB37" w14:textId="697FFFDD" w:rsidR="0024249E" w:rsidRPr="00E41D24" w:rsidRDefault="00300B29" w:rsidP="003D09FA">
      <w:pPr>
        <w:pStyle w:val="Calloutbox"/>
      </w:pPr>
      <w:r w:rsidRPr="00E41D24">
        <w:t>A</w:t>
      </w:r>
      <w:r w:rsidR="00BA1D42" w:rsidRPr="00E41D24">
        <w:t xml:space="preserve">mendments </w:t>
      </w:r>
      <w:r w:rsidRPr="00E41D24">
        <w:t xml:space="preserve">made </w:t>
      </w:r>
      <w:r w:rsidR="00BA1D42" w:rsidRPr="00E41D24">
        <w:t xml:space="preserve">to the OPGGS Act </w:t>
      </w:r>
      <w:r w:rsidR="00C86680" w:rsidRPr="00E41D24">
        <w:t>in 2021</w:t>
      </w:r>
      <w:r w:rsidRPr="00E41D24">
        <w:t>,</w:t>
      </w:r>
      <w:r w:rsidR="00C2674F" w:rsidRPr="00E41D24">
        <w:t xml:space="preserve"> which </w:t>
      </w:r>
      <w:r w:rsidRPr="00E41D24">
        <w:t>included the addition of</w:t>
      </w:r>
      <w:r w:rsidR="003A1F23" w:rsidRPr="00E41D24">
        <w:t xml:space="preserve"> </w:t>
      </w:r>
      <w:r w:rsidR="00C2674F" w:rsidRPr="00E41D24">
        <w:t xml:space="preserve">section </w:t>
      </w:r>
      <w:r w:rsidR="00BA1D42" w:rsidRPr="00E41D24">
        <w:t>695YB</w:t>
      </w:r>
      <w:r w:rsidRPr="00E41D24">
        <w:t xml:space="preserve"> to the OPGGS Act</w:t>
      </w:r>
      <w:r w:rsidR="005924BA" w:rsidRPr="00E41D24">
        <w:t>,</w:t>
      </w:r>
      <w:r w:rsidRPr="00E41D24">
        <w:t xml:space="preserve"> superseded </w:t>
      </w:r>
      <w:r w:rsidR="00EA5040">
        <w:t>‘</w:t>
      </w:r>
      <w:r w:rsidR="00F04DB1" w:rsidRPr="00E41D24">
        <w:t>Good Standing</w:t>
      </w:r>
      <w:r w:rsidR="00EA5040">
        <w:t xml:space="preserve">’ </w:t>
      </w:r>
      <w:r w:rsidRPr="00E41D24">
        <w:t>policy. The OPGGS Act</w:t>
      </w:r>
      <w:r w:rsidR="008074E0" w:rsidRPr="00E41D24">
        <w:t xml:space="preserve"> now</w:t>
      </w:r>
      <w:r w:rsidR="00B74400" w:rsidRPr="00E41D24">
        <w:t xml:space="preserve"> requires</w:t>
      </w:r>
      <w:r w:rsidRPr="00E41D24">
        <w:t xml:space="preserve"> that the decision-maker</w:t>
      </w:r>
      <w:r w:rsidR="00B74400" w:rsidRPr="00E41D24">
        <w:t xml:space="preserve"> must have</w:t>
      </w:r>
      <w:r w:rsidRPr="00E41D24">
        <w:t xml:space="preserve"> regard to the</w:t>
      </w:r>
      <w:r w:rsidR="00337D05" w:rsidRPr="00E41D24">
        <w:t xml:space="preserve"> matters outlined in section 695YB</w:t>
      </w:r>
      <w:r w:rsidR="00B74400" w:rsidRPr="00E41D24">
        <w:t xml:space="preserve"> of the OPGGS Act</w:t>
      </w:r>
      <w:r w:rsidR="00552C2C" w:rsidRPr="00E41D24">
        <w:t xml:space="preserve"> when making certain decisions.</w:t>
      </w:r>
      <w:r w:rsidR="00D746D9" w:rsidRPr="00E41D24">
        <w:t xml:space="preserve"> Among other matters, this includes if the</w:t>
      </w:r>
      <w:r w:rsidR="00AB238C" w:rsidRPr="00E41D24">
        <w:t xml:space="preserve"> person has </w:t>
      </w:r>
      <w:r w:rsidR="006B3CA0" w:rsidRPr="00E41D24">
        <w:t xml:space="preserve">had </w:t>
      </w:r>
      <w:r w:rsidR="00AB238C" w:rsidRPr="00E41D24">
        <w:t>an application refused or of the person is or has been the registered holder of a title that was cancelled</w:t>
      </w:r>
      <w:r w:rsidR="00C01277" w:rsidRPr="00E41D24">
        <w:t>.</w:t>
      </w:r>
    </w:p>
    <w:p w14:paraId="029F2F44" w14:textId="6C7E26A2" w:rsidR="006B3CA0" w:rsidRPr="00E41D24" w:rsidRDefault="006B3CA0" w:rsidP="003D09FA">
      <w:pPr>
        <w:pStyle w:val="Calloutbox"/>
      </w:pPr>
      <w:r w:rsidRPr="00E41D24">
        <w:t>Refer to section 695YB of the OPGGS Act.</w:t>
      </w:r>
    </w:p>
    <w:p w14:paraId="77691606" w14:textId="06E608F3" w:rsidR="003D09FA" w:rsidRPr="00E41D24" w:rsidRDefault="003D09FA" w:rsidP="003D09FA">
      <w:pPr>
        <w:pStyle w:val="Calloutbox"/>
      </w:pPr>
      <w:r w:rsidRPr="00E41D24">
        <w:t xml:space="preserve">Refer to section </w:t>
      </w:r>
      <w:r w:rsidR="00093727" w:rsidRPr="00E41D24">
        <w:fldChar w:fldCharType="begin"/>
      </w:r>
      <w:r w:rsidR="00093727" w:rsidRPr="00E41D24">
        <w:instrText xml:space="preserve"> REF _Ref183620863 \r \h </w:instrText>
      </w:r>
      <w:r w:rsidR="00CB50F2" w:rsidRPr="00E41D24">
        <w:instrText xml:space="preserve"> \* MERGEFORMAT </w:instrText>
      </w:r>
      <w:r w:rsidR="00093727" w:rsidRPr="00E41D24">
        <w:fldChar w:fldCharType="separate"/>
      </w:r>
      <w:r w:rsidR="00D95F2F">
        <w:t>2.15</w:t>
      </w:r>
      <w:r w:rsidR="00093727" w:rsidRPr="00E41D24">
        <w:fldChar w:fldCharType="end"/>
      </w:r>
      <w:r w:rsidR="009C3B8F" w:rsidRPr="00E41D24">
        <w:t xml:space="preserve"> </w:t>
      </w:r>
      <w:r w:rsidRPr="00E41D24">
        <w:t>of this guideline for more information</w:t>
      </w:r>
      <w:r w:rsidR="009C3B8F" w:rsidRPr="00E41D24">
        <w:t xml:space="preserve"> on past performance</w:t>
      </w:r>
      <w:r w:rsidRPr="00E41D24">
        <w:t>.</w:t>
      </w:r>
    </w:p>
    <w:p w14:paraId="0100FE34" w14:textId="683F13C8" w:rsidR="006A165C" w:rsidRPr="006A165C" w:rsidRDefault="006A165C" w:rsidP="006A165C">
      <w:pPr>
        <w:rPr>
          <w:rFonts w:cs="Aptos"/>
          <w:b/>
          <w:bCs/>
        </w:rPr>
      </w:pPr>
      <w:bookmarkStart w:id="255" w:name="_Toc81487660"/>
      <w:bookmarkStart w:id="256" w:name="_Toc83042948"/>
      <w:bookmarkStart w:id="257" w:name="_Toc83395061"/>
      <w:bookmarkStart w:id="258" w:name="_Toc90044345"/>
      <w:r w:rsidRPr="00E41D24">
        <w:rPr>
          <w:rFonts w:cs="Aptos"/>
          <w:b/>
          <w:bCs/>
        </w:rPr>
        <w:t xml:space="preserve">If a Good Standing Agreement is in force prior to </w:t>
      </w:r>
      <w:r w:rsidR="00EA5040">
        <w:rPr>
          <w:rFonts w:cs="Aptos"/>
          <w:b/>
        </w:rPr>
        <w:t>9</w:t>
      </w:r>
      <w:r w:rsidR="00760360">
        <w:rPr>
          <w:rFonts w:cs="Aptos"/>
          <w:b/>
        </w:rPr>
        <w:t xml:space="preserve"> December 2025</w:t>
      </w:r>
      <w:r w:rsidRPr="00E41D24">
        <w:rPr>
          <w:rFonts w:cs="Aptos"/>
          <w:b/>
        </w:rPr>
        <w:t>,</w:t>
      </w:r>
      <w:r w:rsidRPr="00E41D24">
        <w:rPr>
          <w:rFonts w:cs="Aptos"/>
          <w:b/>
          <w:bCs/>
        </w:rPr>
        <w:t xml:space="preserve"> the following information will be relevant for the duration of that GSA.</w:t>
      </w:r>
    </w:p>
    <w:p w14:paraId="4F30DFE7" w14:textId="77777777" w:rsidR="003D09FA" w:rsidRPr="004F001F" w:rsidRDefault="003D09FA" w:rsidP="0029447B">
      <w:pPr>
        <w:pStyle w:val="Heading4"/>
      </w:pPr>
      <w:bookmarkStart w:id="259" w:name="_Toc81487669"/>
      <w:bookmarkStart w:id="260" w:name="_Toc83042957"/>
      <w:bookmarkStart w:id="261" w:name="_Toc83395070"/>
      <w:bookmarkStart w:id="262" w:name="_Toc90044354"/>
      <w:bookmarkEnd w:id="255"/>
      <w:bookmarkEnd w:id="256"/>
      <w:bookmarkEnd w:id="257"/>
      <w:bookmarkEnd w:id="258"/>
      <w:r w:rsidRPr="004F001F">
        <w:t>Satisfaction of a Good Standing Agreement</w:t>
      </w:r>
      <w:bookmarkEnd w:id="259"/>
      <w:bookmarkEnd w:id="260"/>
      <w:bookmarkEnd w:id="261"/>
      <w:bookmarkEnd w:id="262"/>
    </w:p>
    <w:p w14:paraId="210A845A" w14:textId="64E13E55" w:rsidR="003D09FA" w:rsidRPr="004F001F" w:rsidRDefault="00D77C58" w:rsidP="008B56D3">
      <w:pPr>
        <w:pStyle w:val="ListParagraph"/>
        <w:numPr>
          <w:ilvl w:val="1"/>
          <w:numId w:val="12"/>
        </w:numPr>
        <w:ind w:left="851" w:hanging="716"/>
      </w:pPr>
      <w:r>
        <w:t>Companies that are</w:t>
      </w:r>
      <w:r w:rsidR="003D09FA" w:rsidRPr="004F001F">
        <w:t xml:space="preserve"> subject to a GSA must notify NOPTA in writing and provide supporting evidence the GSA has been satisfied according to the terms of the GSA.</w:t>
      </w:r>
    </w:p>
    <w:p w14:paraId="2B842599" w14:textId="279526D3" w:rsidR="003D09FA" w:rsidRPr="004F001F" w:rsidRDefault="003D09FA" w:rsidP="008B56D3">
      <w:pPr>
        <w:pStyle w:val="ListParagraph"/>
        <w:numPr>
          <w:ilvl w:val="1"/>
          <w:numId w:val="12"/>
        </w:numPr>
        <w:ind w:left="851" w:hanging="716"/>
      </w:pPr>
      <w:r w:rsidRPr="004F001F">
        <w:lastRenderedPageBreak/>
        <w:t>Companies may be required to submit audited accounts demonstrating the required expenditure commitments have been met. Once this information has been received (and accepted) and all deliverables completed and all data delivered, titleholders will receive confirmation the requirements of the GSA have been satisfied.</w:t>
      </w:r>
    </w:p>
    <w:p w14:paraId="07A31B34" w14:textId="77777777" w:rsidR="003D09FA" w:rsidRPr="004F001F" w:rsidRDefault="003D09FA" w:rsidP="008B56D3">
      <w:pPr>
        <w:pStyle w:val="ListParagraph"/>
        <w:numPr>
          <w:ilvl w:val="1"/>
          <w:numId w:val="12"/>
        </w:numPr>
        <w:ind w:left="851" w:hanging="716"/>
      </w:pPr>
      <w:r w:rsidRPr="004F001F">
        <w:t>A GSA will be satisfied by fulfilment of the agreement in respect of:</w:t>
      </w:r>
    </w:p>
    <w:p w14:paraId="17574B59" w14:textId="3CC5BFDC" w:rsidR="003D09FA" w:rsidRPr="004F001F" w:rsidRDefault="003D09FA" w:rsidP="00E05BAC">
      <w:pPr>
        <w:pStyle w:val="ListParagraph"/>
        <w:numPr>
          <w:ilvl w:val="2"/>
          <w:numId w:val="12"/>
        </w:numPr>
        <w:ind w:hanging="373"/>
        <w:rPr>
          <w:rFonts w:cs="Aptos"/>
        </w:rPr>
      </w:pPr>
      <w:r w:rsidRPr="00E05BAC">
        <w:t xml:space="preserve">Qualifying permit/s: </w:t>
      </w:r>
      <w:r w:rsidRPr="004F001F">
        <w:rPr>
          <w:rFonts w:cs="Aptos"/>
        </w:rPr>
        <w:t>the completion of the guaranteed primary work program/expenditure of the GSA amount. The guaranteed work program expenditure may include above commitment operational activities that have been formally varied into the work program. The onus is on the GSA-</w:t>
      </w:r>
      <w:r w:rsidRPr="00445173">
        <w:rPr>
          <w:rFonts w:cs="Aptos"/>
        </w:rPr>
        <w:t xml:space="preserve">holder to confirm the above commitment work will satisfy the requirements of </w:t>
      </w:r>
      <w:r w:rsidR="00D34049" w:rsidRPr="0005139E">
        <w:rPr>
          <w:rFonts w:cs="Aptos"/>
        </w:rPr>
        <w:t>sections</w:t>
      </w:r>
      <w:r w:rsidRPr="0005139E">
        <w:rPr>
          <w:rFonts w:cs="Aptos"/>
        </w:rPr>
        <w:t xml:space="preserve"> </w:t>
      </w:r>
      <w:r w:rsidRPr="0005139E">
        <w:rPr>
          <w:rFonts w:cs="Aptos"/>
        </w:rPr>
        <w:fldChar w:fldCharType="begin"/>
      </w:r>
      <w:r w:rsidRPr="0005139E">
        <w:rPr>
          <w:rFonts w:cs="Aptos"/>
        </w:rPr>
        <w:instrText xml:space="preserve"> REF _Ref90391175 \r \h  \* MERGEFORMAT </w:instrText>
      </w:r>
      <w:r w:rsidRPr="0005139E">
        <w:rPr>
          <w:rFonts w:cs="Aptos"/>
        </w:rPr>
      </w:r>
      <w:r w:rsidRPr="0005139E">
        <w:rPr>
          <w:rFonts w:cs="Aptos"/>
        </w:rPr>
        <w:fldChar w:fldCharType="separate"/>
      </w:r>
      <w:r w:rsidR="00D95F2F" w:rsidRPr="0005139E">
        <w:rPr>
          <w:rFonts w:cs="Aptos"/>
        </w:rPr>
        <w:t>3.37</w:t>
      </w:r>
      <w:r w:rsidRPr="0005139E">
        <w:rPr>
          <w:rFonts w:cs="Aptos"/>
        </w:rPr>
        <w:fldChar w:fldCharType="end"/>
      </w:r>
      <w:r w:rsidRPr="0005139E">
        <w:rPr>
          <w:rFonts w:cs="Aptos"/>
        </w:rPr>
        <w:t>–</w:t>
      </w:r>
      <w:r w:rsidRPr="0005139E">
        <w:rPr>
          <w:rFonts w:cs="Aptos"/>
        </w:rPr>
        <w:fldChar w:fldCharType="begin"/>
      </w:r>
      <w:r w:rsidRPr="0005139E">
        <w:rPr>
          <w:rFonts w:cs="Aptos"/>
        </w:rPr>
        <w:instrText xml:space="preserve"> REF _Ref90389764 \r \p \h  \* MERGEFORMAT </w:instrText>
      </w:r>
      <w:r w:rsidRPr="0005139E">
        <w:rPr>
          <w:rFonts w:cs="Aptos"/>
        </w:rPr>
      </w:r>
      <w:r w:rsidRPr="0005139E">
        <w:rPr>
          <w:rFonts w:cs="Aptos"/>
        </w:rPr>
        <w:fldChar w:fldCharType="separate"/>
      </w:r>
      <w:r w:rsidR="00D95F2F" w:rsidRPr="0005139E">
        <w:rPr>
          <w:rFonts w:cs="Aptos"/>
        </w:rPr>
        <w:t xml:space="preserve">3.46 </w:t>
      </w:r>
      <w:r w:rsidR="00DC7D5A" w:rsidRPr="0005139E" w:rsidDel="00150681">
        <w:rPr>
          <w:rFonts w:cs="Aptos"/>
        </w:rPr>
        <w:t>above</w:t>
      </w:r>
      <w:r w:rsidRPr="0005139E">
        <w:rPr>
          <w:rFonts w:cs="Aptos"/>
        </w:rPr>
        <w:fldChar w:fldCharType="end"/>
      </w:r>
      <w:r w:rsidRPr="00445173">
        <w:rPr>
          <w:rFonts w:cs="Aptos"/>
        </w:rPr>
        <w:t>.</w:t>
      </w:r>
    </w:p>
    <w:p w14:paraId="0AF24451" w14:textId="77777777" w:rsidR="003D09FA" w:rsidRPr="004F001F" w:rsidRDefault="003D09FA" w:rsidP="00E05BAC">
      <w:pPr>
        <w:pStyle w:val="ListParagraph"/>
        <w:numPr>
          <w:ilvl w:val="2"/>
          <w:numId w:val="12"/>
        </w:numPr>
        <w:ind w:hanging="373"/>
        <w:rPr>
          <w:rFonts w:cs="Aptos"/>
        </w:rPr>
      </w:pPr>
      <w:r w:rsidRPr="00E05BAC">
        <w:t>Regional studies:</w:t>
      </w:r>
      <w:r w:rsidRPr="004F001F">
        <w:rPr>
          <w:rFonts w:cs="Aptos"/>
        </w:rPr>
        <w:t xml:space="preserve"> the completion of the studies within the agreed timeframe (nominally three years from the date of the execution of the GSA) and the submission of all data and/or other deliverables to the Australian Government.</w:t>
      </w:r>
    </w:p>
    <w:p w14:paraId="0B3386A2" w14:textId="77777777" w:rsidR="003D09FA" w:rsidRPr="004F001F" w:rsidRDefault="003D09FA" w:rsidP="008B56D3">
      <w:pPr>
        <w:pStyle w:val="ListParagraph"/>
        <w:numPr>
          <w:ilvl w:val="1"/>
          <w:numId w:val="12"/>
        </w:numPr>
        <w:ind w:left="851" w:hanging="716"/>
      </w:pPr>
      <w:r w:rsidRPr="004F001F">
        <w:t>For the purposes of satisfying a GSA, non-acceptable expenditure includes:</w:t>
      </w:r>
    </w:p>
    <w:p w14:paraId="52C0B8F6" w14:textId="77777777" w:rsidR="003D09FA" w:rsidRPr="004F001F" w:rsidRDefault="003D09FA" w:rsidP="003D09FA">
      <w:pPr>
        <w:pStyle w:val="ListParagraph"/>
        <w:numPr>
          <w:ilvl w:val="3"/>
          <w:numId w:val="9"/>
        </w:numPr>
        <w:spacing w:line="259" w:lineRule="auto"/>
        <w:rPr>
          <w:rFonts w:cs="Aptos"/>
        </w:rPr>
      </w:pPr>
      <w:r w:rsidRPr="004F001F">
        <w:rPr>
          <w:rFonts w:cs="Aptos"/>
        </w:rPr>
        <w:t>permit administration costs</w:t>
      </w:r>
    </w:p>
    <w:p w14:paraId="4684937A" w14:textId="77777777" w:rsidR="003D09FA" w:rsidRPr="004F001F" w:rsidRDefault="003D09FA" w:rsidP="003D09FA">
      <w:pPr>
        <w:pStyle w:val="ListParagraph"/>
        <w:numPr>
          <w:ilvl w:val="3"/>
          <w:numId w:val="9"/>
        </w:numPr>
        <w:spacing w:line="259" w:lineRule="auto"/>
        <w:rPr>
          <w:rFonts w:cs="Aptos"/>
        </w:rPr>
      </w:pPr>
      <w:r w:rsidRPr="004F001F">
        <w:rPr>
          <w:rFonts w:cs="Aptos"/>
        </w:rPr>
        <w:t>costs associated with regulatory approvals, including environmental plans</w:t>
      </w:r>
    </w:p>
    <w:p w14:paraId="671A8E8D" w14:textId="77777777" w:rsidR="003D09FA" w:rsidRPr="004F001F" w:rsidRDefault="003D09FA" w:rsidP="003D09FA">
      <w:pPr>
        <w:pStyle w:val="ListParagraph"/>
        <w:numPr>
          <w:ilvl w:val="3"/>
          <w:numId w:val="9"/>
        </w:numPr>
        <w:spacing w:line="259" w:lineRule="auto"/>
        <w:rPr>
          <w:rFonts w:cs="Aptos"/>
        </w:rPr>
      </w:pPr>
      <w:r w:rsidRPr="004F001F">
        <w:rPr>
          <w:rFonts w:cs="Aptos"/>
        </w:rPr>
        <w:t>expenditure on activities not on the work program (originally or as varied in)</w:t>
      </w:r>
    </w:p>
    <w:p w14:paraId="00DBB242" w14:textId="77777777" w:rsidR="003D09FA" w:rsidRPr="004F001F" w:rsidRDefault="003D09FA" w:rsidP="003D09FA">
      <w:pPr>
        <w:pStyle w:val="ListParagraph"/>
        <w:numPr>
          <w:ilvl w:val="3"/>
          <w:numId w:val="9"/>
        </w:numPr>
        <w:spacing w:line="259" w:lineRule="auto"/>
        <w:rPr>
          <w:rFonts w:cs="Aptos"/>
        </w:rPr>
      </w:pPr>
      <w:r w:rsidRPr="004F001F">
        <w:rPr>
          <w:rFonts w:cs="Aptos"/>
        </w:rPr>
        <w:t>expenditure on regional studies not agreed in advance with the Joint Authority.</w:t>
      </w:r>
    </w:p>
    <w:p w14:paraId="07524B32" w14:textId="77777777" w:rsidR="003D09FA" w:rsidRPr="004F001F" w:rsidRDefault="003D09FA" w:rsidP="0029447B">
      <w:pPr>
        <w:pStyle w:val="Heading4"/>
      </w:pPr>
      <w:bookmarkStart w:id="263" w:name="_Toc479753952"/>
      <w:bookmarkStart w:id="264" w:name="_Toc81487670"/>
      <w:bookmarkStart w:id="265" w:name="_Toc83042958"/>
      <w:bookmarkStart w:id="266" w:name="_Toc83395071"/>
      <w:bookmarkStart w:id="267" w:name="_Toc90044355"/>
      <w:r w:rsidRPr="004F001F">
        <w:t>Extensions</w:t>
      </w:r>
      <w:bookmarkEnd w:id="263"/>
      <w:bookmarkEnd w:id="264"/>
      <w:bookmarkEnd w:id="265"/>
      <w:bookmarkEnd w:id="266"/>
      <w:bookmarkEnd w:id="267"/>
    </w:p>
    <w:p w14:paraId="7B1B7FFF" w14:textId="77777777" w:rsidR="003D09FA" w:rsidRPr="004F001F" w:rsidRDefault="003D09FA" w:rsidP="008B56D3">
      <w:pPr>
        <w:pStyle w:val="ListParagraph"/>
        <w:numPr>
          <w:ilvl w:val="1"/>
          <w:numId w:val="12"/>
        </w:numPr>
        <w:ind w:left="851" w:hanging="716"/>
      </w:pPr>
      <w:r w:rsidRPr="004F001F">
        <w:t>The Joint Authority may consider granting an extension to the timeframe in which a GSA must be satisfied, but only if the GSA holder can demonstrate it has attempted to satisfy the GSA at every opportunity.</w:t>
      </w:r>
    </w:p>
    <w:p w14:paraId="690A663D" w14:textId="77777777" w:rsidR="003D09FA" w:rsidRPr="004F001F" w:rsidRDefault="003D09FA" w:rsidP="008B56D3">
      <w:pPr>
        <w:pStyle w:val="ListParagraph"/>
        <w:numPr>
          <w:ilvl w:val="1"/>
          <w:numId w:val="12"/>
        </w:numPr>
        <w:ind w:left="851" w:hanging="716"/>
      </w:pPr>
      <w:r w:rsidRPr="004F001F">
        <w:t>An extension to the timeframe in which the GSA must be satisfied will be considered on a case-by-case basis.</w:t>
      </w:r>
    </w:p>
    <w:p w14:paraId="4F01197C" w14:textId="77777777" w:rsidR="003D09FA" w:rsidRPr="004F001F" w:rsidRDefault="003D09FA" w:rsidP="008B56D3">
      <w:pPr>
        <w:pStyle w:val="ListParagraph"/>
        <w:numPr>
          <w:ilvl w:val="1"/>
          <w:numId w:val="12"/>
        </w:numPr>
        <w:ind w:left="851" w:hanging="716"/>
      </w:pPr>
      <w:r w:rsidRPr="004F001F">
        <w:t>A written request to extend can be submitted to NOPTA for Joint Authority consideration and decision.</w:t>
      </w:r>
    </w:p>
    <w:p w14:paraId="783B9664" w14:textId="77777777" w:rsidR="003D09FA" w:rsidRPr="004F001F" w:rsidRDefault="003D09FA" w:rsidP="0029447B">
      <w:pPr>
        <w:pStyle w:val="Heading4"/>
      </w:pPr>
      <w:bookmarkStart w:id="268" w:name="_Toc479753953"/>
      <w:bookmarkStart w:id="269" w:name="_Toc81487671"/>
      <w:bookmarkStart w:id="270" w:name="_Toc83042959"/>
      <w:bookmarkStart w:id="271" w:name="_Toc83395072"/>
      <w:bookmarkStart w:id="272" w:name="_Toc90044356"/>
      <w:r w:rsidRPr="004F001F">
        <w:t>Variation to terms and conditions</w:t>
      </w:r>
      <w:bookmarkEnd w:id="268"/>
      <w:bookmarkEnd w:id="269"/>
      <w:bookmarkEnd w:id="270"/>
      <w:bookmarkEnd w:id="271"/>
      <w:bookmarkEnd w:id="272"/>
    </w:p>
    <w:p w14:paraId="21056D32" w14:textId="77777777" w:rsidR="003D09FA" w:rsidRPr="004F001F" w:rsidRDefault="003D09FA" w:rsidP="008B56D3">
      <w:pPr>
        <w:pStyle w:val="ListParagraph"/>
        <w:numPr>
          <w:ilvl w:val="1"/>
          <w:numId w:val="12"/>
        </w:numPr>
        <w:ind w:left="851" w:hanging="716"/>
      </w:pPr>
      <w:r w:rsidRPr="004F001F">
        <w:t>The Joint Authority may consider granting a variation of the terms and conditions of a GSA. This may include variation of the option to satisfy the GSA or to combine existing GSAs.</w:t>
      </w:r>
    </w:p>
    <w:p w14:paraId="683ADC2C" w14:textId="77777777" w:rsidR="003D09FA" w:rsidRPr="004F001F" w:rsidRDefault="003D09FA" w:rsidP="008B56D3">
      <w:pPr>
        <w:pStyle w:val="ListParagraph"/>
        <w:numPr>
          <w:ilvl w:val="1"/>
          <w:numId w:val="12"/>
        </w:numPr>
        <w:ind w:left="851" w:hanging="716"/>
      </w:pPr>
      <w:r w:rsidRPr="004F001F">
        <w:t>Variations will be considered on a case-by-case basis.</w:t>
      </w:r>
    </w:p>
    <w:p w14:paraId="351D68FD" w14:textId="77777777" w:rsidR="003D09FA" w:rsidRPr="004F001F" w:rsidRDefault="003D09FA" w:rsidP="008B56D3">
      <w:pPr>
        <w:pStyle w:val="ListParagraph"/>
        <w:numPr>
          <w:ilvl w:val="1"/>
          <w:numId w:val="12"/>
        </w:numPr>
        <w:ind w:left="851" w:hanging="716"/>
      </w:pPr>
      <w:r w:rsidRPr="004F001F">
        <w:t>A written request to vary a GSA can be submitted to NOPTA for the Joint Authority’s consideration and decision.</w:t>
      </w:r>
    </w:p>
    <w:p w14:paraId="64DFA123" w14:textId="26955CF5" w:rsidR="003D09FA" w:rsidRPr="003D09FA" w:rsidRDefault="003D09FA" w:rsidP="008B56D3">
      <w:pPr>
        <w:pStyle w:val="ListParagraph"/>
        <w:numPr>
          <w:ilvl w:val="1"/>
          <w:numId w:val="12"/>
        </w:numPr>
        <w:ind w:left="851" w:hanging="716"/>
      </w:pPr>
      <w:r w:rsidRPr="004F001F">
        <w:t xml:space="preserve">If the request is to vary </w:t>
      </w:r>
      <w:r w:rsidR="009752C7">
        <w:t>to</w:t>
      </w:r>
      <w:r w:rsidRPr="004F001F">
        <w:t xml:space="preserve"> the regional study option, the request should include </w:t>
      </w:r>
      <w:r w:rsidR="009752C7">
        <w:t>details</w:t>
      </w:r>
      <w:r w:rsidRPr="004F001F">
        <w:t xml:space="preserve"> of the proposed regional study.</w:t>
      </w:r>
      <w:bookmarkStart w:id="273" w:name="_Attachment_1:_Good"/>
      <w:bookmarkStart w:id="274" w:name="_Toc81487674"/>
      <w:bookmarkStart w:id="275" w:name="_Toc83042961"/>
      <w:bookmarkEnd w:id="273"/>
      <w:bookmarkEnd w:id="274"/>
      <w:bookmarkEnd w:id="275"/>
    </w:p>
    <w:p w14:paraId="5EF3A3EE" w14:textId="416BFE0E" w:rsidR="00903913" w:rsidRPr="00CF7F4C" w:rsidRDefault="00903913" w:rsidP="00CA7BE8">
      <w:pPr>
        <w:pStyle w:val="Heading2"/>
        <w:numPr>
          <w:ilvl w:val="0"/>
          <w:numId w:val="12"/>
        </w:numPr>
      </w:pPr>
      <w:bookmarkStart w:id="276" w:name="_Toc81487652"/>
      <w:bookmarkStart w:id="277" w:name="_Toc83042934"/>
      <w:bookmarkStart w:id="278" w:name="_Toc83395047"/>
      <w:bookmarkStart w:id="279" w:name="_Toc90044331"/>
      <w:bookmarkStart w:id="280" w:name="_Toc183622575"/>
      <w:bookmarkStart w:id="281" w:name="_Toc193955371"/>
      <w:r>
        <w:lastRenderedPageBreak/>
        <w:t>Renew</w:t>
      </w:r>
      <w:r w:rsidR="0002326C">
        <w:t>ing an exploration permit</w:t>
      </w:r>
      <w:bookmarkEnd w:id="276"/>
      <w:bookmarkEnd w:id="277"/>
      <w:bookmarkEnd w:id="278"/>
      <w:bookmarkEnd w:id="279"/>
      <w:bookmarkEnd w:id="280"/>
      <w:bookmarkEnd w:id="281"/>
    </w:p>
    <w:p w14:paraId="3AE95403" w14:textId="77777777" w:rsidR="00903913" w:rsidRPr="0018749C" w:rsidRDefault="00903913" w:rsidP="00DC18F9">
      <w:pPr>
        <w:pStyle w:val="Heading3"/>
      </w:pPr>
      <w:bookmarkStart w:id="282" w:name="_Toc81487653"/>
      <w:bookmarkStart w:id="283" w:name="_Toc83042935"/>
      <w:bookmarkStart w:id="284" w:name="_Toc83395048"/>
      <w:bookmarkStart w:id="285" w:name="_Toc90044332"/>
      <w:bookmarkStart w:id="286" w:name="_Toc183622576"/>
      <w:bookmarkStart w:id="287" w:name="_Toc193955372"/>
      <w:r>
        <w:t>Overview</w:t>
      </w:r>
      <w:bookmarkEnd w:id="282"/>
      <w:bookmarkEnd w:id="283"/>
      <w:bookmarkEnd w:id="284"/>
      <w:bookmarkEnd w:id="285"/>
      <w:bookmarkEnd w:id="286"/>
      <w:bookmarkEnd w:id="287"/>
    </w:p>
    <w:p w14:paraId="2448D833" w14:textId="095E2E05" w:rsidR="00903913" w:rsidRPr="00EE213D" w:rsidRDefault="00903913" w:rsidP="00CA7BE8">
      <w:pPr>
        <w:pStyle w:val="ListParagraph"/>
        <w:numPr>
          <w:ilvl w:val="1"/>
          <w:numId w:val="12"/>
        </w:numPr>
        <w:ind w:left="851" w:hanging="716"/>
      </w:pPr>
      <w:r w:rsidRPr="00EE213D">
        <w:t>A titleholder may apply to renew a work</w:t>
      </w:r>
      <w:r w:rsidR="00B439BE">
        <w:t>-bid</w:t>
      </w:r>
      <w:r w:rsidRPr="00EE213D">
        <w:t xml:space="preserve"> exploration permit. Titleholders should refer to </w:t>
      </w:r>
      <w:hyperlink r:id="rId53" w:tooltip="Link to Act" w:history="1">
        <w:r w:rsidRPr="00EE213D">
          <w:t>sections 122 and 123 of the OPGGS Act</w:t>
        </w:r>
      </w:hyperlink>
      <w:r w:rsidRPr="00EE213D">
        <w:t xml:space="preserve"> to determine the number of times a permit may be renewed and the maximum number of blocks that may be applied for.</w:t>
      </w:r>
    </w:p>
    <w:p w14:paraId="199ADF97" w14:textId="77777777" w:rsidR="00903913" w:rsidRPr="00EE213D" w:rsidRDefault="00903913" w:rsidP="00CA7BE8">
      <w:pPr>
        <w:pStyle w:val="ListParagraph"/>
        <w:numPr>
          <w:ilvl w:val="1"/>
          <w:numId w:val="12"/>
        </w:numPr>
        <w:ind w:left="851" w:hanging="716"/>
      </w:pPr>
      <w:r w:rsidRPr="00EE213D">
        <w:t>It is the Joint Authority’s expectation that the proposed work program will be supported by an exploration strategy that will significantly advance the assessment and understanding of the petroleum potential of the permit area during the five-year renewal term.</w:t>
      </w:r>
    </w:p>
    <w:p w14:paraId="7300D239" w14:textId="40C06B01" w:rsidR="00F91A1D" w:rsidRDefault="00903913" w:rsidP="00CA7BE8">
      <w:pPr>
        <w:pStyle w:val="ListParagraph"/>
        <w:numPr>
          <w:ilvl w:val="1"/>
          <w:numId w:val="12"/>
        </w:numPr>
        <w:ind w:left="851" w:hanging="716"/>
      </w:pPr>
      <w:r w:rsidRPr="00EE213D">
        <w:t>Titles that have a ‘prior usage right’ for the purposes of section 359 of the EPBC Act will require consent from the Minister for the Environment before a renewal can be granted by the Joint Authority</w:t>
      </w:r>
      <w:r w:rsidR="00F91A1D">
        <w:t>.</w:t>
      </w:r>
    </w:p>
    <w:p w14:paraId="1D0B20D2" w14:textId="77777777" w:rsidR="000E2019" w:rsidRPr="00EE213D" w:rsidRDefault="000E2019" w:rsidP="000E2019">
      <w:pPr>
        <w:pStyle w:val="Calloutbox"/>
      </w:pPr>
      <w:bookmarkStart w:id="288" w:name="_Toc81487654"/>
      <w:bookmarkStart w:id="289" w:name="_Toc83042936"/>
      <w:bookmarkStart w:id="290" w:name="_Toc83395049"/>
      <w:bookmarkStart w:id="291" w:name="_Toc90044333"/>
      <w:bookmarkStart w:id="292" w:name="_Toc183622577"/>
      <w:r>
        <w:t>R</w:t>
      </w:r>
      <w:r w:rsidRPr="00EE213D">
        <w:t>efer to the</w:t>
      </w:r>
      <w:r>
        <w:t xml:space="preserve"> </w:t>
      </w:r>
      <w:hyperlink r:id="rId54" w:history="1">
        <w:r w:rsidRPr="003F5E11">
          <w:rPr>
            <w:rStyle w:val="Hyperlink"/>
          </w:rPr>
          <w:t>Australian Marine Parks website</w:t>
        </w:r>
      </w:hyperlink>
      <w:r>
        <w:t xml:space="preserve"> for further information and a prior usage rights guideline.</w:t>
      </w:r>
    </w:p>
    <w:p w14:paraId="73883DCB" w14:textId="77777777" w:rsidR="00903913" w:rsidRPr="002B092D" w:rsidRDefault="00903913" w:rsidP="00DC18F9">
      <w:pPr>
        <w:pStyle w:val="Heading3"/>
      </w:pPr>
      <w:bookmarkStart w:id="293" w:name="_Toc193955373"/>
      <w:r>
        <w:t>How to apply</w:t>
      </w:r>
      <w:bookmarkEnd w:id="288"/>
      <w:bookmarkEnd w:id="289"/>
      <w:bookmarkEnd w:id="290"/>
      <w:bookmarkEnd w:id="291"/>
      <w:bookmarkEnd w:id="292"/>
      <w:bookmarkEnd w:id="293"/>
    </w:p>
    <w:p w14:paraId="4CB78344" w14:textId="56866C2D" w:rsidR="00903913" w:rsidRPr="00EE213D" w:rsidRDefault="00903913" w:rsidP="00CA7BE8">
      <w:pPr>
        <w:pStyle w:val="ListParagraph"/>
        <w:numPr>
          <w:ilvl w:val="1"/>
          <w:numId w:val="12"/>
        </w:numPr>
        <w:ind w:left="851" w:hanging="716"/>
      </w:pPr>
      <w:r w:rsidRPr="00EE213D">
        <w:t>An application must be made at least 90 days before the expiry of the permit. NOPTA may accept applications later than 90 days, but no later than the expiry date</w:t>
      </w:r>
      <w:r w:rsidR="00BD5F88">
        <w:t>.</w:t>
      </w:r>
      <w:r w:rsidRPr="00EE213D" w:rsidDel="00BD5F88">
        <w:t xml:space="preserve"> </w:t>
      </w:r>
      <w:r w:rsidRPr="00EE213D">
        <w:t>A form for requesting an extension of time to lodge an application for renewal is available on NOPTA’s website.</w:t>
      </w:r>
    </w:p>
    <w:p w14:paraId="37339E8C" w14:textId="598C86E1" w:rsidR="00903913" w:rsidRPr="00EE213D" w:rsidRDefault="00903913" w:rsidP="00CA7BE8">
      <w:pPr>
        <w:pStyle w:val="ListParagraph"/>
        <w:numPr>
          <w:ilvl w:val="1"/>
          <w:numId w:val="12"/>
        </w:numPr>
        <w:ind w:left="851" w:hanging="716"/>
      </w:pPr>
      <w:bookmarkStart w:id="294" w:name="_Ref189749718"/>
      <w:r w:rsidRPr="00EE213D">
        <w:t>To be validly made the application must be accompanied by a correctly completed and executed application form, including any information or documents required by the application form</w:t>
      </w:r>
      <w:r w:rsidR="00C517E3">
        <w:t>.</w:t>
      </w:r>
      <w:bookmarkEnd w:id="294"/>
    </w:p>
    <w:p w14:paraId="52562857" w14:textId="7A6FF7CA" w:rsidR="00903913" w:rsidRPr="00EE213D" w:rsidRDefault="00903913" w:rsidP="00CA7BE8">
      <w:pPr>
        <w:pStyle w:val="ListParagraph"/>
        <w:numPr>
          <w:ilvl w:val="1"/>
          <w:numId w:val="12"/>
        </w:numPr>
        <w:ind w:left="851" w:hanging="716"/>
      </w:pPr>
      <w:r w:rsidRPr="00C97172">
        <w:t xml:space="preserve">An application is taken to be accompanied by the documents/information specified in </w:t>
      </w:r>
      <w:r w:rsidR="00153F65" w:rsidRPr="00C97172">
        <w:t>section</w:t>
      </w:r>
      <w:r w:rsidRPr="00C97172">
        <w:t xml:space="preserve"> </w:t>
      </w:r>
      <w:r w:rsidR="00C97172" w:rsidRPr="00C97172">
        <w:fldChar w:fldCharType="begin"/>
      </w:r>
      <w:r w:rsidR="00C97172" w:rsidRPr="00C97172">
        <w:instrText xml:space="preserve"> REF _Ref189749718 \r \h </w:instrText>
      </w:r>
      <w:r w:rsidR="00C97172">
        <w:instrText xml:space="preserve"> \* MERGEFORMAT </w:instrText>
      </w:r>
      <w:r w:rsidR="00C97172" w:rsidRPr="00C97172">
        <w:fldChar w:fldCharType="separate"/>
      </w:r>
      <w:r w:rsidR="00D95F2F">
        <w:t>4.5</w:t>
      </w:r>
      <w:r w:rsidR="00C97172" w:rsidRPr="00C97172">
        <w:fldChar w:fldCharType="end"/>
      </w:r>
      <w:r w:rsidR="00C97172" w:rsidRPr="00C97172">
        <w:t xml:space="preserve"> </w:t>
      </w:r>
      <w:r w:rsidRPr="00C97172">
        <w:t>above</w:t>
      </w:r>
      <w:r w:rsidRPr="00EE213D">
        <w:t xml:space="preserve"> where they are</w:t>
      </w:r>
      <w:r w:rsidRPr="00D94122">
        <w:t xml:space="preserve"> given to the Joint Authority before the expiry date of the permit</w:t>
      </w:r>
      <w:r w:rsidR="00C517E3">
        <w:t>.</w:t>
      </w:r>
    </w:p>
    <w:p w14:paraId="4E567662" w14:textId="77777777" w:rsidR="00903913" w:rsidRPr="00EE213D" w:rsidRDefault="00903913" w:rsidP="00CA7BE8">
      <w:pPr>
        <w:pStyle w:val="ListParagraph"/>
        <w:numPr>
          <w:ilvl w:val="1"/>
          <w:numId w:val="12"/>
        </w:numPr>
        <w:ind w:left="851" w:hanging="716"/>
      </w:pPr>
      <w:r w:rsidRPr="00EE213D">
        <w:t>A renewal application should include:</w:t>
      </w:r>
    </w:p>
    <w:p w14:paraId="66087334" w14:textId="77777777" w:rsidR="00903913" w:rsidRPr="001B0C86" w:rsidRDefault="00903913" w:rsidP="00CA7BE8">
      <w:pPr>
        <w:pStyle w:val="ListParagraph"/>
        <w:numPr>
          <w:ilvl w:val="2"/>
          <w:numId w:val="12"/>
        </w:numPr>
        <w:ind w:hanging="373"/>
      </w:pPr>
      <w:r w:rsidRPr="001B0C86">
        <w:t>a technical evaluation of the petroleum potential of the area</w:t>
      </w:r>
    </w:p>
    <w:p w14:paraId="6D38776B" w14:textId="77777777" w:rsidR="00903913" w:rsidRPr="001B0C86" w:rsidRDefault="00903913" w:rsidP="00CA7BE8">
      <w:pPr>
        <w:pStyle w:val="ListParagraph"/>
        <w:numPr>
          <w:ilvl w:val="2"/>
          <w:numId w:val="12"/>
        </w:numPr>
        <w:ind w:hanging="373"/>
      </w:pPr>
      <w:r w:rsidRPr="001B0C86">
        <w:t>a work program and activities for the primary term</w:t>
      </w:r>
    </w:p>
    <w:p w14:paraId="2A4A226F" w14:textId="77777777" w:rsidR="00903913" w:rsidRPr="001B0C86" w:rsidRDefault="00903913" w:rsidP="00CA7BE8">
      <w:pPr>
        <w:pStyle w:val="ListParagraph"/>
        <w:numPr>
          <w:ilvl w:val="2"/>
          <w:numId w:val="12"/>
        </w:numPr>
        <w:ind w:hanging="373"/>
      </w:pPr>
      <w:r w:rsidRPr="001B0C86">
        <w:t>a work program and activities for the secondary term</w:t>
      </w:r>
    </w:p>
    <w:p w14:paraId="7917B8CA" w14:textId="77777777" w:rsidR="00903913" w:rsidRPr="001B0C86" w:rsidRDefault="00903913" w:rsidP="00CA7BE8">
      <w:pPr>
        <w:pStyle w:val="ListParagraph"/>
        <w:numPr>
          <w:ilvl w:val="2"/>
          <w:numId w:val="12"/>
        </w:numPr>
        <w:ind w:hanging="373"/>
      </w:pPr>
      <w:r w:rsidRPr="001B0C86">
        <w:t>an overview of compliance with the permit conditions, chapters 2, 4, 6 and part 7.1 of the OPGGS Act and the associated regulations</w:t>
      </w:r>
    </w:p>
    <w:p w14:paraId="1E190DA1" w14:textId="77777777" w:rsidR="00903913" w:rsidRPr="001B0C86" w:rsidRDefault="00903913" w:rsidP="00CA7BE8">
      <w:pPr>
        <w:pStyle w:val="ListParagraph"/>
        <w:numPr>
          <w:ilvl w:val="2"/>
          <w:numId w:val="12"/>
        </w:numPr>
        <w:ind w:hanging="373"/>
      </w:pPr>
      <w:r w:rsidRPr="001B0C86">
        <w:t>technical advice and financial resources available to the applicant.</w:t>
      </w:r>
    </w:p>
    <w:p w14:paraId="422C90DC" w14:textId="77D0C985" w:rsidR="00806C3F" w:rsidRPr="00AE04CB" w:rsidRDefault="00806C3F" w:rsidP="00806C3F">
      <w:pPr>
        <w:pStyle w:val="Calloutbox"/>
      </w:pPr>
      <w:bookmarkStart w:id="295" w:name="_Toc81487655"/>
      <w:bookmarkStart w:id="296" w:name="_Toc83042937"/>
      <w:bookmarkStart w:id="297" w:name="_Toc83395050"/>
      <w:bookmarkStart w:id="298" w:name="_Toc90044334"/>
      <w:r w:rsidRPr="00E77E70">
        <w:t xml:space="preserve">Further information on application requirements is at section </w:t>
      </w:r>
      <w:r w:rsidRPr="00E77E70">
        <w:fldChar w:fldCharType="begin"/>
      </w:r>
      <w:r w:rsidRPr="00E77E70">
        <w:instrText xml:space="preserve"> REF _Ref170990468 \r \h </w:instrText>
      </w:r>
      <w:r>
        <w:instrText xml:space="preserve"> \* MERGEFORMAT </w:instrText>
      </w:r>
      <w:r w:rsidRPr="00E77E70">
        <w:fldChar w:fldCharType="separate"/>
      </w:r>
      <w:r w:rsidR="00D95F2F">
        <w:t>1</w:t>
      </w:r>
      <w:r w:rsidRPr="00E77E70">
        <w:fldChar w:fldCharType="end"/>
      </w:r>
      <w:r w:rsidRPr="00E77E70">
        <w:t>.</w:t>
      </w:r>
    </w:p>
    <w:p w14:paraId="42BE2AAD" w14:textId="13CE97F8" w:rsidR="00903913" w:rsidRPr="00733027" w:rsidRDefault="001F162E" w:rsidP="003722B5">
      <w:pPr>
        <w:pStyle w:val="Heading3"/>
      </w:pPr>
      <w:bookmarkStart w:id="299" w:name="_Toc183622578"/>
      <w:bookmarkStart w:id="300" w:name="_Toc193955374"/>
      <w:r>
        <w:t>C</w:t>
      </w:r>
      <w:r w:rsidR="00903913" w:rsidRPr="00733027">
        <w:t>riteria</w:t>
      </w:r>
      <w:bookmarkEnd w:id="295"/>
      <w:bookmarkEnd w:id="296"/>
      <w:bookmarkEnd w:id="297"/>
      <w:bookmarkEnd w:id="298"/>
      <w:bookmarkEnd w:id="299"/>
      <w:bookmarkEnd w:id="300"/>
      <w:r w:rsidR="00903913" w:rsidRPr="00733027">
        <w:t xml:space="preserve"> </w:t>
      </w:r>
    </w:p>
    <w:p w14:paraId="14781820" w14:textId="7D183A26" w:rsidR="00903913" w:rsidRPr="00EE213D" w:rsidRDefault="00D957B6" w:rsidP="00CA7BE8">
      <w:pPr>
        <w:pStyle w:val="ListParagraph"/>
        <w:numPr>
          <w:ilvl w:val="1"/>
          <w:numId w:val="12"/>
        </w:numPr>
        <w:ind w:left="851" w:hanging="716"/>
      </w:pPr>
      <w:r>
        <w:t>If</w:t>
      </w:r>
      <w:r w:rsidR="00903913" w:rsidRPr="00EE213D">
        <w:t>:</w:t>
      </w:r>
    </w:p>
    <w:p w14:paraId="5E423EF7" w14:textId="7090BAB0" w:rsidR="00903913" w:rsidRPr="001B0C86" w:rsidRDefault="00D957B6" w:rsidP="00CA7BE8">
      <w:pPr>
        <w:pStyle w:val="ListParagraph"/>
        <w:numPr>
          <w:ilvl w:val="2"/>
          <w:numId w:val="12"/>
        </w:numPr>
        <w:ind w:hanging="373"/>
      </w:pPr>
      <w:r>
        <w:t xml:space="preserve">each of the following has been complied </w:t>
      </w:r>
      <w:proofErr w:type="gramStart"/>
      <w:r>
        <w:t>with:</w:t>
      </w:r>
      <w:proofErr w:type="gramEnd"/>
      <w:r>
        <w:t xml:space="preserve"> </w:t>
      </w:r>
      <w:r w:rsidR="00903913" w:rsidRPr="001B0C86">
        <w:t>the conditions o</w:t>
      </w:r>
      <w:r w:rsidR="001F162E">
        <w:t>f</w:t>
      </w:r>
      <w:r w:rsidR="00903913" w:rsidRPr="001B0C86">
        <w:t xml:space="preserve"> the permit</w:t>
      </w:r>
      <w:r>
        <w:t xml:space="preserve">; </w:t>
      </w:r>
      <w:r w:rsidR="00845259">
        <w:t>C</w:t>
      </w:r>
      <w:r w:rsidR="00903913" w:rsidRPr="001B0C86">
        <w:t xml:space="preserve">hapters 2, 4, </w:t>
      </w:r>
      <w:r w:rsidR="00845259">
        <w:t xml:space="preserve">5A, </w:t>
      </w:r>
      <w:r w:rsidR="00903913" w:rsidRPr="001B0C86">
        <w:t xml:space="preserve">6 and </w:t>
      </w:r>
      <w:r w:rsidR="00845259">
        <w:t>P</w:t>
      </w:r>
      <w:r w:rsidR="00903913" w:rsidRPr="001B0C86">
        <w:t>art 7.1 of the OPGGS Act</w:t>
      </w:r>
      <w:r>
        <w:t>;</w:t>
      </w:r>
      <w:r w:rsidR="00903913" w:rsidRPr="001B0C86">
        <w:t xml:space="preserve"> and the regulations</w:t>
      </w:r>
    </w:p>
    <w:p w14:paraId="2E76848A" w14:textId="66EEAA06" w:rsidR="00903913" w:rsidRDefault="00903913" w:rsidP="00CA7BE8">
      <w:pPr>
        <w:pStyle w:val="ListParagraph"/>
        <w:numPr>
          <w:ilvl w:val="2"/>
          <w:numId w:val="12"/>
        </w:numPr>
        <w:ind w:hanging="373"/>
      </w:pPr>
      <w:r w:rsidRPr="001B0C86">
        <w:t xml:space="preserve">the </w:t>
      </w:r>
      <w:r w:rsidR="00D957B6">
        <w:t xml:space="preserve">Joint Authority is satisfied that the </w:t>
      </w:r>
      <w:r w:rsidRPr="001B0C86">
        <w:t>technical advice and financial resources available to the applicant</w:t>
      </w:r>
      <w:r w:rsidR="00D957B6">
        <w:t xml:space="preserve"> are sufficient to:</w:t>
      </w:r>
    </w:p>
    <w:p w14:paraId="4DC7C8F2" w14:textId="255EEBAA" w:rsidR="00D957B6" w:rsidRPr="00CA7BE8" w:rsidRDefault="00D957B6" w:rsidP="00CA7BE8">
      <w:pPr>
        <w:pStyle w:val="ListParagraph"/>
        <w:ind w:left="1224"/>
      </w:pPr>
      <w:r w:rsidRPr="00CA7BE8">
        <w:t>(</w:t>
      </w:r>
      <w:proofErr w:type="spellStart"/>
      <w:r w:rsidRPr="00CA7BE8">
        <w:t>i</w:t>
      </w:r>
      <w:proofErr w:type="spellEnd"/>
      <w:r w:rsidRPr="00CA7BE8">
        <w:t>) carry out the operations and works that will be authorised by the permit; and</w:t>
      </w:r>
    </w:p>
    <w:p w14:paraId="10A5A0BE" w14:textId="65665F73" w:rsidR="00D957B6" w:rsidRPr="001B0C86" w:rsidRDefault="00D957B6" w:rsidP="00CA7BE8">
      <w:pPr>
        <w:pStyle w:val="ListParagraph"/>
        <w:ind w:left="1224"/>
      </w:pPr>
      <w:r>
        <w:lastRenderedPageBreak/>
        <w:t>(ii) discharge the obligations that will be imposed under this Act, or a legislative instrument under this Act, in relation to the permit</w:t>
      </w:r>
    </w:p>
    <w:p w14:paraId="51921184" w14:textId="77777777" w:rsidR="00D957B6" w:rsidRDefault="00D957B6" w:rsidP="00CA7BE8">
      <w:pPr>
        <w:pStyle w:val="ListParagraph"/>
        <w:numPr>
          <w:ilvl w:val="2"/>
          <w:numId w:val="12"/>
        </w:numPr>
        <w:ind w:hanging="373"/>
      </w:pPr>
      <w:r>
        <w:t>the Joint Authority is satisfied of the matters (if any) prescribed by the regulations;</w:t>
      </w:r>
    </w:p>
    <w:p w14:paraId="64D25389" w14:textId="5413290D" w:rsidR="00D957B6" w:rsidRPr="00D957B6" w:rsidRDefault="00D957B6" w:rsidP="00CA7BE8">
      <w:pPr>
        <w:pStyle w:val="ListParagraph"/>
        <w:ind w:left="1224"/>
      </w:pPr>
      <w:r>
        <w:t xml:space="preserve">the Joint Authority must give the applicant a written notice (called an </w:t>
      </w:r>
      <w:r>
        <w:rPr>
          <w:b/>
          <w:bCs/>
          <w:i/>
          <w:iCs/>
        </w:rPr>
        <w:t>offer document</w:t>
      </w:r>
      <w:r>
        <w:t>) telling the applicant that the Joint Authority is prepared to renew the permit.</w:t>
      </w:r>
    </w:p>
    <w:p w14:paraId="50C716AB" w14:textId="77777777" w:rsidR="00903913" w:rsidRPr="00554B45" w:rsidRDefault="00903913" w:rsidP="003722B5">
      <w:pPr>
        <w:pStyle w:val="Heading3"/>
      </w:pPr>
      <w:bookmarkStart w:id="301" w:name="_Toc81487656"/>
      <w:bookmarkStart w:id="302" w:name="_Toc83042938"/>
      <w:bookmarkStart w:id="303" w:name="_Toc83395051"/>
      <w:bookmarkStart w:id="304" w:name="_Toc90044335"/>
      <w:bookmarkStart w:id="305" w:name="_Toc183622579"/>
      <w:bookmarkStart w:id="306" w:name="_Toc193955375"/>
      <w:r w:rsidRPr="00554B45">
        <w:t>Work program</w:t>
      </w:r>
      <w:bookmarkEnd w:id="301"/>
      <w:bookmarkEnd w:id="302"/>
      <w:bookmarkEnd w:id="303"/>
      <w:bookmarkEnd w:id="304"/>
      <w:bookmarkEnd w:id="305"/>
      <w:bookmarkEnd w:id="306"/>
    </w:p>
    <w:p w14:paraId="00BD8141" w14:textId="2B89DDC7" w:rsidR="00903913" w:rsidRPr="00EE213D" w:rsidRDefault="00903913" w:rsidP="00CA7BE8">
      <w:pPr>
        <w:pStyle w:val="ListParagraph"/>
        <w:numPr>
          <w:ilvl w:val="1"/>
          <w:numId w:val="12"/>
        </w:numPr>
        <w:ind w:left="851" w:hanging="716"/>
      </w:pPr>
      <w:r w:rsidRPr="00EE213D">
        <w:t xml:space="preserve">The proposed work program for the five-year renewal term </w:t>
      </w:r>
      <w:r w:rsidR="00F1751A">
        <w:t>must</w:t>
      </w:r>
      <w:r w:rsidRPr="00EE213D">
        <w:t xml:space="preserve"> be consistent with the exploration strategy and underpinned by the technical evaluation of the area incorporating results and findings of the previous permit term.</w:t>
      </w:r>
    </w:p>
    <w:p w14:paraId="01145A02" w14:textId="77777777" w:rsidR="00903913" w:rsidRDefault="00903913" w:rsidP="00CA7BE8">
      <w:pPr>
        <w:pStyle w:val="ListParagraph"/>
        <w:numPr>
          <w:ilvl w:val="1"/>
          <w:numId w:val="12"/>
        </w:numPr>
        <w:ind w:left="851" w:hanging="716"/>
      </w:pPr>
      <w:r w:rsidRPr="00EE213D">
        <w:t>The early elements of the proposed work program should be sufficient to enable the later elements to proceed and be aligned with the exploration strategy. This includes the need for the number of wells to be justifiable and be supported by the number and maturity of plays, prospects and/or leads identified i.e. the work program should be pursuable on a dry hole basis.</w:t>
      </w:r>
    </w:p>
    <w:p w14:paraId="04CDA578" w14:textId="77777777" w:rsidR="00903913" w:rsidRDefault="00903913" w:rsidP="00CA7BE8">
      <w:pPr>
        <w:pStyle w:val="ListParagraph"/>
        <w:numPr>
          <w:ilvl w:val="1"/>
          <w:numId w:val="12"/>
        </w:numPr>
        <w:ind w:left="851" w:hanging="716"/>
      </w:pPr>
      <w:r w:rsidRPr="00EE213D">
        <w:t>Work intended to appraise a known petroleum accumulation in an area may form part of the proposed work program. However, appraisal activities must be clearly differentiated from exploration activities.</w:t>
      </w:r>
    </w:p>
    <w:p w14:paraId="37A8AF72" w14:textId="77777777" w:rsidR="00903913" w:rsidRPr="00F226C8" w:rsidRDefault="00903913" w:rsidP="00CA7BE8">
      <w:pPr>
        <w:pStyle w:val="ListParagraph"/>
        <w:numPr>
          <w:ilvl w:val="1"/>
          <w:numId w:val="12"/>
        </w:numPr>
        <w:ind w:left="851" w:hanging="716"/>
      </w:pPr>
      <w:r w:rsidRPr="00EE213D">
        <w:t xml:space="preserve">Work associated with a known petroleum accumulation will only be considered as exploration work if the </w:t>
      </w:r>
      <w:r w:rsidRPr="00891FE4">
        <w:t xml:space="preserve">titleholder provides a sufficient rationale to support an assessment that </w:t>
      </w:r>
      <w:r w:rsidRPr="00F226C8">
        <w:t>the activity includes a significant exploration component. This rationale should be consistent with the overall exploration strategy and underpinned by the technical evaluation of the area.</w:t>
      </w:r>
    </w:p>
    <w:p w14:paraId="3ACD387A" w14:textId="361DFA69" w:rsidR="00DD0716" w:rsidRPr="00F226C8" w:rsidRDefault="00DD0716" w:rsidP="00104036">
      <w:pPr>
        <w:pStyle w:val="ListParagraph"/>
        <w:numPr>
          <w:ilvl w:val="1"/>
          <w:numId w:val="12"/>
        </w:numPr>
        <w:ind w:left="851" w:hanging="716"/>
      </w:pPr>
      <w:r w:rsidRPr="00F226C8">
        <w:t>Work intended to explore for a potential greenhouse gas formation and injection site may form part of the proposed work program. However, this work must clearly be differentiated from petroleum exploration activities. Applicants should also be aware of the notification requirements outlined in Part 6 of the RMA Regulations, and that rights of petroleum exploration permit holders do not allow the declaration of an identified GHG formation, and subsequent progression to a GHG holding lease or GHG injection licence (See section 1.4).</w:t>
      </w:r>
    </w:p>
    <w:p w14:paraId="32403E5E" w14:textId="77777777" w:rsidR="00903913" w:rsidRPr="00EE213D" w:rsidRDefault="00903913" w:rsidP="00CA7BE8">
      <w:pPr>
        <w:pStyle w:val="ListParagraph"/>
        <w:numPr>
          <w:ilvl w:val="1"/>
          <w:numId w:val="12"/>
        </w:numPr>
        <w:ind w:left="851" w:hanging="716"/>
      </w:pPr>
      <w:r w:rsidRPr="00F226C8">
        <w:t>The first three years of a work program are referred to as the primary term. The first three years</w:t>
      </w:r>
      <w:r w:rsidRPr="00EE213D">
        <w:t xml:space="preserve"> of the permit term are combined</w:t>
      </w:r>
      <w:r w:rsidR="00244BF4">
        <w:t>,</w:t>
      </w:r>
      <w:r w:rsidRPr="00EE213D">
        <w:t xml:space="preserve"> and the minimum work program commitments must commence and be completed within the primary term.</w:t>
      </w:r>
    </w:p>
    <w:p w14:paraId="65A562BB" w14:textId="77777777" w:rsidR="00903913" w:rsidRPr="00EE213D" w:rsidRDefault="00903913" w:rsidP="00CA7BE8">
      <w:pPr>
        <w:pStyle w:val="ListParagraph"/>
        <w:numPr>
          <w:ilvl w:val="1"/>
          <w:numId w:val="12"/>
        </w:numPr>
        <w:ind w:left="851" w:hanging="716"/>
      </w:pPr>
      <w:r w:rsidRPr="00EE213D">
        <w:t>Once the permit is renewed, the primary term work program becomes guaranteed and cannot be reduced. Work program activities that cannot be guaranteed should not be included in the primary term.</w:t>
      </w:r>
    </w:p>
    <w:p w14:paraId="05F3483F" w14:textId="77777777" w:rsidR="00CF5365" w:rsidRPr="00F226C8" w:rsidRDefault="00903913">
      <w:pPr>
        <w:pStyle w:val="ListParagraph"/>
        <w:numPr>
          <w:ilvl w:val="1"/>
          <w:numId w:val="12"/>
        </w:numPr>
        <w:ind w:left="851" w:hanging="716"/>
      </w:pPr>
      <w:r w:rsidRPr="00EE213D">
        <w:t xml:space="preserve">Permit </w:t>
      </w:r>
      <w:r w:rsidR="00E110CF">
        <w:t>y</w:t>
      </w:r>
      <w:r w:rsidRPr="00EE213D">
        <w:t xml:space="preserve">ears 4 and 5 are referred to as the secondary term. Each year’s work program </w:t>
      </w:r>
      <w:r w:rsidRPr="00F226C8">
        <w:t>commitment becomes guaranteed upon entry and the minimum work requirements must commence and be completed within the permit year.</w:t>
      </w:r>
    </w:p>
    <w:p w14:paraId="1B475352" w14:textId="77777777" w:rsidR="00EB04C5" w:rsidRPr="00F226C8" w:rsidRDefault="00EB04C5" w:rsidP="00306FAD">
      <w:pPr>
        <w:pStyle w:val="ListParagraph"/>
        <w:numPr>
          <w:ilvl w:val="1"/>
          <w:numId w:val="12"/>
        </w:numPr>
        <w:ind w:left="851" w:hanging="716"/>
      </w:pPr>
      <w:r w:rsidRPr="00F226C8">
        <w:t> If a proposed work program for a renewal term includes new seismic data acquisition, the renewal application must clearly describe the following: </w:t>
      </w:r>
    </w:p>
    <w:p w14:paraId="5B053770" w14:textId="4E7E791E" w:rsidR="002C2695" w:rsidRPr="00F226C8" w:rsidRDefault="00B935D1" w:rsidP="002C2695">
      <w:pPr>
        <w:pStyle w:val="ListParagraph"/>
        <w:numPr>
          <w:ilvl w:val="0"/>
          <w:numId w:val="31"/>
        </w:numPr>
      </w:pPr>
      <w:r w:rsidRPr="00F226C8">
        <w:t>Whether all existing data options i.e. new reprocessing or licencing reprocessed data have been exhausted</w:t>
      </w:r>
      <w:r w:rsidR="006F3748" w:rsidRPr="00F226C8">
        <w:t>.</w:t>
      </w:r>
    </w:p>
    <w:p w14:paraId="630B1796" w14:textId="77777777" w:rsidR="00F71921" w:rsidRPr="00F226C8" w:rsidRDefault="00B935D1" w:rsidP="00F71921">
      <w:pPr>
        <w:pStyle w:val="ListParagraph"/>
        <w:numPr>
          <w:ilvl w:val="0"/>
          <w:numId w:val="31"/>
        </w:numPr>
      </w:pPr>
      <w:r w:rsidRPr="00F226C8">
        <w:t xml:space="preserve">Consideration as to possible alternatives or opportunities to acquiring new seismic. </w:t>
      </w:r>
    </w:p>
    <w:p w14:paraId="5552FC4E" w14:textId="7F9918DF" w:rsidR="00B935D1" w:rsidRPr="00F226C8" w:rsidRDefault="00B935D1" w:rsidP="00CA7BE8">
      <w:pPr>
        <w:pStyle w:val="ListParagraph"/>
        <w:numPr>
          <w:ilvl w:val="0"/>
          <w:numId w:val="31"/>
        </w:numPr>
      </w:pPr>
      <w:r w:rsidRPr="00F226C8">
        <w:t xml:space="preserve">For </w:t>
      </w:r>
      <w:r w:rsidR="00306FAD" w:rsidRPr="00F226C8">
        <w:t>work programs</w:t>
      </w:r>
      <w:r w:rsidRPr="00F226C8">
        <w:t xml:space="preserve"> that propose new seismic data in the first three years, justification as to why the acquisition of new seismic data must be undertaken in the primary term as a commitment.</w:t>
      </w:r>
    </w:p>
    <w:p w14:paraId="4655C965" w14:textId="77777777" w:rsidR="00EB04C5" w:rsidRPr="00891FE4" w:rsidRDefault="00EB04C5" w:rsidP="00CA7BE8">
      <w:pPr>
        <w:pStyle w:val="ListParagraph"/>
        <w:ind w:left="851"/>
      </w:pPr>
    </w:p>
    <w:p w14:paraId="7148564D" w14:textId="5F165B47" w:rsidR="0024008F" w:rsidRDefault="00012E42" w:rsidP="0047615A">
      <w:pPr>
        <w:pStyle w:val="Calloutbox"/>
      </w:pPr>
      <w:r w:rsidRPr="0018007F">
        <w:lastRenderedPageBreak/>
        <w:t xml:space="preserve">Refer to </w:t>
      </w:r>
      <w:r w:rsidR="0047615A" w:rsidRPr="009A28F5">
        <w:t>section</w:t>
      </w:r>
      <w:r w:rsidR="0018007F" w:rsidRPr="009A28F5">
        <w:t xml:space="preserve">s </w:t>
      </w:r>
      <w:r w:rsidR="0018007F" w:rsidRPr="009A28F5">
        <w:fldChar w:fldCharType="begin"/>
      </w:r>
      <w:r w:rsidR="0018007F" w:rsidRPr="009A28F5">
        <w:instrText xml:space="preserve"> REF _Ref90389730 \r \h  \* MERGEFORMAT </w:instrText>
      </w:r>
      <w:r w:rsidR="0018007F" w:rsidRPr="009A28F5">
        <w:fldChar w:fldCharType="separate"/>
      </w:r>
      <w:r w:rsidR="00D95F2F">
        <w:t>3.43</w:t>
      </w:r>
      <w:r w:rsidR="0018007F" w:rsidRPr="009A28F5">
        <w:fldChar w:fldCharType="end"/>
      </w:r>
      <w:r w:rsidR="0018007F" w:rsidRPr="009A28F5">
        <w:t>-</w:t>
      </w:r>
      <w:r w:rsidR="0018007F" w:rsidRPr="009A28F5">
        <w:fldChar w:fldCharType="begin"/>
      </w:r>
      <w:r w:rsidR="0018007F" w:rsidRPr="009A28F5">
        <w:instrText xml:space="preserve"> REF _Ref183685456 \r \h  \* MERGEFORMAT </w:instrText>
      </w:r>
      <w:r w:rsidR="0018007F" w:rsidRPr="009A28F5">
        <w:fldChar w:fldCharType="separate"/>
      </w:r>
      <w:r w:rsidR="00D95F2F">
        <w:t>3.48</w:t>
      </w:r>
      <w:r w:rsidR="0018007F" w:rsidRPr="009A28F5">
        <w:fldChar w:fldCharType="end"/>
      </w:r>
      <w:r w:rsidR="00891FE4" w:rsidRPr="0018007F">
        <w:t xml:space="preserve"> </w:t>
      </w:r>
      <w:r w:rsidR="0047615A" w:rsidRPr="0018007F">
        <w:t>for above</w:t>
      </w:r>
      <w:r w:rsidR="0047615A" w:rsidRPr="00891FE4">
        <w:t>-commitment variations.</w:t>
      </w:r>
    </w:p>
    <w:p w14:paraId="61753655" w14:textId="400D0C51" w:rsidR="00903913" w:rsidRPr="00C95C38" w:rsidRDefault="00903913" w:rsidP="00811D62">
      <w:pPr>
        <w:pStyle w:val="ListParagraph"/>
        <w:numPr>
          <w:ilvl w:val="1"/>
          <w:numId w:val="12"/>
        </w:numPr>
        <w:ind w:left="851" w:hanging="716"/>
      </w:pPr>
      <w:r w:rsidRPr="00C95C38" w:rsidDel="00506050">
        <w:t>Where a</w:t>
      </w:r>
      <w:r w:rsidR="00D87E9E" w:rsidRPr="00C95C38">
        <w:t xml:space="preserve"> permit</w:t>
      </w:r>
      <w:r w:rsidRPr="00C95C38" w:rsidDel="00506050">
        <w:t xml:space="preserve"> area is </w:t>
      </w:r>
      <w:r w:rsidR="00D87E9E" w:rsidRPr="00C95C38">
        <w:t xml:space="preserve">substantially </w:t>
      </w:r>
      <w:r w:rsidRPr="00C95C38" w:rsidDel="00506050">
        <w:t xml:space="preserve">covered by 3D seismic data, reprocessing </w:t>
      </w:r>
      <w:r w:rsidR="003950C2" w:rsidRPr="00C95C38">
        <w:t xml:space="preserve">this </w:t>
      </w:r>
      <w:r w:rsidRPr="00C95C38">
        <w:t>data</w:t>
      </w:r>
      <w:r w:rsidR="00D776E2" w:rsidRPr="00C95C38">
        <w:t xml:space="preserve"> or licencing reprocessed data</w:t>
      </w:r>
      <w:r w:rsidRPr="00C95C38" w:rsidDel="00D776E2">
        <w:t xml:space="preserve"> </w:t>
      </w:r>
      <w:r w:rsidR="00BB6620" w:rsidRPr="00C95C38">
        <w:t xml:space="preserve">is expected to </w:t>
      </w:r>
      <w:r w:rsidRPr="00C95C38" w:rsidDel="00506050">
        <w:t xml:space="preserve">form part of the proposed </w:t>
      </w:r>
      <w:r w:rsidR="00DB6133" w:rsidRPr="00C95C38">
        <w:t>primary term</w:t>
      </w:r>
      <w:r w:rsidRPr="00C95C38">
        <w:t xml:space="preserve"> </w:t>
      </w:r>
      <w:r w:rsidRPr="00C95C38" w:rsidDel="00506050">
        <w:t>work program</w:t>
      </w:r>
      <w:r w:rsidR="00E829BE" w:rsidRPr="00C95C38">
        <w:t xml:space="preserve"> </w:t>
      </w:r>
      <w:r w:rsidRPr="00C95C38">
        <w:t xml:space="preserve">and </w:t>
      </w:r>
      <w:r w:rsidR="00BB47C8" w:rsidRPr="00C95C38">
        <w:t>should</w:t>
      </w:r>
      <w:r w:rsidR="00E829BE" w:rsidRPr="00C95C38">
        <w:t xml:space="preserve"> </w:t>
      </w:r>
      <w:r w:rsidRPr="00C95C38">
        <w:t xml:space="preserve">be undertaken </w:t>
      </w:r>
      <w:r w:rsidR="00BB47C8" w:rsidRPr="00C95C38">
        <w:t>before</w:t>
      </w:r>
      <w:r w:rsidRPr="00C95C38">
        <w:t xml:space="preserve"> acquiring new seismic data. The reprocessing would normally be expected to be from raw data or the </w:t>
      </w:r>
      <w:r w:rsidR="004D5B57" w:rsidRPr="00C95C38">
        <w:t>quality-controlled</w:t>
      </w:r>
      <w:r w:rsidRPr="00C95C38">
        <w:t xml:space="preserve"> traces and to utilise techniques not previously undertaken on seismic data within the permit area.</w:t>
      </w:r>
    </w:p>
    <w:p w14:paraId="68B234CA" w14:textId="13BB4127" w:rsidR="008B2F16" w:rsidRPr="00C95C38" w:rsidRDefault="008B2F16" w:rsidP="00811D62">
      <w:pPr>
        <w:pStyle w:val="ListParagraph"/>
        <w:numPr>
          <w:ilvl w:val="1"/>
          <w:numId w:val="12"/>
        </w:numPr>
        <w:ind w:left="851" w:hanging="716"/>
      </w:pPr>
      <w:r w:rsidRPr="00C95C38">
        <w:t xml:space="preserve">Where a titleholder </w:t>
      </w:r>
      <w:r w:rsidR="00181C62" w:rsidRPr="00C95C38">
        <w:t xml:space="preserve">can demonstrate it </w:t>
      </w:r>
      <w:r w:rsidRPr="00C95C38">
        <w:t xml:space="preserve">has exhausted all available data and processing techniques and needs to acquire new seismic data </w:t>
      </w:r>
      <w:r w:rsidR="00497D5F" w:rsidRPr="00C95C38">
        <w:t>to</w:t>
      </w:r>
      <w:r w:rsidRPr="00C95C38">
        <w:t xml:space="preserve"> progress exploring the permit </w:t>
      </w:r>
      <w:r w:rsidR="00497D5F" w:rsidRPr="00C95C38">
        <w:t>area</w:t>
      </w:r>
      <w:r w:rsidRPr="00C95C38">
        <w:t>, acquiring or licensing new seismic may be included in the proposed work program</w:t>
      </w:r>
      <w:r w:rsidR="009E14F7" w:rsidRPr="00C95C38">
        <w:t xml:space="preserve">. If the acquisition or licencing of new seismic data is proposed </w:t>
      </w:r>
      <w:r w:rsidR="008870CC" w:rsidRPr="00C95C38">
        <w:t xml:space="preserve">titleholders </w:t>
      </w:r>
      <w:r w:rsidR="009E14F7" w:rsidRPr="00C95C38">
        <w:t>should clearly explain the reason/s and consider alternatives or opportunities</w:t>
      </w:r>
      <w:r w:rsidRPr="00C95C38">
        <w:t>.</w:t>
      </w:r>
    </w:p>
    <w:p w14:paraId="763A333B" w14:textId="67E838BC" w:rsidR="00905A88" w:rsidRPr="00EF248F" w:rsidRDefault="00903913" w:rsidP="00811D62">
      <w:pPr>
        <w:pStyle w:val="ListParagraph"/>
        <w:numPr>
          <w:ilvl w:val="1"/>
          <w:numId w:val="12"/>
        </w:numPr>
        <w:ind w:left="851" w:hanging="716"/>
      </w:pPr>
      <w:r w:rsidRPr="00EF248F">
        <w:t xml:space="preserve">It is expected that at least one exploration well will be proposed during the five-year renewal term. If a well is not proposed, technical justification should be provided in the application addressing why exploration drilling in the renewal term </w:t>
      </w:r>
      <w:r w:rsidR="006A6789" w:rsidRPr="00EF248F">
        <w:t xml:space="preserve">is </w:t>
      </w:r>
      <w:r w:rsidRPr="00EF248F">
        <w:t>not feasible.</w:t>
      </w:r>
    </w:p>
    <w:p w14:paraId="31CC5366" w14:textId="3110F568" w:rsidR="00903913" w:rsidRPr="00EF248F" w:rsidRDefault="00903913" w:rsidP="00811D62">
      <w:pPr>
        <w:pStyle w:val="ListParagraph"/>
        <w:numPr>
          <w:ilvl w:val="1"/>
          <w:numId w:val="12"/>
        </w:numPr>
        <w:ind w:left="851" w:hanging="716"/>
      </w:pPr>
      <w:r w:rsidRPr="00EF248F">
        <w:t>If no exploration drilling was undertaken in the previous permit term, it is expected an exploration well will be proposed in the renewal</w:t>
      </w:r>
      <w:r w:rsidR="00EA78CF" w:rsidRPr="00EF248F">
        <w:t xml:space="preserve"> term</w:t>
      </w:r>
      <w:r w:rsidRPr="00EF248F">
        <w:t xml:space="preserve"> as a </w:t>
      </w:r>
      <w:r w:rsidR="00EA78CF" w:rsidRPr="00EF248F">
        <w:t xml:space="preserve">guaranteed </w:t>
      </w:r>
      <w:r w:rsidRPr="00EF248F">
        <w:t>work program commitment in the primary term.</w:t>
      </w:r>
    </w:p>
    <w:p w14:paraId="1D02D843" w14:textId="77777777" w:rsidR="00903913" w:rsidRPr="004A2398" w:rsidRDefault="00903913" w:rsidP="00811D62">
      <w:pPr>
        <w:pStyle w:val="ListParagraph"/>
        <w:numPr>
          <w:ilvl w:val="1"/>
          <w:numId w:val="12"/>
        </w:numPr>
        <w:ind w:left="851" w:hanging="716"/>
      </w:pPr>
      <w:r w:rsidRPr="00EF248F">
        <w:t xml:space="preserve">Work program activities should only include work that is to be undertaken within the permit area. Any work, studies or reprocessing to be undertaken outside the permit area must be clearly </w:t>
      </w:r>
      <w:r w:rsidRPr="004A2398">
        <w:t>differentiated.</w:t>
      </w:r>
    </w:p>
    <w:p w14:paraId="112F45B4" w14:textId="77777777" w:rsidR="00903913" w:rsidRPr="004A2398" w:rsidRDefault="00903913" w:rsidP="00811D62">
      <w:pPr>
        <w:pStyle w:val="ListParagraph"/>
        <w:numPr>
          <w:ilvl w:val="1"/>
          <w:numId w:val="12"/>
        </w:numPr>
        <w:ind w:left="851" w:hanging="716"/>
      </w:pPr>
      <w:r w:rsidRPr="004A2398">
        <w:t>The description of the proposed work program for the renewal term should include:</w:t>
      </w:r>
    </w:p>
    <w:p w14:paraId="3CDFCBCB" w14:textId="2C1ED17C" w:rsidR="003615CD" w:rsidRPr="004A2398" w:rsidRDefault="003615CD" w:rsidP="00811D62">
      <w:pPr>
        <w:pStyle w:val="ListParagraph"/>
        <w:numPr>
          <w:ilvl w:val="2"/>
          <w:numId w:val="12"/>
        </w:numPr>
        <w:ind w:hanging="373"/>
      </w:pPr>
      <w:r w:rsidRPr="004A2398">
        <w:t>Indicative expenditure in Australian dollars for each activity at current market value. Calculations for operational activities should detail how the cost of the activities have been estimated.</w:t>
      </w:r>
    </w:p>
    <w:p w14:paraId="6234DBFC" w14:textId="77777777" w:rsidR="00AA4AA9" w:rsidRDefault="003615CD" w:rsidP="00811D62">
      <w:pPr>
        <w:pStyle w:val="ListParagraph"/>
        <w:numPr>
          <w:ilvl w:val="2"/>
          <w:numId w:val="12"/>
        </w:numPr>
        <w:ind w:hanging="373"/>
      </w:pPr>
      <w:r w:rsidRPr="00E64FE4">
        <w:t>The number of line kilometres of 2D and proposed line spacing and/or square kilometres of 3D seismic data that will be acquired and processed within the permit area, including:</w:t>
      </w:r>
    </w:p>
    <w:p w14:paraId="584289AF" w14:textId="77777777" w:rsidR="007345F2" w:rsidRDefault="003615CD" w:rsidP="00D36EFD">
      <w:pPr>
        <w:pStyle w:val="ListParagraph"/>
        <w:numPr>
          <w:ilvl w:val="3"/>
          <w:numId w:val="12"/>
        </w:numPr>
      </w:pPr>
      <w:r w:rsidRPr="00F203D0">
        <w:t>Full fold numbers within the permit area.</w:t>
      </w:r>
    </w:p>
    <w:p w14:paraId="3DB2322D" w14:textId="77777777" w:rsidR="007345F2" w:rsidRDefault="003615CD" w:rsidP="00D36EFD">
      <w:pPr>
        <w:pStyle w:val="ListParagraph"/>
        <w:numPr>
          <w:ilvl w:val="3"/>
          <w:numId w:val="12"/>
        </w:numPr>
      </w:pPr>
      <w:r w:rsidRPr="00F203D0">
        <w:t>A map showing the indicative location of the 2D lines or 3D survey outline. All existing seismic surveys should be identified on this map.</w:t>
      </w:r>
    </w:p>
    <w:p w14:paraId="23F01A46" w14:textId="6819B7EF" w:rsidR="003615CD" w:rsidRPr="00F203D0" w:rsidRDefault="003615CD" w:rsidP="00D36EFD">
      <w:pPr>
        <w:pStyle w:val="ListParagraph"/>
        <w:numPr>
          <w:ilvl w:val="3"/>
          <w:numId w:val="12"/>
        </w:numPr>
      </w:pPr>
      <w:r w:rsidRPr="00F203D0">
        <w:t>If known, the parameters and methodology of the seismic acquisition and processing that will be undertaken.</w:t>
      </w:r>
    </w:p>
    <w:p w14:paraId="4D2CB423" w14:textId="77777777" w:rsidR="003615CD" w:rsidRPr="00E64FE4" w:rsidRDefault="003615CD" w:rsidP="00D36EFD">
      <w:pPr>
        <w:pStyle w:val="ListParagraph"/>
        <w:numPr>
          <w:ilvl w:val="2"/>
          <w:numId w:val="12"/>
        </w:numPr>
        <w:ind w:hanging="373"/>
      </w:pPr>
      <w:r w:rsidRPr="00E64FE4">
        <w:t>The amount, type and details of the applicable dataset of any new reprocessing the applicant proposes to undertake, including:</w:t>
      </w:r>
    </w:p>
    <w:p w14:paraId="47079235" w14:textId="77777777" w:rsidR="003615CD" w:rsidRPr="00F203D0" w:rsidRDefault="003615CD" w:rsidP="00D36EFD">
      <w:pPr>
        <w:pStyle w:val="ListParagraph"/>
        <w:numPr>
          <w:ilvl w:val="3"/>
          <w:numId w:val="12"/>
        </w:numPr>
      </w:pPr>
      <w:r w:rsidRPr="00F203D0">
        <w:t>The number of line kilometres of 2D and/or square kilometres of 3D seismic data that will be reprocessed within the permit area clearly stated.</w:t>
      </w:r>
    </w:p>
    <w:p w14:paraId="0880DFE3" w14:textId="77777777" w:rsidR="003615CD" w:rsidRPr="00F203D0" w:rsidRDefault="003615CD" w:rsidP="00D36EFD">
      <w:pPr>
        <w:pStyle w:val="ListParagraph"/>
        <w:numPr>
          <w:ilvl w:val="3"/>
          <w:numId w:val="12"/>
        </w:numPr>
      </w:pPr>
      <w:r w:rsidRPr="00F203D0">
        <w:t>A map showing the indicative location of the 2D lines or 3D survey outline. All existing seismic surveys should be identified on this map.</w:t>
      </w:r>
    </w:p>
    <w:p w14:paraId="5319B8C4" w14:textId="2A267590" w:rsidR="00E85899" w:rsidRDefault="003615CD" w:rsidP="00D36EFD">
      <w:pPr>
        <w:pStyle w:val="ListParagraph"/>
        <w:numPr>
          <w:ilvl w:val="3"/>
          <w:numId w:val="12"/>
        </w:numPr>
      </w:pPr>
      <w:r w:rsidRPr="00F203D0" w:rsidDel="00DC0B53">
        <w:t>If known, the parameters and methodology of the reprocessing that will be undertaken.</w:t>
      </w:r>
    </w:p>
    <w:p w14:paraId="1CD224FA" w14:textId="77777777" w:rsidR="003615CD" w:rsidRPr="00E64FE4" w:rsidRDefault="003615CD" w:rsidP="00D36EFD">
      <w:pPr>
        <w:pStyle w:val="ListParagraph"/>
        <w:numPr>
          <w:ilvl w:val="2"/>
          <w:numId w:val="12"/>
        </w:numPr>
        <w:ind w:hanging="373"/>
      </w:pPr>
      <w:r w:rsidRPr="00E64FE4">
        <w:t>The number of exploration wells proposed, including indicative plays and target play levels.</w:t>
      </w:r>
    </w:p>
    <w:p w14:paraId="44E14244" w14:textId="115E7E0B" w:rsidR="00684965" w:rsidRDefault="00684965" w:rsidP="00D36EFD">
      <w:pPr>
        <w:pStyle w:val="ListParagraph"/>
        <w:numPr>
          <w:ilvl w:val="2"/>
          <w:numId w:val="12"/>
        </w:numPr>
        <w:ind w:hanging="373"/>
      </w:pPr>
      <w:r>
        <w:t xml:space="preserve">Descriptions </w:t>
      </w:r>
      <w:r w:rsidRPr="001B0C86">
        <w:t>of the prospects and leads mapped within the permit area</w:t>
      </w:r>
      <w:r>
        <w:t xml:space="preserve"> including i</w:t>
      </w:r>
      <w:r w:rsidRPr="001B0C86">
        <w:t>mages</w:t>
      </w:r>
      <w:r>
        <w:t xml:space="preserve"> of</w:t>
      </w:r>
      <w:r w:rsidRPr="001B0C86">
        <w:t xml:space="preserve"> seismic</w:t>
      </w:r>
      <w:r w:rsidRPr="00B92F24">
        <w:t xml:space="preserve"> or other </w:t>
      </w:r>
      <w:proofErr w:type="gramStart"/>
      <w:r w:rsidRPr="00B92F24">
        <w:t>data based</w:t>
      </w:r>
      <w:proofErr w:type="gramEnd"/>
      <w:r w:rsidRPr="00B92F24">
        <w:t xml:space="preserve"> cross-sections</w:t>
      </w:r>
      <w:r w:rsidRPr="001B0C86">
        <w:t xml:space="preserve"> and horizon maps</w:t>
      </w:r>
      <w:r w:rsidR="007345F2">
        <w:t>.</w:t>
      </w:r>
    </w:p>
    <w:p w14:paraId="3EAF6DD5" w14:textId="74A57347" w:rsidR="0080749A" w:rsidRPr="001B0C86" w:rsidRDefault="00903913" w:rsidP="00D36EFD">
      <w:pPr>
        <w:pStyle w:val="ListParagraph"/>
        <w:numPr>
          <w:ilvl w:val="2"/>
          <w:numId w:val="12"/>
        </w:numPr>
        <w:ind w:hanging="373"/>
      </w:pPr>
      <w:r w:rsidRPr="001B0C86">
        <w:t>The nature, scope and objectives of any studies.</w:t>
      </w:r>
    </w:p>
    <w:p w14:paraId="6B15554D" w14:textId="77777777" w:rsidR="00935479" w:rsidRDefault="00935479" w:rsidP="00D36EFD">
      <w:pPr>
        <w:pStyle w:val="ListParagraph"/>
        <w:numPr>
          <w:ilvl w:val="2"/>
          <w:numId w:val="12"/>
        </w:numPr>
        <w:ind w:hanging="373"/>
      </w:pPr>
      <w:r w:rsidRPr="00423F77">
        <w:lastRenderedPageBreak/>
        <w:t>The licensing or use of any existing exclusive or non-exclusive datasets and, if applicable, how these are proposed to be used in conjunction with any reprocessing or geophysical studies proposed in the work program.</w:t>
      </w:r>
    </w:p>
    <w:p w14:paraId="2C7656DF" w14:textId="77777777" w:rsidR="00903913" w:rsidRPr="001B0C86" w:rsidRDefault="00903913" w:rsidP="00D36EFD">
      <w:pPr>
        <w:pStyle w:val="ListParagraph"/>
        <w:numPr>
          <w:ilvl w:val="2"/>
          <w:numId w:val="12"/>
        </w:numPr>
        <w:ind w:hanging="373"/>
      </w:pPr>
      <w:r w:rsidRPr="001B0C86">
        <w:t xml:space="preserve">Descriptions and the conceptual locations </w:t>
      </w:r>
      <w:r w:rsidR="00544A01">
        <w:t xml:space="preserve">of </w:t>
      </w:r>
      <w:r w:rsidRPr="001B0C86">
        <w:t>targets and purpose of other operational activity or surveying proposed.</w:t>
      </w:r>
    </w:p>
    <w:p w14:paraId="52EF7211" w14:textId="77777777" w:rsidR="007E086F" w:rsidRDefault="007E086F" w:rsidP="00CA6B83">
      <w:pPr>
        <w:pStyle w:val="Caption"/>
        <w:keepNext/>
        <w:keepLines/>
        <w:widowControl w:val="0"/>
      </w:pPr>
      <w:bookmarkStart w:id="307" w:name="_Toc81487657"/>
      <w:bookmarkStart w:id="308" w:name="_Toc83042939"/>
      <w:bookmarkStart w:id="309" w:name="_Toc83395052"/>
      <w:bookmarkStart w:id="310" w:name="_Toc90044336"/>
      <w:r w:rsidRPr="00A22291">
        <w:t>An example of a five-year work program:</w:t>
      </w:r>
    </w:p>
    <w:tbl>
      <w:tblPr>
        <w:tblStyle w:val="ListTable3-Accent4"/>
        <w:tblW w:w="0" w:type="auto"/>
        <w:tblLook w:val="04A0" w:firstRow="1" w:lastRow="0" w:firstColumn="1" w:lastColumn="0" w:noHBand="0" w:noVBand="1"/>
      </w:tblPr>
      <w:tblGrid>
        <w:gridCol w:w="629"/>
        <w:gridCol w:w="1421"/>
        <w:gridCol w:w="1314"/>
        <w:gridCol w:w="4002"/>
        <w:gridCol w:w="1650"/>
      </w:tblGrid>
      <w:tr w:rsidR="00BE63F1" w:rsidRPr="00B108D8" w14:paraId="60A1CCEF" w14:textId="77777777" w:rsidTr="00C971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Pr>
          <w:p w14:paraId="46F7D3D6" w14:textId="77777777" w:rsidR="00BE63F1" w:rsidRPr="00CA6B83" w:rsidRDefault="00BE63F1" w:rsidP="00CA6B83">
            <w:pPr>
              <w:keepNext/>
              <w:keepLines/>
              <w:widowControl w:val="0"/>
              <w:jc w:val="center"/>
              <w:rPr>
                <w:b w:val="0"/>
                <w:bCs w:val="0"/>
              </w:rPr>
            </w:pPr>
            <w:r w:rsidRPr="00CA6B83">
              <w:t>Year</w:t>
            </w:r>
          </w:p>
        </w:tc>
        <w:tc>
          <w:tcPr>
            <w:tcW w:w="1421" w:type="dxa"/>
          </w:tcPr>
          <w:p w14:paraId="2C869488" w14:textId="77777777" w:rsidR="00BE63F1" w:rsidRPr="00CA6B83" w:rsidRDefault="00BE63F1" w:rsidP="00CA6B83">
            <w:pPr>
              <w:keepNext/>
              <w:keepLines/>
              <w:widowControl w:val="0"/>
              <w:jc w:val="center"/>
              <w:cnfStyle w:val="100000000000" w:firstRow="1" w:lastRow="0" w:firstColumn="0" w:lastColumn="0" w:oddVBand="0" w:evenVBand="0" w:oddHBand="0" w:evenHBand="0" w:firstRowFirstColumn="0" w:firstRowLastColumn="0" w:lastRowFirstColumn="0" w:lastRowLastColumn="0"/>
              <w:rPr>
                <w:b w:val="0"/>
                <w:bCs w:val="0"/>
              </w:rPr>
            </w:pPr>
            <w:r w:rsidRPr="00CA6B83">
              <w:t>Start date</w:t>
            </w:r>
          </w:p>
        </w:tc>
        <w:tc>
          <w:tcPr>
            <w:tcW w:w="1314" w:type="dxa"/>
          </w:tcPr>
          <w:p w14:paraId="41FCEC70" w14:textId="77777777" w:rsidR="00BE63F1" w:rsidRPr="00CA6B83" w:rsidRDefault="00BE63F1" w:rsidP="00CA6B83">
            <w:pPr>
              <w:keepNext/>
              <w:keepLines/>
              <w:widowControl w:val="0"/>
              <w:jc w:val="center"/>
              <w:cnfStyle w:val="100000000000" w:firstRow="1" w:lastRow="0" w:firstColumn="0" w:lastColumn="0" w:oddVBand="0" w:evenVBand="0" w:oddHBand="0" w:evenHBand="0" w:firstRowFirstColumn="0" w:firstRowLastColumn="0" w:lastRowFirstColumn="0" w:lastRowLastColumn="0"/>
              <w:rPr>
                <w:b w:val="0"/>
                <w:bCs w:val="0"/>
              </w:rPr>
            </w:pPr>
            <w:r w:rsidRPr="00CA6B83">
              <w:t>End date</w:t>
            </w:r>
          </w:p>
        </w:tc>
        <w:tc>
          <w:tcPr>
            <w:tcW w:w="4002" w:type="dxa"/>
          </w:tcPr>
          <w:p w14:paraId="1F076606" w14:textId="77777777" w:rsidR="00BE63F1" w:rsidRPr="00CA6B83" w:rsidRDefault="00BE63F1" w:rsidP="00CA6B83">
            <w:pPr>
              <w:keepNext/>
              <w:keepLines/>
              <w:widowControl w:val="0"/>
              <w:jc w:val="center"/>
              <w:cnfStyle w:val="100000000000" w:firstRow="1" w:lastRow="0" w:firstColumn="0" w:lastColumn="0" w:oddVBand="0" w:evenVBand="0" w:oddHBand="0" w:evenHBand="0" w:firstRowFirstColumn="0" w:firstRowLastColumn="0" w:lastRowFirstColumn="0" w:lastRowLastColumn="0"/>
              <w:rPr>
                <w:b w:val="0"/>
                <w:bCs w:val="0"/>
              </w:rPr>
            </w:pPr>
            <w:r w:rsidRPr="00CA6B83">
              <w:t>Activity</w:t>
            </w:r>
          </w:p>
        </w:tc>
        <w:tc>
          <w:tcPr>
            <w:tcW w:w="1650" w:type="dxa"/>
          </w:tcPr>
          <w:p w14:paraId="79E1A5C7" w14:textId="77777777" w:rsidR="00BE63F1" w:rsidRPr="00CA6B83" w:rsidRDefault="00BE63F1" w:rsidP="00CA6B83">
            <w:pPr>
              <w:keepNext/>
              <w:keepLines/>
              <w:widowControl w:val="0"/>
              <w:jc w:val="center"/>
              <w:cnfStyle w:val="100000000000" w:firstRow="1" w:lastRow="0" w:firstColumn="0" w:lastColumn="0" w:oddVBand="0" w:evenVBand="0" w:oddHBand="0" w:evenHBand="0" w:firstRowFirstColumn="0" w:firstRowLastColumn="0" w:lastRowFirstColumn="0" w:lastRowLastColumn="0"/>
              <w:rPr>
                <w:b w:val="0"/>
                <w:bCs w:val="0"/>
              </w:rPr>
            </w:pPr>
            <w:r w:rsidRPr="00CA6B83">
              <w:t>Indicative cost $A</w:t>
            </w:r>
          </w:p>
        </w:tc>
      </w:tr>
      <w:tr w:rsidR="00BE63F1" w:rsidRPr="00B108D8" w14:paraId="5DB8798B" w14:textId="77777777" w:rsidTr="00C9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Pr>
          <w:p w14:paraId="3A3FE097" w14:textId="77777777" w:rsidR="00BE63F1" w:rsidRPr="00CA6B83" w:rsidRDefault="00BE63F1" w:rsidP="00CA6B83">
            <w:pPr>
              <w:keepNext/>
              <w:keepLines/>
              <w:widowControl w:val="0"/>
              <w:jc w:val="center"/>
              <w:rPr>
                <w:b w:val="0"/>
                <w:bCs w:val="0"/>
              </w:rPr>
            </w:pPr>
            <w:r w:rsidRPr="00CA6B83">
              <w:rPr>
                <w:b w:val="0"/>
                <w:bCs w:val="0"/>
              </w:rPr>
              <w:t>1-3</w:t>
            </w:r>
          </w:p>
        </w:tc>
        <w:tc>
          <w:tcPr>
            <w:tcW w:w="1421" w:type="dxa"/>
          </w:tcPr>
          <w:p w14:paraId="3F97CCAF" w14:textId="4754981C" w:rsidR="00BE63F1" w:rsidRPr="00B108D8" w:rsidRDefault="00BE63F1" w:rsidP="00CA6B83">
            <w:pPr>
              <w:keepNext/>
              <w:keepLines/>
              <w:widowControl w:val="0"/>
              <w:jc w:val="center"/>
              <w:cnfStyle w:val="000000100000" w:firstRow="0" w:lastRow="0" w:firstColumn="0" w:lastColumn="0" w:oddVBand="0" w:evenVBand="0" w:oddHBand="1" w:evenHBand="0" w:firstRowFirstColumn="0" w:firstRowLastColumn="0" w:lastRowFirstColumn="0" w:lastRowLastColumn="0"/>
            </w:pPr>
            <w:r w:rsidRPr="00B108D8">
              <w:t>01/01/20</w:t>
            </w:r>
            <w:r w:rsidR="00D32CCC" w:rsidRPr="00B108D8">
              <w:t>2</w:t>
            </w:r>
            <w:r w:rsidRPr="00B108D8">
              <w:t>5</w:t>
            </w:r>
          </w:p>
        </w:tc>
        <w:tc>
          <w:tcPr>
            <w:tcW w:w="1314" w:type="dxa"/>
          </w:tcPr>
          <w:p w14:paraId="3D942885" w14:textId="135C4284" w:rsidR="00BE63F1" w:rsidRPr="00B108D8" w:rsidRDefault="00BE63F1" w:rsidP="00CA6B83">
            <w:pPr>
              <w:keepNext/>
              <w:keepLines/>
              <w:widowControl w:val="0"/>
              <w:jc w:val="center"/>
              <w:cnfStyle w:val="000000100000" w:firstRow="0" w:lastRow="0" w:firstColumn="0" w:lastColumn="0" w:oddVBand="0" w:evenVBand="0" w:oddHBand="1" w:evenHBand="0" w:firstRowFirstColumn="0" w:firstRowLastColumn="0" w:lastRowFirstColumn="0" w:lastRowLastColumn="0"/>
            </w:pPr>
            <w:r w:rsidRPr="00B108D8">
              <w:t>31/12/20</w:t>
            </w:r>
            <w:r w:rsidR="00D32CCC" w:rsidRPr="00B108D8">
              <w:t>2</w:t>
            </w:r>
            <w:r w:rsidRPr="00B108D8">
              <w:t>7</w:t>
            </w:r>
          </w:p>
        </w:tc>
        <w:tc>
          <w:tcPr>
            <w:tcW w:w="4002" w:type="dxa"/>
          </w:tcPr>
          <w:p w14:paraId="77E35313" w14:textId="2AE203B3" w:rsidR="00BE63F1" w:rsidRPr="00B108D8" w:rsidRDefault="00BE63F1" w:rsidP="00CA6B83">
            <w:pPr>
              <w:pStyle w:val="List2"/>
              <w:keepNext/>
              <w:keepLines/>
              <w:widowControl w:val="0"/>
              <w:cnfStyle w:val="000000100000" w:firstRow="0" w:lastRow="0" w:firstColumn="0" w:lastColumn="0" w:oddVBand="0" w:evenVBand="0" w:oddHBand="1" w:evenHBand="0" w:firstRowFirstColumn="0" w:firstRowLastColumn="0" w:lastRowFirstColumn="0" w:lastRowLastColumn="0"/>
              <w:rPr>
                <w:sz w:val="20"/>
              </w:rPr>
            </w:pPr>
            <w:r w:rsidRPr="00B108D8">
              <w:rPr>
                <w:sz w:val="20"/>
              </w:rPr>
              <w:t xml:space="preserve">2,000 km² of 3D seismic </w:t>
            </w:r>
            <w:r w:rsidR="00D776E2">
              <w:rPr>
                <w:sz w:val="20"/>
              </w:rPr>
              <w:t xml:space="preserve">data </w:t>
            </w:r>
            <w:r w:rsidRPr="00B108D8">
              <w:rPr>
                <w:sz w:val="20"/>
              </w:rPr>
              <w:t>reprocessing</w:t>
            </w:r>
          </w:p>
          <w:p w14:paraId="2C0E2618" w14:textId="77777777" w:rsidR="00BE63F1" w:rsidRPr="00B108D8" w:rsidRDefault="00BE63F1" w:rsidP="00CA6B83">
            <w:pPr>
              <w:keepNext/>
              <w:keepLines/>
              <w:widowControl w:val="0"/>
              <w:cnfStyle w:val="000000100000" w:firstRow="0" w:lastRow="0" w:firstColumn="0" w:lastColumn="0" w:oddVBand="0" w:evenVBand="0" w:oddHBand="1" w:evenHBand="0" w:firstRowFirstColumn="0" w:firstRowLastColumn="0" w:lastRowFirstColumn="0" w:lastRowLastColumn="0"/>
            </w:pPr>
            <w:r w:rsidRPr="00B108D8">
              <w:t>Geophysical and geological studies including seismic interpretation</w:t>
            </w:r>
          </w:p>
        </w:tc>
        <w:tc>
          <w:tcPr>
            <w:tcW w:w="1650" w:type="dxa"/>
          </w:tcPr>
          <w:p w14:paraId="35D82429" w14:textId="161887C5" w:rsidR="00BE63F1" w:rsidRPr="00B108D8" w:rsidRDefault="00C3208E" w:rsidP="00CA6B83">
            <w:pPr>
              <w:keepNext/>
              <w:keepLines/>
              <w:widowControl w:val="0"/>
              <w:cnfStyle w:val="000000100000" w:firstRow="0" w:lastRow="0" w:firstColumn="0" w:lastColumn="0" w:oddVBand="0" w:evenVBand="0" w:oddHBand="1" w:evenHBand="0" w:firstRowFirstColumn="0" w:firstRowLastColumn="0" w:lastRowFirstColumn="0" w:lastRowLastColumn="0"/>
            </w:pPr>
            <w:r>
              <w:t>0,</w:t>
            </w:r>
            <w:r w:rsidR="00BE63F1" w:rsidRPr="00B108D8">
              <w:t>000,000</w:t>
            </w:r>
          </w:p>
          <w:p w14:paraId="77BB0B96" w14:textId="77777777" w:rsidR="00BE63F1" w:rsidRPr="00B108D8" w:rsidRDefault="00BE63F1" w:rsidP="00CA6B83">
            <w:pPr>
              <w:keepNext/>
              <w:keepLines/>
              <w:widowControl w:val="0"/>
              <w:cnfStyle w:val="000000100000" w:firstRow="0" w:lastRow="0" w:firstColumn="0" w:lastColumn="0" w:oddVBand="0" w:evenVBand="0" w:oddHBand="1" w:evenHBand="0" w:firstRowFirstColumn="0" w:firstRowLastColumn="0" w:lastRowFirstColumn="0" w:lastRowLastColumn="0"/>
            </w:pPr>
            <w:r w:rsidRPr="00B108D8">
              <w:t>000,00</w:t>
            </w:r>
          </w:p>
        </w:tc>
      </w:tr>
      <w:tr w:rsidR="00BE63F1" w:rsidRPr="00B108D8" w14:paraId="196E4D3B" w14:textId="77777777" w:rsidTr="00C97172">
        <w:tc>
          <w:tcPr>
            <w:cnfStyle w:val="001000000000" w:firstRow="0" w:lastRow="0" w:firstColumn="1" w:lastColumn="0" w:oddVBand="0" w:evenVBand="0" w:oddHBand="0" w:evenHBand="0" w:firstRowFirstColumn="0" w:firstRowLastColumn="0" w:lastRowFirstColumn="0" w:lastRowLastColumn="0"/>
            <w:tcW w:w="629" w:type="dxa"/>
          </w:tcPr>
          <w:p w14:paraId="091BB3AC" w14:textId="77777777" w:rsidR="00BE63F1" w:rsidRPr="00CA6B83" w:rsidRDefault="00BE63F1" w:rsidP="00CA6B83">
            <w:pPr>
              <w:keepNext/>
              <w:keepLines/>
              <w:widowControl w:val="0"/>
              <w:jc w:val="center"/>
              <w:rPr>
                <w:b w:val="0"/>
                <w:bCs w:val="0"/>
              </w:rPr>
            </w:pPr>
            <w:r w:rsidRPr="00CA6B83">
              <w:rPr>
                <w:b w:val="0"/>
                <w:bCs w:val="0"/>
              </w:rPr>
              <w:t>4</w:t>
            </w:r>
          </w:p>
        </w:tc>
        <w:tc>
          <w:tcPr>
            <w:tcW w:w="1421" w:type="dxa"/>
          </w:tcPr>
          <w:p w14:paraId="06C88FBA" w14:textId="08C52C32" w:rsidR="00BE63F1" w:rsidRPr="00B108D8" w:rsidRDefault="00BE63F1" w:rsidP="00CA6B83">
            <w:pPr>
              <w:keepNext/>
              <w:keepLines/>
              <w:widowControl w:val="0"/>
              <w:jc w:val="center"/>
              <w:cnfStyle w:val="000000000000" w:firstRow="0" w:lastRow="0" w:firstColumn="0" w:lastColumn="0" w:oddVBand="0" w:evenVBand="0" w:oddHBand="0" w:evenHBand="0" w:firstRowFirstColumn="0" w:firstRowLastColumn="0" w:lastRowFirstColumn="0" w:lastRowLastColumn="0"/>
            </w:pPr>
            <w:r w:rsidRPr="00B108D8">
              <w:t>01/01/20</w:t>
            </w:r>
            <w:r w:rsidR="00D32CCC" w:rsidRPr="00B108D8">
              <w:t>2</w:t>
            </w:r>
            <w:r w:rsidRPr="00B108D8">
              <w:t>8</w:t>
            </w:r>
          </w:p>
        </w:tc>
        <w:tc>
          <w:tcPr>
            <w:tcW w:w="1314" w:type="dxa"/>
          </w:tcPr>
          <w:p w14:paraId="573E7590" w14:textId="0F3D1E5C" w:rsidR="00BE63F1" w:rsidRPr="00B108D8" w:rsidRDefault="00BE63F1" w:rsidP="00CA6B83">
            <w:pPr>
              <w:keepNext/>
              <w:keepLines/>
              <w:widowControl w:val="0"/>
              <w:jc w:val="center"/>
              <w:cnfStyle w:val="000000000000" w:firstRow="0" w:lastRow="0" w:firstColumn="0" w:lastColumn="0" w:oddVBand="0" w:evenVBand="0" w:oddHBand="0" w:evenHBand="0" w:firstRowFirstColumn="0" w:firstRowLastColumn="0" w:lastRowFirstColumn="0" w:lastRowLastColumn="0"/>
            </w:pPr>
            <w:r w:rsidRPr="00B108D8">
              <w:t>31/12/20</w:t>
            </w:r>
            <w:r w:rsidR="00D32CCC" w:rsidRPr="00B108D8">
              <w:t>2</w:t>
            </w:r>
            <w:r w:rsidRPr="00B108D8">
              <w:t>8</w:t>
            </w:r>
          </w:p>
        </w:tc>
        <w:tc>
          <w:tcPr>
            <w:tcW w:w="4002" w:type="dxa"/>
          </w:tcPr>
          <w:p w14:paraId="1230E87C" w14:textId="77777777" w:rsidR="00BE63F1" w:rsidRPr="00B108D8" w:rsidRDefault="00BE63F1" w:rsidP="00CA6B83">
            <w:pPr>
              <w:keepNext/>
              <w:keepLines/>
              <w:widowControl w:val="0"/>
              <w:cnfStyle w:val="000000000000" w:firstRow="0" w:lastRow="0" w:firstColumn="0" w:lastColumn="0" w:oddVBand="0" w:evenVBand="0" w:oddHBand="0" w:evenHBand="0" w:firstRowFirstColumn="0" w:firstRowLastColumn="0" w:lastRowFirstColumn="0" w:lastRowLastColumn="0"/>
            </w:pPr>
            <w:r w:rsidRPr="00B108D8">
              <w:t xml:space="preserve">One exploration well </w:t>
            </w:r>
          </w:p>
        </w:tc>
        <w:tc>
          <w:tcPr>
            <w:tcW w:w="1650" w:type="dxa"/>
          </w:tcPr>
          <w:p w14:paraId="7953A859" w14:textId="77777777" w:rsidR="00BE63F1" w:rsidRPr="00B108D8" w:rsidRDefault="00BE63F1" w:rsidP="00CA6B83">
            <w:pPr>
              <w:keepNext/>
              <w:keepLines/>
              <w:widowControl w:val="0"/>
              <w:cnfStyle w:val="000000000000" w:firstRow="0" w:lastRow="0" w:firstColumn="0" w:lastColumn="0" w:oddVBand="0" w:evenVBand="0" w:oddHBand="0" w:evenHBand="0" w:firstRowFirstColumn="0" w:firstRowLastColumn="0" w:lastRowFirstColumn="0" w:lastRowLastColumn="0"/>
            </w:pPr>
            <w:r w:rsidRPr="00B108D8">
              <w:t>00,000,000</w:t>
            </w:r>
          </w:p>
        </w:tc>
      </w:tr>
      <w:tr w:rsidR="00BE63F1" w:rsidRPr="00B108D8" w14:paraId="7C2679B4" w14:textId="77777777" w:rsidTr="00C9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Pr>
          <w:p w14:paraId="37957D51" w14:textId="77777777" w:rsidR="00BE63F1" w:rsidRPr="00CA6B83" w:rsidRDefault="00BE63F1" w:rsidP="00CA6B83">
            <w:pPr>
              <w:keepNext/>
              <w:keepLines/>
              <w:widowControl w:val="0"/>
              <w:jc w:val="center"/>
              <w:rPr>
                <w:b w:val="0"/>
                <w:bCs w:val="0"/>
              </w:rPr>
            </w:pPr>
            <w:r w:rsidRPr="00CA6B83">
              <w:rPr>
                <w:b w:val="0"/>
                <w:bCs w:val="0"/>
              </w:rPr>
              <w:t>5</w:t>
            </w:r>
          </w:p>
        </w:tc>
        <w:tc>
          <w:tcPr>
            <w:tcW w:w="1421" w:type="dxa"/>
          </w:tcPr>
          <w:p w14:paraId="7CF55EB2" w14:textId="36C258A2" w:rsidR="00BE63F1" w:rsidRPr="00B108D8" w:rsidRDefault="00BE63F1" w:rsidP="00CA6B83">
            <w:pPr>
              <w:keepNext/>
              <w:keepLines/>
              <w:widowControl w:val="0"/>
              <w:jc w:val="center"/>
              <w:cnfStyle w:val="000000100000" w:firstRow="0" w:lastRow="0" w:firstColumn="0" w:lastColumn="0" w:oddVBand="0" w:evenVBand="0" w:oddHBand="1" w:evenHBand="0" w:firstRowFirstColumn="0" w:firstRowLastColumn="0" w:lastRowFirstColumn="0" w:lastRowLastColumn="0"/>
            </w:pPr>
            <w:r w:rsidRPr="00B108D8">
              <w:t>01/01/20</w:t>
            </w:r>
            <w:r w:rsidR="00D32CCC" w:rsidRPr="00B108D8">
              <w:t>2</w:t>
            </w:r>
            <w:r w:rsidRPr="00B108D8">
              <w:t>9</w:t>
            </w:r>
          </w:p>
        </w:tc>
        <w:tc>
          <w:tcPr>
            <w:tcW w:w="1314" w:type="dxa"/>
          </w:tcPr>
          <w:p w14:paraId="6C3EBD6F" w14:textId="58CF14F1" w:rsidR="00BE63F1" w:rsidRPr="00B108D8" w:rsidRDefault="00BE63F1" w:rsidP="00CA6B83">
            <w:pPr>
              <w:keepNext/>
              <w:keepLines/>
              <w:widowControl w:val="0"/>
              <w:jc w:val="center"/>
              <w:cnfStyle w:val="000000100000" w:firstRow="0" w:lastRow="0" w:firstColumn="0" w:lastColumn="0" w:oddVBand="0" w:evenVBand="0" w:oddHBand="1" w:evenHBand="0" w:firstRowFirstColumn="0" w:firstRowLastColumn="0" w:lastRowFirstColumn="0" w:lastRowLastColumn="0"/>
            </w:pPr>
            <w:r w:rsidRPr="00B108D8">
              <w:t>31/12/20</w:t>
            </w:r>
            <w:r w:rsidR="00D32CCC" w:rsidRPr="00B108D8">
              <w:t>2</w:t>
            </w:r>
            <w:r w:rsidRPr="00B108D8">
              <w:t>9</w:t>
            </w:r>
          </w:p>
        </w:tc>
        <w:tc>
          <w:tcPr>
            <w:tcW w:w="4002" w:type="dxa"/>
          </w:tcPr>
          <w:p w14:paraId="3DF64562" w14:textId="77777777" w:rsidR="00BE63F1" w:rsidRPr="00B108D8" w:rsidRDefault="00BE63F1" w:rsidP="00CA6B83">
            <w:pPr>
              <w:keepNext/>
              <w:keepLines/>
              <w:widowControl w:val="0"/>
              <w:cnfStyle w:val="000000100000" w:firstRow="0" w:lastRow="0" w:firstColumn="0" w:lastColumn="0" w:oddVBand="0" w:evenVBand="0" w:oddHBand="1" w:evenHBand="0" w:firstRowFirstColumn="0" w:firstRowLastColumn="0" w:lastRowFirstColumn="0" w:lastRowLastColumn="0"/>
            </w:pPr>
            <w:r w:rsidRPr="00B108D8">
              <w:t>Geophysical and geological studies including prospect and lead maturation studies</w:t>
            </w:r>
          </w:p>
        </w:tc>
        <w:tc>
          <w:tcPr>
            <w:tcW w:w="1650" w:type="dxa"/>
          </w:tcPr>
          <w:p w14:paraId="2BD09665" w14:textId="77777777" w:rsidR="00BE63F1" w:rsidRPr="00B108D8" w:rsidRDefault="00BE63F1" w:rsidP="00CA6B83">
            <w:pPr>
              <w:keepNext/>
              <w:keepLines/>
              <w:widowControl w:val="0"/>
              <w:cnfStyle w:val="000000100000" w:firstRow="0" w:lastRow="0" w:firstColumn="0" w:lastColumn="0" w:oddVBand="0" w:evenVBand="0" w:oddHBand="1" w:evenHBand="0" w:firstRowFirstColumn="0" w:firstRowLastColumn="0" w:lastRowFirstColumn="0" w:lastRowLastColumn="0"/>
            </w:pPr>
            <w:r w:rsidRPr="00B108D8">
              <w:t>0,000,000</w:t>
            </w:r>
          </w:p>
        </w:tc>
      </w:tr>
    </w:tbl>
    <w:p w14:paraId="6B17E680" w14:textId="363CC422" w:rsidR="00903913" w:rsidRDefault="00BE63F1" w:rsidP="00DC18F9">
      <w:pPr>
        <w:pStyle w:val="Heading3"/>
      </w:pPr>
      <w:bookmarkStart w:id="311" w:name="_Toc183622580"/>
      <w:bookmarkStart w:id="312" w:name="_Toc193955376"/>
      <w:r>
        <w:t>T</w:t>
      </w:r>
      <w:r w:rsidR="00903913">
        <w:t>echnical and financial capacity</w:t>
      </w:r>
      <w:bookmarkEnd w:id="307"/>
      <w:bookmarkEnd w:id="308"/>
      <w:bookmarkEnd w:id="309"/>
      <w:bookmarkEnd w:id="310"/>
      <w:bookmarkEnd w:id="311"/>
      <w:bookmarkEnd w:id="312"/>
    </w:p>
    <w:p w14:paraId="0EF29CF0" w14:textId="0993E902" w:rsidR="00903913" w:rsidRPr="00EE213D" w:rsidRDefault="00903913" w:rsidP="00D36EFD">
      <w:pPr>
        <w:pStyle w:val="ListParagraph"/>
        <w:numPr>
          <w:ilvl w:val="1"/>
          <w:numId w:val="12"/>
        </w:numPr>
        <w:ind w:left="851" w:hanging="716"/>
      </w:pPr>
      <w:r w:rsidRPr="00EE213D">
        <w:t xml:space="preserve">The decision to offer the renewal of a petroleum exploration permit, must </w:t>
      </w:r>
      <w:proofErr w:type="gramStart"/>
      <w:r w:rsidRPr="00EE213D">
        <w:t>take into account</w:t>
      </w:r>
      <w:proofErr w:type="gramEnd"/>
      <w:r w:rsidRPr="00EE213D">
        <w:t xml:space="preserve"> whether the technical advice and financial resources available to the applicant are sufficient to:</w:t>
      </w:r>
    </w:p>
    <w:p w14:paraId="0C7B4DFA" w14:textId="0A5EA462" w:rsidR="00903913" w:rsidRPr="001B0C86" w:rsidRDefault="00903913" w:rsidP="00D36EFD">
      <w:pPr>
        <w:pStyle w:val="ListParagraph"/>
        <w:numPr>
          <w:ilvl w:val="2"/>
          <w:numId w:val="12"/>
        </w:numPr>
        <w:ind w:hanging="373"/>
      </w:pPr>
      <w:r w:rsidRPr="001B0C86">
        <w:t>carry out the operations and works that will be or are authorised by the permit</w:t>
      </w:r>
    </w:p>
    <w:p w14:paraId="716B186E" w14:textId="77777777" w:rsidR="00903913" w:rsidRPr="001B0C86" w:rsidRDefault="00903913" w:rsidP="00D36EFD">
      <w:pPr>
        <w:pStyle w:val="ListParagraph"/>
        <w:numPr>
          <w:ilvl w:val="2"/>
          <w:numId w:val="12"/>
        </w:numPr>
        <w:ind w:hanging="373"/>
      </w:pPr>
      <w:r w:rsidRPr="001B0C86">
        <w:t>discharge the obligations that will be imposed under the OPGGS Act, or a legislative instrument under the OPGGS Act, in relation to the permit.</w:t>
      </w:r>
    </w:p>
    <w:p w14:paraId="34951F09" w14:textId="77777777" w:rsidR="00BE63F1" w:rsidRDefault="00903913" w:rsidP="00D36EFD">
      <w:pPr>
        <w:pStyle w:val="ListParagraph"/>
        <w:numPr>
          <w:ilvl w:val="1"/>
          <w:numId w:val="12"/>
        </w:numPr>
        <w:ind w:left="851" w:hanging="716"/>
      </w:pPr>
      <w:r w:rsidRPr="00EE213D">
        <w:t>Applicants should include with their application any relevant information to demonstrate sufficient technical advice and financial resources available</w:t>
      </w:r>
      <w:r w:rsidR="00BE63F1">
        <w:t>.</w:t>
      </w:r>
    </w:p>
    <w:p w14:paraId="57D46579" w14:textId="03051F15" w:rsidR="00903913" w:rsidRPr="00EE213D" w:rsidRDefault="00BE63F1" w:rsidP="00BE63F1">
      <w:pPr>
        <w:pStyle w:val="Calloutbox"/>
      </w:pPr>
      <w:r>
        <w:t>R</w:t>
      </w:r>
      <w:r w:rsidR="00903913" w:rsidRPr="00EE213D">
        <w:t xml:space="preserve">efer to the </w:t>
      </w:r>
      <w:hyperlink r:id="rId55" w:history="1">
        <w:r w:rsidR="00903913" w:rsidRPr="00541A9E">
          <w:rPr>
            <w:rStyle w:val="Hyperlink"/>
          </w:rPr>
          <w:t xml:space="preserve">Guideline: Applicant </w:t>
        </w:r>
        <w:r w:rsidR="00541A9E" w:rsidRPr="00541A9E">
          <w:rPr>
            <w:rStyle w:val="Hyperlink"/>
          </w:rPr>
          <w:t>S</w:t>
        </w:r>
        <w:r w:rsidR="00903913" w:rsidRPr="00541A9E">
          <w:rPr>
            <w:rStyle w:val="Hyperlink"/>
          </w:rPr>
          <w:t>uitability</w:t>
        </w:r>
      </w:hyperlink>
      <w:r w:rsidR="00903913" w:rsidRPr="00EE213D">
        <w:t xml:space="preserve"> and section </w:t>
      </w:r>
      <w:r w:rsidR="00086495">
        <w:fldChar w:fldCharType="begin"/>
      </w:r>
      <w:r w:rsidR="00086495">
        <w:instrText xml:space="preserve"> REF _Ref177050331 \r \h </w:instrText>
      </w:r>
      <w:r w:rsidR="00086495">
        <w:fldChar w:fldCharType="separate"/>
      </w:r>
      <w:r w:rsidR="00D95F2F">
        <w:t>1</w:t>
      </w:r>
      <w:r w:rsidR="00086495">
        <w:fldChar w:fldCharType="end"/>
      </w:r>
      <w:r w:rsidR="00086495">
        <w:t>.</w:t>
      </w:r>
    </w:p>
    <w:p w14:paraId="0A45BE8F" w14:textId="042F1B29" w:rsidR="00903913" w:rsidRPr="00D94590" w:rsidRDefault="00903913" w:rsidP="00DC18F9">
      <w:pPr>
        <w:pStyle w:val="Heading3"/>
      </w:pPr>
      <w:bookmarkStart w:id="313" w:name="_Toc81487658"/>
      <w:bookmarkStart w:id="314" w:name="_Toc83042940"/>
      <w:bookmarkStart w:id="315" w:name="_Toc83395053"/>
      <w:bookmarkStart w:id="316" w:name="_Toc90044337"/>
      <w:bookmarkStart w:id="317" w:name="_Toc183622581"/>
      <w:bookmarkStart w:id="318" w:name="_Toc193955377"/>
      <w:r>
        <w:t>Refusal to renew</w:t>
      </w:r>
      <w:bookmarkEnd w:id="313"/>
      <w:bookmarkEnd w:id="314"/>
      <w:bookmarkEnd w:id="315"/>
      <w:bookmarkEnd w:id="316"/>
      <w:bookmarkEnd w:id="317"/>
      <w:bookmarkEnd w:id="318"/>
    </w:p>
    <w:p w14:paraId="30AC2122" w14:textId="77777777" w:rsidR="00E92861" w:rsidRDefault="00903913" w:rsidP="00D36EFD">
      <w:pPr>
        <w:pStyle w:val="ListParagraph"/>
        <w:numPr>
          <w:ilvl w:val="1"/>
          <w:numId w:val="12"/>
        </w:numPr>
        <w:ind w:left="851" w:hanging="716"/>
      </w:pPr>
      <w:r w:rsidRPr="00EE213D">
        <w:t xml:space="preserve">Section 126 of the OPGGS Act </w:t>
      </w:r>
      <w:r w:rsidR="00EF7729">
        <w:t>outlines the grounds</w:t>
      </w:r>
      <w:r w:rsidR="00E92861">
        <w:t xml:space="preserve"> for refusal to renew an exploration permit.</w:t>
      </w:r>
    </w:p>
    <w:p w14:paraId="76D400CE" w14:textId="44DF0FE5" w:rsidR="00B439BE" w:rsidRDefault="00BA6CC1" w:rsidP="00D36EFD">
      <w:pPr>
        <w:pStyle w:val="ListParagraph"/>
        <w:ind w:left="1224"/>
      </w:pPr>
      <w:r>
        <w:t>Section 126(3) provides that t</w:t>
      </w:r>
      <w:r w:rsidR="00120C14">
        <w:t>he Joint Authority</w:t>
      </w:r>
      <w:r w:rsidR="00903913" w:rsidRPr="00EE213D">
        <w:t xml:space="preserve"> must refuse to renew a permit if</w:t>
      </w:r>
      <w:r>
        <w:t xml:space="preserve"> the</w:t>
      </w:r>
      <w:r w:rsidR="00903913" w:rsidRPr="001B0C86">
        <w:t xml:space="preserve"> Joint Authority is not satisfied </w:t>
      </w:r>
      <w:r w:rsidR="00B439BE">
        <w:t>that</w:t>
      </w:r>
      <w:r w:rsidR="00B439BE" w:rsidRPr="001B0C86">
        <w:t xml:space="preserve"> </w:t>
      </w:r>
      <w:r w:rsidR="00903913" w:rsidRPr="001B0C86">
        <w:t>the technical advice and financial resources available to the applicant</w:t>
      </w:r>
      <w:r w:rsidR="00B439BE">
        <w:t xml:space="preserve"> are sufficient to</w:t>
      </w:r>
      <w:r w:rsidR="00903913" w:rsidRPr="001B0C86">
        <w:t xml:space="preserve">; </w:t>
      </w:r>
    </w:p>
    <w:p w14:paraId="241C398A" w14:textId="77777777" w:rsidR="00B439BE" w:rsidRDefault="00B439BE" w:rsidP="00D36EFD">
      <w:pPr>
        <w:pStyle w:val="ListParagraph"/>
        <w:numPr>
          <w:ilvl w:val="3"/>
          <w:numId w:val="12"/>
        </w:numPr>
      </w:pPr>
      <w:r>
        <w:t>carry out the operations and works that will be authorised by the permit; and</w:t>
      </w:r>
    </w:p>
    <w:p w14:paraId="5294E471" w14:textId="5CB0C14D" w:rsidR="00BA6CC1" w:rsidRDefault="00B439BE" w:rsidP="002461AD">
      <w:pPr>
        <w:pStyle w:val="ListParagraph"/>
        <w:numPr>
          <w:ilvl w:val="3"/>
          <w:numId w:val="12"/>
        </w:numPr>
      </w:pPr>
      <w:r>
        <w:t>discharge the obligations that will be imposed under the Act, or a legislative instrument made under the Act, in relation to the permit.</w:t>
      </w:r>
    </w:p>
    <w:p w14:paraId="0E17C382" w14:textId="46FD77F8" w:rsidR="00BA6CC1" w:rsidRDefault="00BA6CC1" w:rsidP="003A11D4">
      <w:pPr>
        <w:pStyle w:val="ListParagraph"/>
        <w:numPr>
          <w:ilvl w:val="1"/>
          <w:numId w:val="12"/>
        </w:numPr>
        <w:ind w:left="851" w:hanging="716"/>
      </w:pPr>
      <w:r>
        <w:t>The Joint Authority must refuse to renew the permit if:</w:t>
      </w:r>
    </w:p>
    <w:p w14:paraId="2310FC09" w14:textId="56820B5C" w:rsidR="00BA6CC1" w:rsidRDefault="00BA6CC1" w:rsidP="0094700A">
      <w:pPr>
        <w:pStyle w:val="ListParagraph"/>
        <w:ind w:left="850"/>
      </w:pPr>
      <w:r>
        <w:t>a)</w:t>
      </w:r>
      <w:r>
        <w:tab/>
        <w:t>any of:</w:t>
      </w:r>
    </w:p>
    <w:p w14:paraId="4D11033B" w14:textId="545D9762" w:rsidR="004572D7" w:rsidRPr="004572D7" w:rsidRDefault="004572D7" w:rsidP="004A33E0">
      <w:pPr>
        <w:pStyle w:val="ListParagraph"/>
        <w:numPr>
          <w:ilvl w:val="3"/>
          <w:numId w:val="38"/>
        </w:numPr>
      </w:pPr>
      <w:r w:rsidRPr="004572D7">
        <w:t>the conditions to which the petroleum exploration permit is, or has from time to time been, subject; or</w:t>
      </w:r>
    </w:p>
    <w:p w14:paraId="20B5BAA3" w14:textId="649793EB" w:rsidR="004572D7" w:rsidRPr="004572D7" w:rsidRDefault="004572D7" w:rsidP="004A33E0">
      <w:pPr>
        <w:pStyle w:val="ListParagraph"/>
        <w:numPr>
          <w:ilvl w:val="3"/>
          <w:numId w:val="38"/>
        </w:numPr>
      </w:pPr>
      <w:r w:rsidRPr="004572D7">
        <w:lastRenderedPageBreak/>
        <w:t>the provisions of this Chapter, Chapter 4, Chapter 5A, Chapter 6 and Part 7.1; or</w:t>
      </w:r>
    </w:p>
    <w:p w14:paraId="76C5CEA3" w14:textId="34E1A1C9" w:rsidR="004572D7" w:rsidRPr="004572D7" w:rsidRDefault="004572D7" w:rsidP="004A33E0">
      <w:pPr>
        <w:pStyle w:val="ListParagraph"/>
        <w:numPr>
          <w:ilvl w:val="3"/>
          <w:numId w:val="38"/>
        </w:numPr>
      </w:pPr>
      <w:r w:rsidRPr="004572D7">
        <w:t>the provisions of the regulations;</w:t>
      </w:r>
    </w:p>
    <w:p w14:paraId="1D9531BD" w14:textId="77777777" w:rsidR="004572D7" w:rsidRPr="004572D7" w:rsidRDefault="004572D7" w:rsidP="00D36EFD">
      <w:pPr>
        <w:ind w:left="720"/>
      </w:pPr>
      <w:r w:rsidRPr="004572D7">
        <w:t>  have not been complied with; and</w:t>
      </w:r>
    </w:p>
    <w:p w14:paraId="32401036" w14:textId="77777777" w:rsidR="00907D73" w:rsidRDefault="004572D7" w:rsidP="00907D73">
      <w:pPr>
        <w:pStyle w:val="ListParagraph"/>
        <w:numPr>
          <w:ilvl w:val="2"/>
          <w:numId w:val="12"/>
        </w:numPr>
        <w:ind w:hanging="373"/>
      </w:pPr>
      <w:r w:rsidRPr="004572D7">
        <w:t> the Joint Authority is not satisfied that there are sufficient grounds to warrant the granting of the renewal of the permit</w:t>
      </w:r>
      <w:r>
        <w:t>.</w:t>
      </w:r>
    </w:p>
    <w:p w14:paraId="10C77CE5" w14:textId="11598495" w:rsidR="007507EE" w:rsidRDefault="00903913" w:rsidP="00907D73">
      <w:pPr>
        <w:pStyle w:val="ListParagraph"/>
        <w:numPr>
          <w:ilvl w:val="1"/>
          <w:numId w:val="12"/>
        </w:numPr>
        <w:ind w:left="851" w:hanging="716"/>
      </w:pPr>
      <w:r w:rsidRPr="00C97350">
        <w:t xml:space="preserve">Where the Joint Authority intends to refuse to renew an exploration permit, consultation procedures apply under </w:t>
      </w:r>
      <w:hyperlink r:id="rId56" w:tooltip="LInk to Act" w:history="1">
        <w:r w:rsidRPr="00C97350">
          <w:t>section 262 of the OPGGSA</w:t>
        </w:r>
      </w:hyperlink>
      <w:r w:rsidRPr="00C97350">
        <w:t>.</w:t>
      </w:r>
      <w:bookmarkStart w:id="319" w:name="_Toc173153881"/>
      <w:bookmarkStart w:id="320" w:name="_Toc173153882"/>
      <w:bookmarkStart w:id="321" w:name="_Toc173153883"/>
      <w:bookmarkStart w:id="322" w:name="_Toc173153884"/>
      <w:bookmarkStart w:id="323" w:name="_Toc173153885"/>
      <w:bookmarkStart w:id="324" w:name="_Toc173153886"/>
      <w:bookmarkStart w:id="325" w:name="_Toc173153887"/>
      <w:bookmarkStart w:id="326" w:name="_Toc173153888"/>
      <w:bookmarkStart w:id="327" w:name="_Toc173153889"/>
      <w:bookmarkStart w:id="328" w:name="_Toc173153890"/>
      <w:bookmarkStart w:id="329" w:name="_Toc173153891"/>
      <w:bookmarkStart w:id="330" w:name="_Toc173153892"/>
      <w:bookmarkStart w:id="331" w:name="_Toc173153893"/>
      <w:bookmarkStart w:id="332" w:name="_Toc173153894"/>
      <w:bookmarkStart w:id="333" w:name="_Toc173153895"/>
      <w:bookmarkStart w:id="334" w:name="_Toc173153896"/>
      <w:bookmarkStart w:id="335" w:name="_Toc173153897"/>
      <w:bookmarkStart w:id="336" w:name="_Toc17315389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0D71F6F3" w14:textId="609F4958" w:rsidR="007507EE" w:rsidRDefault="007507EE" w:rsidP="00907D73">
      <w:pPr>
        <w:pStyle w:val="Heading2"/>
        <w:numPr>
          <w:ilvl w:val="0"/>
          <w:numId w:val="12"/>
        </w:numPr>
      </w:pPr>
      <w:bookmarkStart w:id="337" w:name="_Toc183622582"/>
      <w:bookmarkStart w:id="338" w:name="_Toc193955378"/>
      <w:r>
        <w:lastRenderedPageBreak/>
        <w:t>Table of revisions</w:t>
      </w:r>
      <w:bookmarkStart w:id="339" w:name="_Hlk158040788"/>
      <w:bookmarkEnd w:id="337"/>
      <w:bookmarkEnd w:id="338"/>
    </w:p>
    <w:tbl>
      <w:tblPr>
        <w:tblStyle w:val="ListTable3-Accent4"/>
        <w:tblW w:w="9209" w:type="dxa"/>
        <w:tblLook w:val="04A0" w:firstRow="1" w:lastRow="0" w:firstColumn="1" w:lastColumn="0" w:noHBand="0" w:noVBand="1"/>
      </w:tblPr>
      <w:tblGrid>
        <w:gridCol w:w="1721"/>
        <w:gridCol w:w="1038"/>
        <w:gridCol w:w="6450"/>
      </w:tblGrid>
      <w:tr w:rsidR="0052026C" w:rsidRPr="00B108D8" w14:paraId="4BD5A99C" w14:textId="77777777" w:rsidTr="00C971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1" w:type="dxa"/>
          </w:tcPr>
          <w:p w14:paraId="7FA17898" w14:textId="77777777" w:rsidR="0052026C" w:rsidRPr="00C97172" w:rsidRDefault="0052026C" w:rsidP="004168D9">
            <w:pPr>
              <w:rPr>
                <w:b w:val="0"/>
                <w:color w:val="FFFFFF" w:themeColor="background1"/>
              </w:rPr>
            </w:pPr>
            <w:r w:rsidRPr="00C97172">
              <w:rPr>
                <w:color w:val="FFFFFF" w:themeColor="background1"/>
              </w:rPr>
              <w:t>Date of commencement</w:t>
            </w:r>
          </w:p>
        </w:tc>
        <w:tc>
          <w:tcPr>
            <w:tcW w:w="1038" w:type="dxa"/>
          </w:tcPr>
          <w:p w14:paraId="709C5108" w14:textId="77777777" w:rsidR="0052026C" w:rsidRPr="00C97172" w:rsidRDefault="0052026C" w:rsidP="004168D9">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C97172">
              <w:rPr>
                <w:color w:val="FFFFFF" w:themeColor="background1"/>
              </w:rPr>
              <w:t>Version no.</w:t>
            </w:r>
          </w:p>
        </w:tc>
        <w:tc>
          <w:tcPr>
            <w:tcW w:w="6450" w:type="dxa"/>
          </w:tcPr>
          <w:p w14:paraId="37DD9CD0" w14:textId="77777777" w:rsidR="0052026C" w:rsidRPr="00C97172" w:rsidRDefault="00427C62" w:rsidP="004168D9">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C97172">
              <w:rPr>
                <w:color w:val="FFFFFF" w:themeColor="background1"/>
              </w:rPr>
              <w:t>Purpose/c</w:t>
            </w:r>
            <w:r w:rsidR="0052026C" w:rsidRPr="00C97172">
              <w:rPr>
                <w:color w:val="FFFFFF" w:themeColor="background1"/>
              </w:rPr>
              <w:t>hanges made</w:t>
            </w:r>
          </w:p>
        </w:tc>
      </w:tr>
      <w:tr w:rsidR="002C1468" w:rsidRPr="00B108D8" w14:paraId="51EFA72A" w14:textId="77777777" w:rsidTr="00C9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14:paraId="5ED89B8A" w14:textId="643CEC5A" w:rsidR="002C1468" w:rsidRPr="00C95C38" w:rsidRDefault="00BD71A8" w:rsidP="00B108D8">
            <w:pPr>
              <w:jc w:val="center"/>
            </w:pPr>
            <w:r w:rsidRPr="00C95C38">
              <w:t>December 2025</w:t>
            </w:r>
          </w:p>
        </w:tc>
        <w:tc>
          <w:tcPr>
            <w:tcW w:w="1038" w:type="dxa"/>
          </w:tcPr>
          <w:p w14:paraId="36D3DD1E" w14:textId="77777777" w:rsidR="002C1468" w:rsidRPr="00C95C38" w:rsidRDefault="002C1468" w:rsidP="00B108D8">
            <w:pPr>
              <w:jc w:val="center"/>
              <w:cnfStyle w:val="000000100000" w:firstRow="0" w:lastRow="0" w:firstColumn="0" w:lastColumn="0" w:oddVBand="0" w:evenVBand="0" w:oddHBand="1" w:evenHBand="0" w:firstRowFirstColumn="0" w:firstRowLastColumn="0" w:lastRowFirstColumn="0" w:lastRowLastColumn="0"/>
            </w:pPr>
            <w:r w:rsidRPr="00C95C38">
              <w:t>11</w:t>
            </w:r>
          </w:p>
        </w:tc>
        <w:tc>
          <w:tcPr>
            <w:tcW w:w="6450" w:type="dxa"/>
          </w:tcPr>
          <w:p w14:paraId="78D69585" w14:textId="77777777" w:rsidR="002C1468" w:rsidRPr="00C95C38" w:rsidRDefault="002C1468" w:rsidP="007507EE">
            <w:pPr>
              <w:pStyle w:val="ListParagraph"/>
              <w:numPr>
                <w:ilvl w:val="0"/>
                <w:numId w:val="16"/>
              </w:numPr>
              <w:ind w:left="392"/>
              <w:cnfStyle w:val="000000100000" w:firstRow="0" w:lastRow="0" w:firstColumn="0" w:lastColumn="0" w:oddVBand="0" w:evenVBand="0" w:oddHBand="1" w:evenHBand="0" w:firstRowFirstColumn="0" w:firstRowLastColumn="0" w:lastRowFirstColumn="0" w:lastRowLastColumn="0"/>
            </w:pPr>
            <w:r w:rsidRPr="00C95C38">
              <w:t>Re-formatted to new departmental template.</w:t>
            </w:r>
          </w:p>
          <w:p w14:paraId="5B331669" w14:textId="77777777" w:rsidR="002C1468" w:rsidRPr="00C95C38" w:rsidRDefault="002C1468" w:rsidP="007507EE">
            <w:pPr>
              <w:pStyle w:val="ListParagraph"/>
              <w:numPr>
                <w:ilvl w:val="0"/>
                <w:numId w:val="16"/>
              </w:numPr>
              <w:ind w:left="392"/>
              <w:cnfStyle w:val="000000100000" w:firstRow="0" w:lastRow="0" w:firstColumn="0" w:lastColumn="0" w:oddVBand="0" w:evenVBand="0" w:oddHBand="1" w:evenHBand="0" w:firstRowFirstColumn="0" w:firstRowLastColumn="0" w:lastRowFirstColumn="0" w:lastRowLastColumn="0"/>
            </w:pPr>
            <w:r w:rsidRPr="00C95C38">
              <w:t>Updates to reflect change of policies and alignment with the Future Gas Strategy.</w:t>
            </w:r>
          </w:p>
        </w:tc>
      </w:tr>
      <w:tr w:rsidR="00EC5280" w:rsidRPr="00B108D8" w14:paraId="27D0C1C4" w14:textId="77777777" w:rsidTr="00C97172">
        <w:tc>
          <w:tcPr>
            <w:cnfStyle w:val="001000000000" w:firstRow="0" w:lastRow="0" w:firstColumn="1" w:lastColumn="0" w:oddVBand="0" w:evenVBand="0" w:oddHBand="0" w:evenHBand="0" w:firstRowFirstColumn="0" w:firstRowLastColumn="0" w:lastRowFirstColumn="0" w:lastRowLastColumn="0"/>
            <w:tcW w:w="1721" w:type="dxa"/>
          </w:tcPr>
          <w:p w14:paraId="71ECDB1C" w14:textId="77777777" w:rsidR="00EC5280" w:rsidRPr="00B108D8" w:rsidRDefault="00EC5280" w:rsidP="00B108D8">
            <w:pPr>
              <w:jc w:val="center"/>
              <w:rPr>
                <w:bCs w:val="0"/>
              </w:rPr>
            </w:pPr>
            <w:r w:rsidRPr="00B108D8">
              <w:t>July 2022</w:t>
            </w:r>
          </w:p>
        </w:tc>
        <w:tc>
          <w:tcPr>
            <w:tcW w:w="1038" w:type="dxa"/>
          </w:tcPr>
          <w:p w14:paraId="269EADBF" w14:textId="77777777" w:rsidR="00EC5280" w:rsidRPr="00B108D8" w:rsidRDefault="00EC5280" w:rsidP="00B108D8">
            <w:pPr>
              <w:jc w:val="center"/>
              <w:cnfStyle w:val="000000000000" w:firstRow="0" w:lastRow="0" w:firstColumn="0" w:lastColumn="0" w:oddVBand="0" w:evenVBand="0" w:oddHBand="0" w:evenHBand="0" w:firstRowFirstColumn="0" w:firstRowLastColumn="0" w:lastRowFirstColumn="0" w:lastRowLastColumn="0"/>
            </w:pPr>
            <w:r w:rsidRPr="00B108D8">
              <w:t>10</w:t>
            </w:r>
          </w:p>
        </w:tc>
        <w:tc>
          <w:tcPr>
            <w:tcW w:w="6450" w:type="dxa"/>
          </w:tcPr>
          <w:p w14:paraId="307C3382" w14:textId="77777777" w:rsidR="00EC5280" w:rsidRPr="00B108D8" w:rsidRDefault="0010469E" w:rsidP="007507EE">
            <w:pPr>
              <w:pStyle w:val="ListParagraph"/>
              <w:numPr>
                <w:ilvl w:val="0"/>
                <w:numId w:val="16"/>
              </w:numPr>
              <w:ind w:left="392"/>
              <w:cnfStyle w:val="000000000000" w:firstRow="0" w:lastRow="0" w:firstColumn="0" w:lastColumn="0" w:oddVBand="0" w:evenVBand="0" w:oddHBand="0" w:evenHBand="0" w:firstRowFirstColumn="0" w:firstRowLastColumn="0" w:lastRowFirstColumn="0" w:lastRowLastColumn="0"/>
            </w:pPr>
            <w:r w:rsidRPr="00B108D8">
              <w:t>Update to new department name.</w:t>
            </w:r>
          </w:p>
        </w:tc>
      </w:tr>
      <w:tr w:rsidR="0052026C" w:rsidRPr="00B108D8" w14:paraId="367B850F" w14:textId="77777777" w:rsidTr="00C9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14:paraId="0EA6573F" w14:textId="77777777" w:rsidR="0052026C" w:rsidRPr="00B108D8" w:rsidRDefault="0010469E" w:rsidP="00B108D8">
            <w:pPr>
              <w:jc w:val="center"/>
              <w:rPr>
                <w:bCs w:val="0"/>
              </w:rPr>
            </w:pPr>
            <w:r w:rsidRPr="00B108D8">
              <w:t>2 March</w:t>
            </w:r>
            <w:r w:rsidR="0052026C" w:rsidRPr="00B108D8">
              <w:t xml:space="preserve"> 2022</w:t>
            </w:r>
          </w:p>
        </w:tc>
        <w:tc>
          <w:tcPr>
            <w:tcW w:w="1038" w:type="dxa"/>
          </w:tcPr>
          <w:p w14:paraId="1E6DB39A" w14:textId="77777777" w:rsidR="0052026C" w:rsidRPr="00B108D8" w:rsidRDefault="00EC5280" w:rsidP="00B108D8">
            <w:pPr>
              <w:jc w:val="center"/>
              <w:cnfStyle w:val="000000100000" w:firstRow="0" w:lastRow="0" w:firstColumn="0" w:lastColumn="0" w:oddVBand="0" w:evenVBand="0" w:oddHBand="1" w:evenHBand="0" w:firstRowFirstColumn="0" w:firstRowLastColumn="0" w:lastRowFirstColumn="0" w:lastRowLastColumn="0"/>
            </w:pPr>
            <w:r w:rsidRPr="00B108D8">
              <w:t>9</w:t>
            </w:r>
          </w:p>
        </w:tc>
        <w:tc>
          <w:tcPr>
            <w:tcW w:w="6450" w:type="dxa"/>
          </w:tcPr>
          <w:p w14:paraId="718FD8C2" w14:textId="77777777" w:rsidR="0052026C" w:rsidRPr="00B108D8" w:rsidRDefault="0010469E" w:rsidP="007507EE">
            <w:pPr>
              <w:pStyle w:val="ListParagraph"/>
              <w:numPr>
                <w:ilvl w:val="0"/>
                <w:numId w:val="16"/>
              </w:numPr>
              <w:ind w:left="392"/>
              <w:cnfStyle w:val="000000100000" w:firstRow="0" w:lastRow="0" w:firstColumn="0" w:lastColumn="0" w:oddVBand="0" w:evenVBand="0" w:oddHBand="1" w:evenHBand="0" w:firstRowFirstColumn="0" w:firstRowLastColumn="0" w:lastRowFirstColumn="0" w:lastRowLastColumn="0"/>
            </w:pPr>
            <w:r w:rsidRPr="00B108D8">
              <w:t xml:space="preserve">Update to reflect amendments from the </w:t>
            </w:r>
            <w:bookmarkStart w:id="340" w:name="_Hlk72306250"/>
            <w:r w:rsidRPr="00B108D8">
              <w:rPr>
                <w:i/>
                <w:iCs/>
              </w:rPr>
              <w:t>Offshore Petroleum and Greenhouse Gas Storage Amendment (Titles Administration and Other Measures) Act 2021</w:t>
            </w:r>
            <w:bookmarkEnd w:id="340"/>
            <w:r w:rsidRPr="00B108D8">
              <w:t>.</w:t>
            </w:r>
          </w:p>
        </w:tc>
      </w:tr>
      <w:tr w:rsidR="0052026C" w:rsidRPr="00B108D8" w14:paraId="5B9D7014" w14:textId="77777777" w:rsidTr="00C97172">
        <w:tc>
          <w:tcPr>
            <w:cnfStyle w:val="001000000000" w:firstRow="0" w:lastRow="0" w:firstColumn="1" w:lastColumn="0" w:oddVBand="0" w:evenVBand="0" w:oddHBand="0" w:evenHBand="0" w:firstRowFirstColumn="0" w:firstRowLastColumn="0" w:lastRowFirstColumn="0" w:lastRowLastColumn="0"/>
            <w:tcW w:w="1721" w:type="dxa"/>
          </w:tcPr>
          <w:p w14:paraId="3BAC7095" w14:textId="77777777" w:rsidR="0052026C" w:rsidRPr="00B108D8" w:rsidRDefault="0052026C" w:rsidP="00B108D8">
            <w:pPr>
              <w:jc w:val="center"/>
              <w:rPr>
                <w:bCs w:val="0"/>
              </w:rPr>
            </w:pPr>
            <w:r w:rsidRPr="00B108D8">
              <w:t>February 2020</w:t>
            </w:r>
          </w:p>
        </w:tc>
        <w:tc>
          <w:tcPr>
            <w:tcW w:w="1038" w:type="dxa"/>
          </w:tcPr>
          <w:p w14:paraId="6167DFB1" w14:textId="77777777" w:rsidR="0052026C" w:rsidRPr="00B108D8" w:rsidRDefault="00EC5280" w:rsidP="00B108D8">
            <w:pPr>
              <w:jc w:val="center"/>
              <w:cnfStyle w:val="000000000000" w:firstRow="0" w:lastRow="0" w:firstColumn="0" w:lastColumn="0" w:oddVBand="0" w:evenVBand="0" w:oddHBand="0" w:evenHBand="0" w:firstRowFirstColumn="0" w:firstRowLastColumn="0" w:lastRowFirstColumn="0" w:lastRowLastColumn="0"/>
            </w:pPr>
            <w:r w:rsidRPr="00B108D8">
              <w:t>8</w:t>
            </w:r>
          </w:p>
        </w:tc>
        <w:tc>
          <w:tcPr>
            <w:tcW w:w="6450" w:type="dxa"/>
          </w:tcPr>
          <w:p w14:paraId="68FD61CA" w14:textId="700BB1F4" w:rsidR="0052026C" w:rsidRPr="00B108D8" w:rsidRDefault="0010469E" w:rsidP="007507EE">
            <w:pPr>
              <w:pStyle w:val="ListParagraph"/>
              <w:numPr>
                <w:ilvl w:val="0"/>
                <w:numId w:val="16"/>
              </w:numPr>
              <w:ind w:left="392"/>
              <w:cnfStyle w:val="000000000000" w:firstRow="0" w:lastRow="0" w:firstColumn="0" w:lastColumn="0" w:oddVBand="0" w:evenVBand="0" w:oddHBand="0" w:evenHBand="0" w:firstRowFirstColumn="0" w:firstRowLastColumn="0" w:lastRowFirstColumn="0" w:lastRowLastColumn="0"/>
            </w:pPr>
            <w:r>
              <w:t xml:space="preserve">Update </w:t>
            </w:r>
            <w:r w:rsidR="1631A7D9">
              <w:t xml:space="preserve">to </w:t>
            </w:r>
            <w:r>
              <w:t>new department name</w:t>
            </w:r>
            <w:r w:rsidR="00427C62">
              <w:t>.</w:t>
            </w:r>
          </w:p>
        </w:tc>
      </w:tr>
      <w:tr w:rsidR="0052026C" w:rsidRPr="00B108D8" w14:paraId="14067905" w14:textId="77777777" w:rsidTr="00C9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14:paraId="41E1861C" w14:textId="77777777" w:rsidR="0052026C" w:rsidRPr="00B108D8" w:rsidRDefault="0052026C" w:rsidP="00B108D8">
            <w:pPr>
              <w:jc w:val="center"/>
              <w:rPr>
                <w:bCs w:val="0"/>
              </w:rPr>
            </w:pPr>
            <w:r w:rsidRPr="00B108D8">
              <w:t>July 2019</w:t>
            </w:r>
          </w:p>
        </w:tc>
        <w:tc>
          <w:tcPr>
            <w:tcW w:w="1038" w:type="dxa"/>
          </w:tcPr>
          <w:p w14:paraId="03E2A7A8" w14:textId="77777777" w:rsidR="0052026C" w:rsidRPr="00B108D8" w:rsidRDefault="00EC5280" w:rsidP="00B108D8">
            <w:pPr>
              <w:jc w:val="center"/>
              <w:cnfStyle w:val="000000100000" w:firstRow="0" w:lastRow="0" w:firstColumn="0" w:lastColumn="0" w:oddVBand="0" w:evenVBand="0" w:oddHBand="1" w:evenHBand="0" w:firstRowFirstColumn="0" w:firstRowLastColumn="0" w:lastRowFirstColumn="0" w:lastRowLastColumn="0"/>
            </w:pPr>
            <w:r w:rsidRPr="00B108D8">
              <w:t>7</w:t>
            </w:r>
          </w:p>
        </w:tc>
        <w:tc>
          <w:tcPr>
            <w:tcW w:w="6450" w:type="dxa"/>
          </w:tcPr>
          <w:p w14:paraId="29469673" w14:textId="77777777" w:rsidR="0052026C" w:rsidRPr="00B108D8" w:rsidRDefault="0010469E" w:rsidP="007507EE">
            <w:pPr>
              <w:pStyle w:val="ListParagraph"/>
              <w:numPr>
                <w:ilvl w:val="0"/>
                <w:numId w:val="16"/>
              </w:numPr>
              <w:ind w:left="392"/>
              <w:cnfStyle w:val="000000100000" w:firstRow="0" w:lastRow="0" w:firstColumn="0" w:lastColumn="0" w:oddVBand="0" w:evenVBand="0" w:oddHBand="1" w:evenHBand="0" w:firstRowFirstColumn="0" w:firstRowLastColumn="0" w:lastRowFirstColumn="0" w:lastRowLastColumn="0"/>
            </w:pPr>
            <w:r w:rsidRPr="00B108D8">
              <w:t>Update</w:t>
            </w:r>
            <w:r w:rsidR="00427C62" w:rsidRPr="00B108D8">
              <w:t>s</w:t>
            </w:r>
            <w:r w:rsidRPr="00B108D8">
              <w:t xml:space="preserve"> to reflect policy changes to acreage release and good standing agreements</w:t>
            </w:r>
            <w:r w:rsidR="00427C62" w:rsidRPr="00B108D8">
              <w:t>,</w:t>
            </w:r>
            <w:r w:rsidRPr="00B108D8">
              <w:t xml:space="preserve"> as well as process clarifications.</w:t>
            </w:r>
          </w:p>
        </w:tc>
      </w:tr>
      <w:tr w:rsidR="0052026C" w:rsidRPr="00B108D8" w14:paraId="00CCBCB3" w14:textId="77777777" w:rsidTr="00C97172">
        <w:tc>
          <w:tcPr>
            <w:cnfStyle w:val="001000000000" w:firstRow="0" w:lastRow="0" w:firstColumn="1" w:lastColumn="0" w:oddVBand="0" w:evenVBand="0" w:oddHBand="0" w:evenHBand="0" w:firstRowFirstColumn="0" w:firstRowLastColumn="0" w:lastRowFirstColumn="0" w:lastRowLastColumn="0"/>
            <w:tcW w:w="1721" w:type="dxa"/>
          </w:tcPr>
          <w:p w14:paraId="575D73FB" w14:textId="77777777" w:rsidR="0052026C" w:rsidRPr="00B108D8" w:rsidRDefault="0052026C" w:rsidP="00B108D8">
            <w:pPr>
              <w:jc w:val="center"/>
              <w:rPr>
                <w:bCs w:val="0"/>
              </w:rPr>
            </w:pPr>
            <w:r w:rsidRPr="00B108D8">
              <w:t>May 2016</w:t>
            </w:r>
          </w:p>
        </w:tc>
        <w:tc>
          <w:tcPr>
            <w:tcW w:w="1038" w:type="dxa"/>
          </w:tcPr>
          <w:p w14:paraId="373742BE" w14:textId="77777777" w:rsidR="0052026C" w:rsidRPr="00B108D8" w:rsidRDefault="00EC5280" w:rsidP="00B108D8">
            <w:pPr>
              <w:jc w:val="center"/>
              <w:cnfStyle w:val="000000000000" w:firstRow="0" w:lastRow="0" w:firstColumn="0" w:lastColumn="0" w:oddVBand="0" w:evenVBand="0" w:oddHBand="0" w:evenHBand="0" w:firstRowFirstColumn="0" w:firstRowLastColumn="0" w:lastRowFirstColumn="0" w:lastRowLastColumn="0"/>
            </w:pPr>
            <w:r w:rsidRPr="00B108D8">
              <w:t>6</w:t>
            </w:r>
          </w:p>
        </w:tc>
        <w:tc>
          <w:tcPr>
            <w:tcW w:w="6450" w:type="dxa"/>
          </w:tcPr>
          <w:p w14:paraId="5E0855B4" w14:textId="77777777" w:rsidR="0052026C" w:rsidRPr="00B108D8" w:rsidRDefault="0010469E" w:rsidP="007507EE">
            <w:pPr>
              <w:pStyle w:val="ListParagraph"/>
              <w:numPr>
                <w:ilvl w:val="0"/>
                <w:numId w:val="16"/>
              </w:numPr>
              <w:ind w:left="392"/>
              <w:cnfStyle w:val="000000000000" w:firstRow="0" w:lastRow="0" w:firstColumn="0" w:lastColumn="0" w:oddVBand="0" w:evenVBand="0" w:oddHBand="0" w:evenHBand="0" w:firstRowFirstColumn="0" w:firstRowLastColumn="0" w:lastRowFirstColumn="0" w:lastRowLastColumn="0"/>
            </w:pPr>
            <w:r w:rsidRPr="00B108D8">
              <w:t>Update</w:t>
            </w:r>
            <w:r w:rsidR="00427C62" w:rsidRPr="00B108D8">
              <w:t xml:space="preserve">s </w:t>
            </w:r>
            <w:r w:rsidRPr="00B108D8">
              <w:t xml:space="preserve">to reference prior usage right requirements under the </w:t>
            </w:r>
            <w:r w:rsidRPr="00B108D8">
              <w:rPr>
                <w:i/>
                <w:iCs/>
              </w:rPr>
              <w:t>Environment Protection and Biodiversity Conservation Act 1999</w:t>
            </w:r>
            <w:r w:rsidR="00427C62" w:rsidRPr="00B108D8">
              <w:t>.</w:t>
            </w:r>
          </w:p>
        </w:tc>
      </w:tr>
      <w:tr w:rsidR="0052026C" w:rsidRPr="00B108D8" w14:paraId="3EE53703" w14:textId="77777777" w:rsidTr="00C9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14:paraId="496FDE7E" w14:textId="77777777" w:rsidR="0052026C" w:rsidRPr="00B108D8" w:rsidRDefault="0052026C" w:rsidP="00B108D8">
            <w:pPr>
              <w:jc w:val="center"/>
              <w:rPr>
                <w:bCs w:val="0"/>
              </w:rPr>
            </w:pPr>
            <w:r w:rsidRPr="00B108D8">
              <w:t>May 2015</w:t>
            </w:r>
          </w:p>
        </w:tc>
        <w:tc>
          <w:tcPr>
            <w:tcW w:w="1038" w:type="dxa"/>
          </w:tcPr>
          <w:p w14:paraId="63B75BD8" w14:textId="77777777" w:rsidR="0052026C" w:rsidRPr="00B108D8" w:rsidRDefault="00EC5280" w:rsidP="00B108D8">
            <w:pPr>
              <w:jc w:val="center"/>
              <w:cnfStyle w:val="000000100000" w:firstRow="0" w:lastRow="0" w:firstColumn="0" w:lastColumn="0" w:oddVBand="0" w:evenVBand="0" w:oddHBand="1" w:evenHBand="0" w:firstRowFirstColumn="0" w:firstRowLastColumn="0" w:lastRowFirstColumn="0" w:lastRowLastColumn="0"/>
            </w:pPr>
            <w:r w:rsidRPr="00B108D8">
              <w:t>5</w:t>
            </w:r>
          </w:p>
        </w:tc>
        <w:tc>
          <w:tcPr>
            <w:tcW w:w="6450" w:type="dxa"/>
          </w:tcPr>
          <w:p w14:paraId="0C4B4B22" w14:textId="77777777" w:rsidR="00427C62" w:rsidRPr="00B108D8" w:rsidRDefault="0010469E" w:rsidP="007507EE">
            <w:pPr>
              <w:pStyle w:val="ListParagraph"/>
              <w:numPr>
                <w:ilvl w:val="0"/>
                <w:numId w:val="16"/>
              </w:numPr>
              <w:ind w:left="392"/>
              <w:cnfStyle w:val="000000100000" w:firstRow="0" w:lastRow="0" w:firstColumn="0" w:lastColumn="0" w:oddVBand="0" w:evenVBand="0" w:oddHBand="1" w:evenHBand="0" w:firstRowFirstColumn="0" w:firstRowLastColumn="0" w:lastRowFirstColumn="0" w:lastRowLastColumn="0"/>
            </w:pPr>
            <w:r w:rsidRPr="00B108D8">
              <w:t>Consolidating and streamlining of the Exploration Permit Guideline: Requirements of Bid and Renewal Applications, Exploration Permit Guideline: Assessment of Bid and Renewal Applications and the Exploration Permit Guideline: Permit Conditions and Administration into a single guideline.</w:t>
            </w:r>
          </w:p>
          <w:p w14:paraId="3F8E0CC7" w14:textId="77777777" w:rsidR="00427C62" w:rsidRPr="00B108D8" w:rsidRDefault="0010469E" w:rsidP="007507EE">
            <w:pPr>
              <w:pStyle w:val="ListParagraph"/>
              <w:numPr>
                <w:ilvl w:val="0"/>
                <w:numId w:val="16"/>
              </w:numPr>
              <w:ind w:left="392"/>
              <w:cnfStyle w:val="000000100000" w:firstRow="0" w:lastRow="0" w:firstColumn="0" w:lastColumn="0" w:oddVBand="0" w:evenVBand="0" w:oddHBand="1" w:evenHBand="0" w:firstRowFirstColumn="0" w:firstRowLastColumn="0" w:lastRowFirstColumn="0" w:lastRowLastColumn="0"/>
            </w:pPr>
            <w:r w:rsidRPr="00B108D8">
              <w:t>Wholesale re-</w:t>
            </w:r>
            <w:proofErr w:type="gramStart"/>
            <w:r w:rsidRPr="00B108D8">
              <w:t>write</w:t>
            </w:r>
            <w:proofErr w:type="gramEnd"/>
            <w:r w:rsidRPr="00B108D8">
              <w:t xml:space="preserve"> to improve clarity of Joint Authority expectations.</w:t>
            </w:r>
          </w:p>
          <w:p w14:paraId="478CF553" w14:textId="0E7C4053" w:rsidR="00427C62" w:rsidRPr="00B108D8" w:rsidRDefault="0010469E" w:rsidP="007507EE">
            <w:pPr>
              <w:pStyle w:val="ListParagraph"/>
              <w:numPr>
                <w:ilvl w:val="0"/>
                <w:numId w:val="16"/>
              </w:numPr>
              <w:ind w:left="392"/>
              <w:cnfStyle w:val="000000100000" w:firstRow="0" w:lastRow="0" w:firstColumn="0" w:lastColumn="0" w:oddVBand="0" w:evenVBand="0" w:oddHBand="1" w:evenHBand="0" w:firstRowFirstColumn="0" w:firstRowLastColumn="0" w:lastRowFirstColumn="0" w:lastRowLastColumn="0"/>
            </w:pPr>
            <w:r w:rsidRPr="00B108D8">
              <w:t>Provision of additional flexibility through the primary term becoming a guaranteed three</w:t>
            </w:r>
            <w:r w:rsidR="0029447B">
              <w:t>-</w:t>
            </w:r>
            <w:r w:rsidRPr="00B108D8">
              <w:t>year block of time.</w:t>
            </w:r>
          </w:p>
          <w:p w14:paraId="05AC527D" w14:textId="77777777" w:rsidR="0052026C" w:rsidRPr="00B108D8" w:rsidRDefault="0010469E" w:rsidP="007507EE">
            <w:pPr>
              <w:pStyle w:val="ListParagraph"/>
              <w:numPr>
                <w:ilvl w:val="0"/>
                <w:numId w:val="16"/>
              </w:numPr>
              <w:ind w:left="392"/>
              <w:cnfStyle w:val="000000100000" w:firstRow="0" w:lastRow="0" w:firstColumn="0" w:lastColumn="0" w:oddVBand="0" w:evenVBand="0" w:oddHBand="1" w:evenHBand="0" w:firstRowFirstColumn="0" w:firstRowLastColumn="0" w:lastRowFirstColumn="0" w:lastRowLastColumn="0"/>
            </w:pPr>
            <w:r w:rsidRPr="00B108D8">
              <w:t>Expanded options to satisfy a GSA.</w:t>
            </w:r>
          </w:p>
        </w:tc>
      </w:tr>
      <w:tr w:rsidR="0052026C" w:rsidRPr="00B108D8" w14:paraId="63860CCC" w14:textId="77777777" w:rsidTr="00C97172">
        <w:tc>
          <w:tcPr>
            <w:cnfStyle w:val="001000000000" w:firstRow="0" w:lastRow="0" w:firstColumn="1" w:lastColumn="0" w:oddVBand="0" w:evenVBand="0" w:oddHBand="0" w:evenHBand="0" w:firstRowFirstColumn="0" w:firstRowLastColumn="0" w:lastRowFirstColumn="0" w:lastRowLastColumn="0"/>
            <w:tcW w:w="1721" w:type="dxa"/>
          </w:tcPr>
          <w:p w14:paraId="7A7C515E" w14:textId="77777777" w:rsidR="0052026C" w:rsidRPr="00B108D8" w:rsidRDefault="0052026C" w:rsidP="00B108D8">
            <w:pPr>
              <w:jc w:val="center"/>
              <w:rPr>
                <w:bCs w:val="0"/>
              </w:rPr>
            </w:pPr>
            <w:r w:rsidRPr="00B108D8">
              <w:t>November 2011</w:t>
            </w:r>
          </w:p>
        </w:tc>
        <w:tc>
          <w:tcPr>
            <w:tcW w:w="1038" w:type="dxa"/>
          </w:tcPr>
          <w:p w14:paraId="0E4A76D7" w14:textId="77777777" w:rsidR="0052026C" w:rsidRPr="00B108D8" w:rsidRDefault="00EC5280" w:rsidP="00B108D8">
            <w:pPr>
              <w:jc w:val="center"/>
              <w:cnfStyle w:val="000000000000" w:firstRow="0" w:lastRow="0" w:firstColumn="0" w:lastColumn="0" w:oddVBand="0" w:evenVBand="0" w:oddHBand="0" w:evenHBand="0" w:firstRowFirstColumn="0" w:firstRowLastColumn="0" w:lastRowFirstColumn="0" w:lastRowLastColumn="0"/>
            </w:pPr>
            <w:r w:rsidRPr="00B108D8">
              <w:t>4</w:t>
            </w:r>
          </w:p>
        </w:tc>
        <w:tc>
          <w:tcPr>
            <w:tcW w:w="6450" w:type="dxa"/>
          </w:tcPr>
          <w:p w14:paraId="59BDDAF7" w14:textId="77777777" w:rsidR="0052026C" w:rsidRPr="00B108D8" w:rsidRDefault="0010469E" w:rsidP="007507EE">
            <w:pPr>
              <w:pStyle w:val="ListParagraph"/>
              <w:numPr>
                <w:ilvl w:val="0"/>
                <w:numId w:val="16"/>
              </w:numPr>
              <w:ind w:left="392"/>
              <w:cnfStyle w:val="000000000000" w:firstRow="0" w:lastRow="0" w:firstColumn="0" w:lastColumn="0" w:oddVBand="0" w:evenVBand="0" w:oddHBand="0" w:evenHBand="0" w:firstRowFirstColumn="0" w:firstRowLastColumn="0" w:lastRowFirstColumn="0" w:lastRowLastColumn="0"/>
            </w:pPr>
            <w:r w:rsidRPr="00B108D8">
              <w:t>Updated to reflect changes to OPGGS ACT—transfer to NOPTA. Slight Amendments to the financial requirements (paragraph 5.1.2)</w:t>
            </w:r>
          </w:p>
        </w:tc>
      </w:tr>
      <w:tr w:rsidR="0052026C" w:rsidRPr="00B108D8" w14:paraId="470BA251" w14:textId="77777777" w:rsidTr="00C9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14:paraId="28A5CA7F" w14:textId="77777777" w:rsidR="0052026C" w:rsidRPr="00B108D8" w:rsidRDefault="0052026C" w:rsidP="00B108D8">
            <w:pPr>
              <w:jc w:val="center"/>
              <w:rPr>
                <w:bCs w:val="0"/>
              </w:rPr>
            </w:pPr>
            <w:r w:rsidRPr="00B108D8">
              <w:t>November 2010</w:t>
            </w:r>
          </w:p>
        </w:tc>
        <w:tc>
          <w:tcPr>
            <w:tcW w:w="1038" w:type="dxa"/>
          </w:tcPr>
          <w:p w14:paraId="7B56428C" w14:textId="77777777" w:rsidR="0052026C" w:rsidRPr="00B108D8" w:rsidRDefault="00EC5280" w:rsidP="00B108D8">
            <w:pPr>
              <w:jc w:val="center"/>
              <w:cnfStyle w:val="000000100000" w:firstRow="0" w:lastRow="0" w:firstColumn="0" w:lastColumn="0" w:oddVBand="0" w:evenVBand="0" w:oddHBand="1" w:evenHBand="0" w:firstRowFirstColumn="0" w:firstRowLastColumn="0" w:lastRowFirstColumn="0" w:lastRowLastColumn="0"/>
            </w:pPr>
            <w:r w:rsidRPr="00B108D8">
              <w:t>3</w:t>
            </w:r>
          </w:p>
        </w:tc>
        <w:tc>
          <w:tcPr>
            <w:tcW w:w="6450" w:type="dxa"/>
          </w:tcPr>
          <w:p w14:paraId="374401F3" w14:textId="77777777" w:rsidR="0052026C" w:rsidRPr="00B108D8" w:rsidRDefault="0010469E" w:rsidP="007507EE">
            <w:pPr>
              <w:pStyle w:val="ListParagraph"/>
              <w:numPr>
                <w:ilvl w:val="0"/>
                <w:numId w:val="16"/>
              </w:numPr>
              <w:ind w:left="392"/>
              <w:cnfStyle w:val="000000100000" w:firstRow="0" w:lastRow="0" w:firstColumn="0" w:lastColumn="0" w:oddVBand="0" w:evenVBand="0" w:oddHBand="1" w:evenHBand="0" w:firstRowFirstColumn="0" w:firstRowLastColumn="0" w:lastRowFirstColumn="0" w:lastRowLastColumn="0"/>
            </w:pPr>
            <w:r w:rsidRPr="00B108D8">
              <w:t>Wholesale re-</w:t>
            </w:r>
            <w:proofErr w:type="gramStart"/>
            <w:r w:rsidRPr="00B108D8">
              <w:t>write</w:t>
            </w:r>
            <w:proofErr w:type="gramEnd"/>
            <w:r w:rsidRPr="00B108D8">
              <w:t xml:space="preserve"> to improve clarity of Joint Authority expectations</w:t>
            </w:r>
          </w:p>
        </w:tc>
      </w:tr>
      <w:tr w:rsidR="0052026C" w:rsidRPr="00B108D8" w14:paraId="5CC026A5" w14:textId="77777777" w:rsidTr="00C97172">
        <w:tc>
          <w:tcPr>
            <w:cnfStyle w:val="001000000000" w:firstRow="0" w:lastRow="0" w:firstColumn="1" w:lastColumn="0" w:oddVBand="0" w:evenVBand="0" w:oddHBand="0" w:evenHBand="0" w:firstRowFirstColumn="0" w:firstRowLastColumn="0" w:lastRowFirstColumn="0" w:lastRowLastColumn="0"/>
            <w:tcW w:w="1721" w:type="dxa"/>
          </w:tcPr>
          <w:p w14:paraId="245ECB81" w14:textId="77777777" w:rsidR="0052026C" w:rsidRPr="00B108D8" w:rsidRDefault="0052026C" w:rsidP="00B108D8">
            <w:pPr>
              <w:jc w:val="center"/>
              <w:rPr>
                <w:bCs w:val="0"/>
              </w:rPr>
            </w:pPr>
            <w:r w:rsidRPr="00B108D8">
              <w:t>October 2009</w:t>
            </w:r>
          </w:p>
        </w:tc>
        <w:tc>
          <w:tcPr>
            <w:tcW w:w="1038" w:type="dxa"/>
          </w:tcPr>
          <w:p w14:paraId="63B1D1AD" w14:textId="77777777" w:rsidR="0052026C" w:rsidRPr="00B108D8" w:rsidRDefault="00EC5280" w:rsidP="00B108D8">
            <w:pPr>
              <w:jc w:val="center"/>
              <w:cnfStyle w:val="000000000000" w:firstRow="0" w:lastRow="0" w:firstColumn="0" w:lastColumn="0" w:oddVBand="0" w:evenVBand="0" w:oddHBand="0" w:evenHBand="0" w:firstRowFirstColumn="0" w:firstRowLastColumn="0" w:lastRowFirstColumn="0" w:lastRowLastColumn="0"/>
            </w:pPr>
            <w:r w:rsidRPr="00B108D8">
              <w:t>2</w:t>
            </w:r>
          </w:p>
        </w:tc>
        <w:tc>
          <w:tcPr>
            <w:tcW w:w="6450" w:type="dxa"/>
          </w:tcPr>
          <w:p w14:paraId="37C5D46E" w14:textId="77777777" w:rsidR="0010469E" w:rsidRPr="00B108D8" w:rsidRDefault="0010469E" w:rsidP="007507EE">
            <w:pPr>
              <w:pStyle w:val="ListParagraph"/>
              <w:numPr>
                <w:ilvl w:val="0"/>
                <w:numId w:val="16"/>
              </w:numPr>
              <w:ind w:left="392"/>
              <w:cnfStyle w:val="000000000000" w:firstRow="0" w:lastRow="0" w:firstColumn="0" w:lastColumn="0" w:oddVBand="0" w:evenVBand="0" w:oddHBand="0" w:evenHBand="0" w:firstRowFirstColumn="0" w:firstRowLastColumn="0" w:lastRowFirstColumn="0" w:lastRowLastColumn="0"/>
            </w:pPr>
            <w:r w:rsidRPr="00B108D8">
              <w:t>Update to reflect:</w:t>
            </w:r>
          </w:p>
          <w:p w14:paraId="3B736018" w14:textId="49388341" w:rsidR="0010469E" w:rsidRPr="00B108D8" w:rsidRDefault="0010469E" w:rsidP="007507EE">
            <w:pPr>
              <w:pStyle w:val="ListParagraph"/>
              <w:numPr>
                <w:ilvl w:val="0"/>
                <w:numId w:val="16"/>
              </w:numPr>
              <w:ind w:left="392"/>
              <w:cnfStyle w:val="000000000000" w:firstRow="0" w:lastRow="0" w:firstColumn="0" w:lastColumn="0" w:oddVBand="0" w:evenVBand="0" w:oddHBand="0" w:evenHBand="0" w:firstRowFirstColumn="0" w:firstRowLastColumn="0" w:lastRowFirstColumn="0" w:lastRowLastColumn="0"/>
            </w:pPr>
            <w:r w:rsidRPr="00B108D8">
              <w:t>OPGGS A</w:t>
            </w:r>
            <w:r w:rsidR="00AF1CF6">
              <w:t>ct</w:t>
            </w:r>
            <w:r w:rsidRPr="00B108D8">
              <w:t xml:space="preserve"> numbering</w:t>
            </w:r>
          </w:p>
          <w:p w14:paraId="543A5448" w14:textId="77777777" w:rsidR="0052026C" w:rsidRPr="00B108D8" w:rsidRDefault="0010469E" w:rsidP="007507EE">
            <w:pPr>
              <w:pStyle w:val="ListParagraph"/>
              <w:numPr>
                <w:ilvl w:val="0"/>
                <w:numId w:val="16"/>
              </w:numPr>
              <w:ind w:left="392"/>
              <w:cnfStyle w:val="000000000000" w:firstRow="0" w:lastRow="0" w:firstColumn="0" w:lastColumn="0" w:oddVBand="0" w:evenVBand="0" w:oddHBand="0" w:evenHBand="0" w:firstRowFirstColumn="0" w:firstRowLastColumn="0" w:lastRowFirstColumn="0" w:lastRowLastColumn="0"/>
            </w:pPr>
            <w:r w:rsidRPr="00B108D8">
              <w:t>Grammatical errors</w:t>
            </w:r>
          </w:p>
        </w:tc>
      </w:tr>
      <w:bookmarkEnd w:id="339"/>
    </w:tbl>
    <w:p w14:paraId="529775A3" w14:textId="77777777" w:rsidR="0066416C" w:rsidRDefault="0066416C" w:rsidP="0010469E"/>
    <w:sectPr w:rsidR="0066416C" w:rsidSect="00F079D8">
      <w:headerReference w:type="even" r:id="rId57"/>
      <w:headerReference w:type="default" r:id="rId58"/>
      <w:footerReference w:type="default" r:id="rId59"/>
      <w:headerReference w:type="first" r:id="rId60"/>
      <w:pgSz w:w="11906" w:h="16838"/>
      <w:pgMar w:top="1276" w:right="1440" w:bottom="1440" w:left="1440" w:header="85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5F2A" w14:textId="77777777" w:rsidR="00765F8A" w:rsidRDefault="00765F8A" w:rsidP="00B251DB">
      <w:pPr>
        <w:spacing w:after="0"/>
      </w:pPr>
      <w:r>
        <w:separator/>
      </w:r>
    </w:p>
  </w:endnote>
  <w:endnote w:type="continuationSeparator" w:id="0">
    <w:p w14:paraId="5C6947F1" w14:textId="77777777" w:rsidR="00765F8A" w:rsidRDefault="00765F8A" w:rsidP="00B251DB">
      <w:pPr>
        <w:spacing w:after="0"/>
      </w:pPr>
      <w:r>
        <w:continuationSeparator/>
      </w:r>
    </w:p>
  </w:endnote>
  <w:endnote w:type="continuationNotice" w:id="1">
    <w:p w14:paraId="01C5C674" w14:textId="77777777" w:rsidR="00765F8A" w:rsidRDefault="00765F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quot;Calibri&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7E1F" w14:textId="1F4B2F2D" w:rsidR="0035140F" w:rsidRDefault="00144634" w:rsidP="0035140F">
    <w:pPr>
      <w:pStyle w:val="Footer"/>
    </w:pPr>
    <w:r w:rsidRPr="00144634">
      <w:rPr>
        <w:color w:val="001B35"/>
      </w:rPr>
      <w:t xml:space="preserve">Offshore petroleum exploration </w:t>
    </w:r>
    <w:r w:rsidR="4D86BD9B" w:rsidRPr="4D86BD9B">
      <w:rPr>
        <w:color w:val="001B35"/>
      </w:rPr>
      <w:t>work-bid</w:t>
    </w:r>
    <w:r w:rsidRPr="00144634">
      <w:rPr>
        <w:color w:val="001B35"/>
      </w:rPr>
      <w:t xml:space="preserve"> permits</w:t>
    </w:r>
    <w:r w:rsidR="00DC18F9">
      <w:tab/>
    </w:r>
  </w:p>
  <w:p w14:paraId="4BCF6D7D" w14:textId="4A11F04D" w:rsidR="00D27B99" w:rsidRDefault="0035140F" w:rsidP="0035140F">
    <w:pPr>
      <w:pStyle w:val="Footer"/>
      <w:tabs>
        <w:tab w:val="clear" w:pos="4513"/>
      </w:tabs>
      <w:rPr>
        <w:noProof/>
      </w:rPr>
    </w:pPr>
    <w:r w:rsidRPr="00B108D8">
      <w:rPr>
        <w:b/>
        <w:bCs/>
        <w:color w:val="15659B"/>
      </w:rPr>
      <w:t>|</w:t>
    </w:r>
    <w:r w:rsidRPr="00B108D8">
      <w:rPr>
        <w:b/>
        <w:bCs/>
        <w:color w:val="001B35"/>
      </w:rPr>
      <w:t xml:space="preserve"> </w:t>
    </w:r>
    <w:r w:rsidR="00216B21">
      <w:rPr>
        <w:b/>
        <w:bCs/>
        <w:color w:val="001B35"/>
      </w:rPr>
      <w:t>www.nopta</w:t>
    </w:r>
    <w:r w:rsidR="00216B21" w:rsidRPr="00715104">
      <w:rPr>
        <w:color w:val="001B35"/>
      </w:rPr>
      <w:t>.gov.au</w:t>
    </w:r>
    <w:r w:rsidR="00BD0F8A">
      <w:tab/>
    </w:r>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874464"/>
      <w:docPartObj>
        <w:docPartGallery w:val="Page Numbers (Bottom of Page)"/>
        <w:docPartUnique/>
      </w:docPartObj>
    </w:sdtPr>
    <w:sdtEndPr>
      <w:rPr>
        <w:noProof/>
      </w:rPr>
    </w:sdtEndPr>
    <w:sdtContent>
      <w:p w14:paraId="6C7AFE32" w14:textId="282F2788" w:rsidR="00F079D8" w:rsidRDefault="00F079D8" w:rsidP="00F079D8">
        <w:pPr>
          <w:pStyle w:val="Footer"/>
        </w:pPr>
      </w:p>
      <w:p w14:paraId="6169C040" w14:textId="16EFD067" w:rsidR="00F079D8" w:rsidRDefault="00F079D8" w:rsidP="00F079D8">
        <w:pPr>
          <w:pStyle w:val="Footer"/>
        </w:pPr>
        <w:r>
          <w:rPr>
            <w:color w:val="001B35"/>
          </w:rPr>
          <w:br/>
        </w:r>
        <w:r>
          <w:rPr>
            <w:color w:val="001B35"/>
          </w:rPr>
          <w:br/>
        </w:r>
        <w:r w:rsidRPr="7FE8FAE4">
          <w:rPr>
            <w:color w:val="001B35"/>
          </w:rPr>
          <w:t>Offshore petroleum exploration work-bid permits</w:t>
        </w:r>
        <w:r>
          <w:tab/>
        </w:r>
      </w:p>
      <w:p w14:paraId="02C84F76" w14:textId="471139C4" w:rsidR="00F079D8" w:rsidRDefault="00F079D8" w:rsidP="00F079D8">
        <w:pPr>
          <w:pStyle w:val="Footer"/>
          <w:tabs>
            <w:tab w:val="clear" w:pos="4513"/>
          </w:tabs>
        </w:pPr>
        <w:r w:rsidRPr="0077169C">
          <w:rPr>
            <w:b/>
            <w:bCs/>
            <w:color w:val="4472C4" w:themeColor="accent1"/>
          </w:rPr>
          <w:t xml:space="preserve">| </w:t>
        </w:r>
        <w:r w:rsidRPr="0022109D">
          <w:rPr>
            <w:b/>
            <w:bCs/>
            <w:color w:val="000000" w:themeColor="text1"/>
          </w:rPr>
          <w:t>www.nopta.</w:t>
        </w:r>
        <w:r w:rsidRPr="0022109D">
          <w:rPr>
            <w:color w:val="000000" w:themeColor="text1"/>
          </w:rPr>
          <w:t>gov.au</w:t>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01E5" w14:textId="77777777" w:rsidR="00765F8A" w:rsidRDefault="00765F8A" w:rsidP="00B251DB">
      <w:pPr>
        <w:spacing w:after="0"/>
      </w:pPr>
      <w:r>
        <w:separator/>
      </w:r>
    </w:p>
  </w:footnote>
  <w:footnote w:type="continuationSeparator" w:id="0">
    <w:p w14:paraId="6FD2B0EB" w14:textId="77777777" w:rsidR="00765F8A" w:rsidRDefault="00765F8A" w:rsidP="00B251DB">
      <w:pPr>
        <w:spacing w:after="0"/>
      </w:pPr>
      <w:r>
        <w:continuationSeparator/>
      </w:r>
    </w:p>
  </w:footnote>
  <w:footnote w:type="continuationNotice" w:id="1">
    <w:p w14:paraId="476D1AC7" w14:textId="77777777" w:rsidR="00765F8A" w:rsidRDefault="00765F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B319" w14:textId="1C431694" w:rsidR="009830D1" w:rsidRPr="00A843E0" w:rsidRDefault="00FA650C" w:rsidP="00A843E0">
    <w:pPr>
      <w:pStyle w:val="Header"/>
    </w:pPr>
    <w:r>
      <w:rPr>
        <w:noProof/>
      </w:rPr>
      <w:drawing>
        <wp:anchor distT="0" distB="0" distL="114300" distR="114300" simplePos="0" relativeHeight="251658241" behindDoc="1" locked="0" layoutInCell="1" allowOverlap="1" wp14:anchorId="37A1A99C" wp14:editId="70396D6A">
          <wp:simplePos x="0" y="0"/>
          <wp:positionH relativeFrom="page">
            <wp:posOffset>3667125</wp:posOffset>
          </wp:positionH>
          <wp:positionV relativeFrom="paragraph">
            <wp:posOffset>-540385</wp:posOffset>
          </wp:positionV>
          <wp:extent cx="3893185" cy="1842135"/>
          <wp:effectExtent l="0" t="0" r="0" b="0"/>
          <wp:wrapNone/>
          <wp:docPr id="1051425444" name="Picture 105142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a:picLocks noChangeAspect="1"/>
                  </pic:cNvPicPr>
                </pic:nvPicPr>
                <pic:blipFill rotWithShape="1">
                  <a:blip r:embed="rId1"/>
                  <a:srcRect r="263"/>
                  <a:stretch/>
                </pic:blipFill>
                <pic:spPr>
                  <a:xfrm>
                    <a:off x="0" y="0"/>
                    <a:ext cx="3893185" cy="18421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4FF491B9" wp14:editId="46635DA1">
              <wp:simplePos x="0" y="0"/>
              <wp:positionH relativeFrom="column">
                <wp:posOffset>-904875</wp:posOffset>
              </wp:positionH>
              <wp:positionV relativeFrom="paragraph">
                <wp:posOffset>-530860</wp:posOffset>
              </wp:positionV>
              <wp:extent cx="1962150" cy="28321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28321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15659B"/>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159BE25" id="Freeform: Shape 1" o:spid="_x0000_s1026" style="position:absolute;margin-left:-71.25pt;margin-top:-41.8pt;width:154.5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" path="m,l2332168,r-65527,196581l,336570,,xe" fillcolor="#15659b" stroked="f" strokeweight="1pt">
              <v:stroke joinstyle="miter"/>
              <v:path arrowok="t" o:connecttype="custom" o:connectlocs="0,0;1962150,0;1907019,165415;0,283210;0,0" o:connectangles="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52F5" w14:textId="374A738E" w:rsidR="008574B2" w:rsidRDefault="00857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DF26" w14:textId="3CB89A75" w:rsidR="008574B2" w:rsidRDefault="008574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DFC1" w14:textId="347CEADA" w:rsidR="008574B2" w:rsidRDefault="00857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7445C"/>
    <w:multiLevelType w:val="multilevel"/>
    <w:tmpl w:val="C1B82CE0"/>
    <w:lvl w:ilvl="0">
      <w:start w:val="1"/>
      <w:numFmt w:val="decimal"/>
      <w:lvlText w:val="%1."/>
      <w:lvlJc w:val="left"/>
      <w:pPr>
        <w:ind w:left="360" w:hanging="360"/>
      </w:pPr>
      <w:rPr>
        <w:rFonts w:hint="default"/>
      </w:rPr>
    </w:lvl>
    <w:lvl w:ilvl="1">
      <w:start w:val="1"/>
      <w:numFmt w:val="decimal"/>
      <w:lvlText w:val="%1.%2."/>
      <w:lvlJc w:val="left"/>
      <w:pPr>
        <w:ind w:left="4533" w:firstLine="3"/>
      </w:pPr>
      <w:rPr>
        <w:rFonts w:hint="default"/>
        <w:strike w:val="0"/>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 w15:restartNumberingAfterBreak="0">
    <w:nsid w:val="0EB563AE"/>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 w15:restartNumberingAfterBreak="0">
    <w:nsid w:val="10CE7024"/>
    <w:multiLevelType w:val="hybridMultilevel"/>
    <w:tmpl w:val="E410BCB8"/>
    <w:lvl w:ilvl="0" w:tplc="FFFFFFFF">
      <w:start w:val="1"/>
      <w:numFmt w:val="lowerLetter"/>
      <w:lvlText w:val="(%1)"/>
      <w:lvlJc w:val="left"/>
      <w:pPr>
        <w:ind w:left="1211" w:hanging="360"/>
      </w:pPr>
      <w:rPr>
        <w:rFonts w:hint="default"/>
      </w:rPr>
    </w:lvl>
    <w:lvl w:ilvl="1" w:tplc="FFFFFFFF">
      <w:start w:val="1"/>
      <w:numFmt w:val="lowerRoman"/>
      <w:lvlText w:val="(%2)"/>
      <w:lvlJc w:val="left"/>
      <w:pPr>
        <w:ind w:left="720" w:hanging="360"/>
      </w:pPr>
      <w:rPr>
        <w:rFonts w:hint="default"/>
      </w:rPr>
    </w:lvl>
    <w:lvl w:ilvl="2" w:tplc="902EE0CE">
      <w:start w:val="1"/>
      <w:numFmt w:val="lowerRoman"/>
      <w:lvlText w:val="(%3)"/>
      <w:lvlJc w:val="left"/>
      <w:pPr>
        <w:ind w:left="2831" w:hanging="360"/>
      </w:pPr>
      <w:rPr>
        <w:rFonts w:hint="default"/>
      </w:r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5EB1BD6"/>
    <w:multiLevelType w:val="multilevel"/>
    <w:tmpl w:val="D28E4F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440" w:hanging="360"/>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6" w15:restartNumberingAfterBreak="0">
    <w:nsid w:val="18702629"/>
    <w:multiLevelType w:val="hybridMultilevel"/>
    <w:tmpl w:val="9D9629F2"/>
    <w:lvl w:ilvl="0" w:tplc="FFFFFFFF">
      <w:start w:val="1"/>
      <w:numFmt w:val="lowerLetter"/>
      <w:lvlText w:val="(%1)"/>
      <w:lvlJc w:val="left"/>
      <w:pPr>
        <w:ind w:left="1211" w:hanging="360"/>
      </w:pPr>
      <w:rPr>
        <w:rFonts w:hint="default"/>
      </w:rPr>
    </w:lvl>
    <w:lvl w:ilvl="1" w:tplc="902EE0CE">
      <w:start w:val="1"/>
      <w:numFmt w:val="lowerRoman"/>
      <w:lvlText w:val="(%2)"/>
      <w:lvlJc w:val="left"/>
      <w:pPr>
        <w:ind w:left="720" w:hanging="360"/>
      </w:pPr>
      <w:rPr>
        <w:rFonts w:hint="default"/>
      </w:r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1C73189F"/>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1EC40129"/>
    <w:multiLevelType w:val="multilevel"/>
    <w:tmpl w:val="67B4F2D4"/>
    <w:styleLink w:val="DISR"/>
    <w:lvl w:ilvl="0">
      <w:start w:val="1"/>
      <w:numFmt w:val="decimal"/>
      <w:lvlText w:val="%1.1"/>
      <w:lvlJc w:val="left"/>
      <w:pPr>
        <w:ind w:left="360" w:hanging="360"/>
      </w:pPr>
      <w:rPr>
        <w:rFonts w:hint="default"/>
      </w:rPr>
    </w:lvl>
    <w:lvl w:ilvl="1">
      <w:start w:val="1"/>
      <w:numFmt w:val="none"/>
      <w:lvlText w:val="a) "/>
      <w:lvlJc w:val="left"/>
      <w:pPr>
        <w:ind w:left="792" w:hanging="432"/>
      </w:pPr>
      <w:rPr>
        <w:rFonts w:hint="default"/>
      </w:rPr>
    </w:lvl>
    <w:lvl w:ilvl="2">
      <w:start w:val="1"/>
      <w:numFmt w:val="none"/>
      <w:lvlText w:val="i) "/>
      <w:lvlJc w:val="left"/>
      <w:pPr>
        <w:ind w:left="1224" w:hanging="504"/>
      </w:pPr>
      <w:rPr>
        <w:rFonts w:hint="default"/>
      </w:rPr>
    </w:lvl>
    <w:lvl w:ilvl="3">
      <w:start w:val="1"/>
      <w:numFmt w:val="none"/>
      <w:lvlText w:val=""/>
      <w:lvlJc w:val="left"/>
      <w:pPr>
        <w:ind w:left="1728" w:hanging="648"/>
      </w:pPr>
      <w:rPr>
        <w:rFonts w:hint="default"/>
      </w:rPr>
    </w:lvl>
    <w:lvl w:ilvl="4">
      <w:start w:val="1"/>
      <w:numFmt w:val="bullet"/>
      <w:lvlText w:val=""/>
      <w:lvlJc w:val="left"/>
      <w:pPr>
        <w:ind w:left="2232" w:hanging="792"/>
      </w:pPr>
      <w:rPr>
        <w:rFonts w:ascii="Symbol" w:hAnsi="Symbol" w:hint="default"/>
        <w:color w:val="095258"/>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216E3ED4"/>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21AB4D1B"/>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15:restartNumberingAfterBreak="0">
    <w:nsid w:val="249E7159"/>
    <w:multiLevelType w:val="multilevel"/>
    <w:tmpl w:val="D0002AA2"/>
    <w:styleLink w:val="Style3"/>
    <w:lvl w:ilvl="0">
      <w:start w:val="4"/>
      <w:numFmt w:val="decimal"/>
      <w:lvlText w:val="%1."/>
      <w:lvlJc w:val="left"/>
      <w:pPr>
        <w:ind w:left="360" w:hanging="360"/>
      </w:pPr>
      <w:rPr>
        <w:rFonts w:ascii="Calibri Light" w:eastAsia="MS Gothic" w:hAnsi="Calibri Light" w:cs="Times New Roman" w:hint="default"/>
        <w:b w:val="0"/>
        <w:i w:val="0"/>
        <w:sz w:val="48"/>
      </w:rPr>
    </w:lvl>
    <w:lvl w:ilvl="1">
      <w:start w:val="1"/>
      <w:numFmt w:val="decimal"/>
      <w:lvlText w:val="%1.%2."/>
      <w:lvlJc w:val="left"/>
      <w:pPr>
        <w:ind w:left="432" w:hanging="432"/>
      </w:pPr>
      <w:rPr>
        <w:rFonts w:ascii="Aptos" w:hAnsi="Aptos" w:cs="Aptos"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A3182"/>
    <w:multiLevelType w:val="multilevel"/>
    <w:tmpl w:val="D0002AA2"/>
    <w:styleLink w:val="Style4"/>
    <w:lvl w:ilvl="0">
      <w:start w:val="6"/>
      <w:numFmt w:val="decimal"/>
      <w:lvlText w:val="%1."/>
      <w:lvlJc w:val="left"/>
      <w:pPr>
        <w:ind w:left="360" w:hanging="360"/>
      </w:pPr>
      <w:rPr>
        <w:rFonts w:ascii="Calibri Light" w:eastAsia="MS Gothic" w:hAnsi="Calibri Light" w:cs="Times New Roman" w:hint="default"/>
        <w:b w:val="0"/>
        <w:i w:val="0"/>
        <w:sz w:val="48"/>
      </w:rPr>
    </w:lvl>
    <w:lvl w:ilvl="1">
      <w:start w:val="1"/>
      <w:numFmt w:val="decimal"/>
      <w:lvlText w:val="%1.%2."/>
      <w:lvlJc w:val="left"/>
      <w:pPr>
        <w:ind w:left="432" w:hanging="432"/>
      </w:pPr>
      <w:rPr>
        <w:rFonts w:ascii="Aptos" w:hAnsi="Aptos" w:cs="Aptos"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E057AB"/>
    <w:multiLevelType w:val="hybridMultilevel"/>
    <w:tmpl w:val="2C3E8A80"/>
    <w:lvl w:ilvl="0" w:tplc="B46E8ACA">
      <w:start w:val="1"/>
      <w:numFmt w:val="bullet"/>
      <w:lvlText w:val="-"/>
      <w:lvlJc w:val="left"/>
      <w:pPr>
        <w:ind w:left="720" w:hanging="360"/>
      </w:pPr>
      <w:rPr>
        <w:rFonts w:ascii="&quot;Calibri&quot;,sans-serif" w:hAnsi="&quot;Calibri&quot;,sans-serif"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9C6D72"/>
    <w:multiLevelType w:val="hybridMultilevel"/>
    <w:tmpl w:val="E7461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772C44"/>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15:restartNumberingAfterBreak="0">
    <w:nsid w:val="34CD5B55"/>
    <w:multiLevelType w:val="hybridMultilevel"/>
    <w:tmpl w:val="4C0261D4"/>
    <w:lvl w:ilvl="0" w:tplc="3D5E92E8">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3C72132E"/>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41EB1A91"/>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423947CA"/>
    <w:multiLevelType w:val="hybridMultilevel"/>
    <w:tmpl w:val="65B65430"/>
    <w:lvl w:ilvl="0" w:tplc="FFFFFFFF">
      <w:start w:val="1"/>
      <w:numFmt w:val="lowerLetter"/>
      <w:lvlText w:val="(%1)"/>
      <w:lvlJc w:val="left"/>
      <w:pPr>
        <w:ind w:left="1211" w:hanging="360"/>
      </w:pPr>
      <w:rPr>
        <w:rFonts w:hint="default"/>
      </w:rPr>
    </w:lvl>
    <w:lvl w:ilvl="1" w:tplc="0C090019">
      <w:start w:val="1"/>
      <w:numFmt w:val="lowerLetter"/>
      <w:lvlText w:val="%2."/>
      <w:lvlJc w:val="left"/>
      <w:pPr>
        <w:ind w:left="720"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42C70145"/>
    <w:multiLevelType w:val="hybridMultilevel"/>
    <w:tmpl w:val="93D61462"/>
    <w:lvl w:ilvl="0" w:tplc="C44ADBAA">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43E86E98"/>
    <w:multiLevelType w:val="hybridMultilevel"/>
    <w:tmpl w:val="2D5232AA"/>
    <w:lvl w:ilvl="0" w:tplc="B46E8ACA">
      <w:start w:val="1"/>
      <w:numFmt w:val="bullet"/>
      <w:lvlText w:val="-"/>
      <w:lvlJc w:val="left"/>
      <w:pPr>
        <w:ind w:left="720" w:hanging="360"/>
      </w:pPr>
      <w:rPr>
        <w:rFonts w:ascii="&quot;Calibri&quot;,sans-serif" w:hAnsi="&quot;Calibri&quot;,sans-serif"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E82245"/>
    <w:multiLevelType w:val="multilevel"/>
    <w:tmpl w:val="C2E09C42"/>
    <w:lvl w:ilvl="0">
      <w:start w:val="1"/>
      <w:numFmt w:val="decimal"/>
      <w:lvlText w:val="%1."/>
      <w:lvlJc w:val="left"/>
      <w:pPr>
        <w:ind w:left="360" w:hanging="360"/>
      </w:pPr>
      <w:rPr>
        <w:rFonts w:hint="default"/>
        <w:b/>
        <w:i w:val="0"/>
        <w:sz w:val="32"/>
      </w:rPr>
    </w:lvl>
    <w:lvl w:ilvl="1">
      <w:start w:val="1"/>
      <w:numFmt w:val="bullet"/>
      <w:lvlText w:val=""/>
      <w:lvlJc w:val="left"/>
      <w:pPr>
        <w:ind w:left="792" w:hanging="432"/>
      </w:pPr>
      <w:rPr>
        <w:rFonts w:ascii="Symbol" w:hAnsi="Symbol" w:hint="default"/>
        <w:b w:val="0"/>
        <w:i w:val="0"/>
        <w:sz w:val="24"/>
        <w:szCs w:val="24"/>
      </w:rPr>
    </w:lvl>
    <w:lvl w:ilvl="2">
      <w:start w:val="1"/>
      <w:numFmt w:val="bullet"/>
      <w:lvlText w:val=""/>
      <w:lvlJc w:val="left"/>
      <w:pPr>
        <w:ind w:left="1224" w:hanging="504"/>
      </w:pPr>
      <w:rPr>
        <w:rFonts w:ascii="Symbol" w:hAnsi="Symbol" w:hint="default"/>
        <w:b w:val="0"/>
        <w:i w:val="0"/>
        <w:sz w:val="24"/>
      </w:rPr>
    </w:lvl>
    <w:lvl w:ilvl="3">
      <w:start w:val="1"/>
      <w:numFmt w:val="bullet"/>
      <w:lvlText w:val=""/>
      <w:lvlJc w:val="left"/>
      <w:pPr>
        <w:ind w:left="1500" w:hanging="648"/>
      </w:pPr>
      <w:rPr>
        <w:rFonts w:ascii="Symbol" w:hAnsi="Symbol"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EE4918"/>
    <w:multiLevelType w:val="hybridMultilevel"/>
    <w:tmpl w:val="A9E678DA"/>
    <w:lvl w:ilvl="0" w:tplc="F296F788">
      <w:start w:val="1"/>
      <w:numFmt w:val="lowerLetter"/>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4AF739AA"/>
    <w:multiLevelType w:val="hybridMultilevel"/>
    <w:tmpl w:val="C5B2D6EA"/>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5" w15:restartNumberingAfterBreak="0">
    <w:nsid w:val="54F863D0"/>
    <w:multiLevelType w:val="hybridMultilevel"/>
    <w:tmpl w:val="B992AB00"/>
    <w:lvl w:ilvl="0" w:tplc="902EE0CE">
      <w:start w:val="1"/>
      <w:numFmt w:val="lowerRoman"/>
      <w:lvlText w:val="(%1)"/>
      <w:lvlJc w:val="left"/>
      <w:pPr>
        <w:ind w:left="2156" w:hanging="720"/>
      </w:pPr>
      <w:rPr>
        <w:rFonts w:hint="default"/>
      </w:rPr>
    </w:lvl>
    <w:lvl w:ilvl="1" w:tplc="0C090019" w:tentative="1">
      <w:start w:val="1"/>
      <w:numFmt w:val="lowerLetter"/>
      <w:lvlText w:val="%2."/>
      <w:lvlJc w:val="left"/>
      <w:pPr>
        <w:ind w:left="2516" w:hanging="360"/>
      </w:pPr>
    </w:lvl>
    <w:lvl w:ilvl="2" w:tplc="0C09001B" w:tentative="1">
      <w:start w:val="1"/>
      <w:numFmt w:val="lowerRoman"/>
      <w:lvlText w:val="%3."/>
      <w:lvlJc w:val="right"/>
      <w:pPr>
        <w:ind w:left="3236" w:hanging="180"/>
      </w:pPr>
    </w:lvl>
    <w:lvl w:ilvl="3" w:tplc="0C09000F" w:tentative="1">
      <w:start w:val="1"/>
      <w:numFmt w:val="decimal"/>
      <w:lvlText w:val="%4."/>
      <w:lvlJc w:val="left"/>
      <w:pPr>
        <w:ind w:left="3956" w:hanging="360"/>
      </w:pPr>
    </w:lvl>
    <w:lvl w:ilvl="4" w:tplc="0C090019" w:tentative="1">
      <w:start w:val="1"/>
      <w:numFmt w:val="lowerLetter"/>
      <w:lvlText w:val="%5."/>
      <w:lvlJc w:val="left"/>
      <w:pPr>
        <w:ind w:left="4676" w:hanging="360"/>
      </w:pPr>
    </w:lvl>
    <w:lvl w:ilvl="5" w:tplc="0C09001B" w:tentative="1">
      <w:start w:val="1"/>
      <w:numFmt w:val="lowerRoman"/>
      <w:lvlText w:val="%6."/>
      <w:lvlJc w:val="right"/>
      <w:pPr>
        <w:ind w:left="5396" w:hanging="180"/>
      </w:pPr>
    </w:lvl>
    <w:lvl w:ilvl="6" w:tplc="0C09000F" w:tentative="1">
      <w:start w:val="1"/>
      <w:numFmt w:val="decimal"/>
      <w:lvlText w:val="%7."/>
      <w:lvlJc w:val="left"/>
      <w:pPr>
        <w:ind w:left="6116" w:hanging="360"/>
      </w:pPr>
    </w:lvl>
    <w:lvl w:ilvl="7" w:tplc="0C090019" w:tentative="1">
      <w:start w:val="1"/>
      <w:numFmt w:val="lowerLetter"/>
      <w:lvlText w:val="%8."/>
      <w:lvlJc w:val="left"/>
      <w:pPr>
        <w:ind w:left="6836" w:hanging="360"/>
      </w:pPr>
    </w:lvl>
    <w:lvl w:ilvl="8" w:tplc="0C09001B" w:tentative="1">
      <w:start w:val="1"/>
      <w:numFmt w:val="lowerRoman"/>
      <w:lvlText w:val="%9."/>
      <w:lvlJc w:val="right"/>
      <w:pPr>
        <w:ind w:left="7556" w:hanging="180"/>
      </w:pPr>
    </w:lvl>
  </w:abstractNum>
  <w:abstractNum w:abstractNumId="26" w15:restartNumberingAfterBreak="0">
    <w:nsid w:val="55BE0FCE"/>
    <w:multiLevelType w:val="hybridMultilevel"/>
    <w:tmpl w:val="2FECEE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F540D9"/>
    <w:multiLevelType w:val="multilevel"/>
    <w:tmpl w:val="AADEB8D2"/>
    <w:lvl w:ilvl="0">
      <w:start w:val="4"/>
      <w:numFmt w:val="decimal"/>
      <w:lvlText w:val="%1."/>
      <w:lvlJc w:val="left"/>
      <w:pPr>
        <w:ind w:left="360" w:hanging="360"/>
      </w:pPr>
      <w:rPr>
        <w:rFonts w:hint="default"/>
        <w:b/>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0"/>
        <w:szCs w:val="20"/>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93634B1"/>
    <w:multiLevelType w:val="multilevel"/>
    <w:tmpl w:val="DF0EAE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095258"/>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9" w15:restartNumberingAfterBreak="0">
    <w:nsid w:val="5B4B28CF"/>
    <w:multiLevelType w:val="multilevel"/>
    <w:tmpl w:val="80B88CE0"/>
    <w:styleLink w:val="Styl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440" w:hanging="720"/>
      </w:pPr>
      <w:rPr>
        <w:rFonts w:ascii="Aptos" w:eastAsia="Aptos" w:hAnsi="Aptos" w:cs="Apto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216BB2"/>
    <w:multiLevelType w:val="multilevel"/>
    <w:tmpl w:val="C1B82CE0"/>
    <w:lvl w:ilvl="0">
      <w:start w:val="1"/>
      <w:numFmt w:val="decimal"/>
      <w:lvlText w:val="%1."/>
      <w:lvlJc w:val="left"/>
      <w:pPr>
        <w:ind w:left="360" w:hanging="360"/>
      </w:pPr>
      <w:rPr>
        <w:rFonts w:hint="default"/>
      </w:rPr>
    </w:lvl>
    <w:lvl w:ilvl="1">
      <w:start w:val="1"/>
      <w:numFmt w:val="decimal"/>
      <w:lvlText w:val="%1.%2."/>
      <w:lvlJc w:val="left"/>
      <w:pPr>
        <w:ind w:left="281" w:firstLine="3"/>
      </w:pPr>
      <w:rPr>
        <w:rFonts w:hint="default"/>
        <w:strike w:val="0"/>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1" w15:restartNumberingAfterBreak="0">
    <w:nsid w:val="64F27159"/>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2"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9302F67"/>
    <w:multiLevelType w:val="multilevel"/>
    <w:tmpl w:val="C1B82CE0"/>
    <w:lvl w:ilvl="0">
      <w:start w:val="1"/>
      <w:numFmt w:val="decimal"/>
      <w:lvlText w:val="%1."/>
      <w:lvlJc w:val="left"/>
      <w:pPr>
        <w:ind w:left="360" w:hanging="360"/>
      </w:pPr>
      <w:rPr>
        <w:rFonts w:hint="default"/>
      </w:rPr>
    </w:lvl>
    <w:lvl w:ilvl="1">
      <w:start w:val="1"/>
      <w:numFmt w:val="decimal"/>
      <w:lvlText w:val="%1.%2."/>
      <w:lvlJc w:val="left"/>
      <w:pPr>
        <w:ind w:left="4533" w:firstLine="3"/>
      </w:pPr>
      <w:rPr>
        <w:rFonts w:hint="default"/>
        <w:strike w:val="0"/>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4" w15:restartNumberingAfterBreak="0">
    <w:nsid w:val="71517A92"/>
    <w:multiLevelType w:val="multilevel"/>
    <w:tmpl w:val="0C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E7169B"/>
    <w:multiLevelType w:val="multilevel"/>
    <w:tmpl w:val="5B0EA176"/>
    <w:lvl w:ilvl="0">
      <w:start w:val="1"/>
      <w:numFmt w:val="decimal"/>
      <w:lvlText w:val="%1."/>
      <w:lvlJc w:val="left"/>
      <w:pPr>
        <w:ind w:left="360" w:hanging="360"/>
      </w:pPr>
    </w:lvl>
    <w:lvl w:ilvl="1">
      <w:start w:val="1"/>
      <w:numFmt w:val="lowerLetter"/>
      <w:lvlText w:val="%2)"/>
      <w:lvlJc w:val="left"/>
      <w:pPr>
        <w:ind w:left="644" w:hanging="360"/>
      </w:pPr>
    </w:lvl>
    <w:lvl w:ilvl="2">
      <w:start w:val="1"/>
      <w:numFmt w:val="lowerLetter"/>
      <w:lvlText w:val="%3)"/>
      <w:lvlJc w:val="left"/>
      <w:pPr>
        <w:ind w:left="1224" w:hanging="504"/>
      </w:pPr>
    </w:lvl>
    <w:lvl w:ilvl="3">
      <w:start w:val="1"/>
      <w:numFmt w:val="lowerRoman"/>
      <w:lvlText w:val="%4)"/>
      <w:lvlJc w:val="left"/>
      <w:pPr>
        <w:ind w:left="1728" w:hanging="648"/>
      </w:pPr>
    </w:lvl>
    <w:lvl w:ilvl="4">
      <w:start w:val="1"/>
      <w:numFmt w:val="none"/>
      <w:lvlText w:val="-"/>
      <w:lvlJc w:val="left"/>
      <w:pPr>
        <w:ind w:left="2232" w:hanging="792"/>
      </w:pPr>
    </w:lvl>
    <w:lvl w:ilvl="5">
      <w:start w:val="1"/>
      <w:numFmt w:val="none"/>
      <w:lvlText w:val=""/>
      <w:lvlJc w:val="left"/>
      <w:pPr>
        <w:ind w:left="2736" w:hanging="936"/>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36" w15:restartNumberingAfterBreak="0">
    <w:nsid w:val="78745A88"/>
    <w:multiLevelType w:val="multilevel"/>
    <w:tmpl w:val="F77E210C"/>
    <w:styleLink w:val="Style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9C7082C"/>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239145457">
    <w:abstractNumId w:val="1"/>
  </w:num>
  <w:num w:numId="2" w16cid:durableId="26369661">
    <w:abstractNumId w:val="0"/>
  </w:num>
  <w:num w:numId="3" w16cid:durableId="660423560">
    <w:abstractNumId w:val="34"/>
  </w:num>
  <w:num w:numId="4" w16cid:durableId="631903369">
    <w:abstractNumId w:val="27"/>
  </w:num>
  <w:num w:numId="5" w16cid:durableId="1723937801">
    <w:abstractNumId w:val="32"/>
  </w:num>
  <w:num w:numId="6" w16cid:durableId="289669260">
    <w:abstractNumId w:val="29"/>
  </w:num>
  <w:num w:numId="7" w16cid:durableId="767819897">
    <w:abstractNumId w:val="11"/>
  </w:num>
  <w:num w:numId="8" w16cid:durableId="1377467846">
    <w:abstractNumId w:val="12"/>
  </w:num>
  <w:num w:numId="9" w16cid:durableId="1777825047">
    <w:abstractNumId w:val="22"/>
  </w:num>
  <w:num w:numId="10" w16cid:durableId="1400637353">
    <w:abstractNumId w:val="36"/>
  </w:num>
  <w:num w:numId="11" w16cid:durableId="245501535">
    <w:abstractNumId w:val="8"/>
  </w:num>
  <w:num w:numId="12" w16cid:durableId="288124136">
    <w:abstractNumId w:val="2"/>
  </w:num>
  <w:num w:numId="13" w16cid:durableId="977804777">
    <w:abstractNumId w:val="28"/>
  </w:num>
  <w:num w:numId="14" w16cid:durableId="631862341">
    <w:abstractNumId w:val="3"/>
  </w:num>
  <w:num w:numId="15" w16cid:durableId="1529025284">
    <w:abstractNumId w:val="18"/>
  </w:num>
  <w:num w:numId="16" w16cid:durableId="1169979610">
    <w:abstractNumId w:val="13"/>
  </w:num>
  <w:num w:numId="17" w16cid:durableId="495924810">
    <w:abstractNumId w:val="5"/>
  </w:num>
  <w:num w:numId="18" w16cid:durableId="808596549">
    <w:abstractNumId w:val="37"/>
  </w:num>
  <w:num w:numId="19" w16cid:durableId="1078214927">
    <w:abstractNumId w:val="7"/>
  </w:num>
  <w:num w:numId="20" w16cid:durableId="1351881915">
    <w:abstractNumId w:val="10"/>
  </w:num>
  <w:num w:numId="21" w16cid:durableId="665936823">
    <w:abstractNumId w:val="31"/>
  </w:num>
  <w:num w:numId="22" w16cid:durableId="1874535244">
    <w:abstractNumId w:val="21"/>
  </w:num>
  <w:num w:numId="23" w16cid:durableId="1607928586">
    <w:abstractNumId w:val="15"/>
  </w:num>
  <w:num w:numId="24" w16cid:durableId="1223175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416548">
    <w:abstractNumId w:val="16"/>
  </w:num>
  <w:num w:numId="26" w16cid:durableId="1259750577">
    <w:abstractNumId w:val="23"/>
  </w:num>
  <w:num w:numId="27" w16cid:durableId="329068294">
    <w:abstractNumId w:val="25"/>
  </w:num>
  <w:num w:numId="28" w16cid:durableId="1307931095">
    <w:abstractNumId w:val="30"/>
  </w:num>
  <w:num w:numId="29" w16cid:durableId="432097305">
    <w:abstractNumId w:val="14"/>
  </w:num>
  <w:num w:numId="30" w16cid:durableId="9116204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516289">
    <w:abstractNumId w:val="24"/>
  </w:num>
  <w:num w:numId="32" w16cid:durableId="668754639">
    <w:abstractNumId w:val="20"/>
  </w:num>
  <w:num w:numId="33" w16cid:durableId="1650598805">
    <w:abstractNumId w:val="19"/>
  </w:num>
  <w:num w:numId="34" w16cid:durableId="738946824">
    <w:abstractNumId w:val="6"/>
  </w:num>
  <w:num w:numId="35" w16cid:durableId="1886717257">
    <w:abstractNumId w:val="4"/>
  </w:num>
  <w:num w:numId="36" w16cid:durableId="235824205">
    <w:abstractNumId w:val="17"/>
  </w:num>
  <w:num w:numId="37" w16cid:durableId="264195623">
    <w:abstractNumId w:val="9"/>
  </w:num>
  <w:num w:numId="38" w16cid:durableId="921067100">
    <w:abstractNumId w:val="33"/>
  </w:num>
  <w:num w:numId="39" w16cid:durableId="17932242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13"/>
    <w:rsid w:val="0000019E"/>
    <w:rsid w:val="000007E1"/>
    <w:rsid w:val="00000B41"/>
    <w:rsid w:val="00001014"/>
    <w:rsid w:val="00001ACD"/>
    <w:rsid w:val="00001D68"/>
    <w:rsid w:val="00001F79"/>
    <w:rsid w:val="0000212D"/>
    <w:rsid w:val="0000220B"/>
    <w:rsid w:val="0000264F"/>
    <w:rsid w:val="00003340"/>
    <w:rsid w:val="00003766"/>
    <w:rsid w:val="00003ADB"/>
    <w:rsid w:val="000041C5"/>
    <w:rsid w:val="00004503"/>
    <w:rsid w:val="000056B2"/>
    <w:rsid w:val="000058E3"/>
    <w:rsid w:val="000059B5"/>
    <w:rsid w:val="00006019"/>
    <w:rsid w:val="00006F27"/>
    <w:rsid w:val="00006F6F"/>
    <w:rsid w:val="000108F9"/>
    <w:rsid w:val="00010B7D"/>
    <w:rsid w:val="00011961"/>
    <w:rsid w:val="00012426"/>
    <w:rsid w:val="00012E42"/>
    <w:rsid w:val="000131D2"/>
    <w:rsid w:val="00013210"/>
    <w:rsid w:val="0001354E"/>
    <w:rsid w:val="00014276"/>
    <w:rsid w:val="00014372"/>
    <w:rsid w:val="000146F1"/>
    <w:rsid w:val="00014CF3"/>
    <w:rsid w:val="000158FA"/>
    <w:rsid w:val="000159F0"/>
    <w:rsid w:val="00015C21"/>
    <w:rsid w:val="00015FA5"/>
    <w:rsid w:val="00017287"/>
    <w:rsid w:val="00017B24"/>
    <w:rsid w:val="000200CF"/>
    <w:rsid w:val="000212C6"/>
    <w:rsid w:val="0002131A"/>
    <w:rsid w:val="000217B9"/>
    <w:rsid w:val="00021E95"/>
    <w:rsid w:val="00022907"/>
    <w:rsid w:val="0002326C"/>
    <w:rsid w:val="000242A1"/>
    <w:rsid w:val="00024F54"/>
    <w:rsid w:val="00024FB7"/>
    <w:rsid w:val="000252AA"/>
    <w:rsid w:val="000256BE"/>
    <w:rsid w:val="000260A1"/>
    <w:rsid w:val="00026EB6"/>
    <w:rsid w:val="00027275"/>
    <w:rsid w:val="000275AD"/>
    <w:rsid w:val="00027D66"/>
    <w:rsid w:val="000311DF"/>
    <w:rsid w:val="00031369"/>
    <w:rsid w:val="00031675"/>
    <w:rsid w:val="0003175C"/>
    <w:rsid w:val="00031C37"/>
    <w:rsid w:val="00031C61"/>
    <w:rsid w:val="00031CFC"/>
    <w:rsid w:val="000323B3"/>
    <w:rsid w:val="00032995"/>
    <w:rsid w:val="00032B58"/>
    <w:rsid w:val="00032C6C"/>
    <w:rsid w:val="0003315F"/>
    <w:rsid w:val="000331E1"/>
    <w:rsid w:val="00034867"/>
    <w:rsid w:val="000349C4"/>
    <w:rsid w:val="00034DBB"/>
    <w:rsid w:val="00034FD1"/>
    <w:rsid w:val="00035856"/>
    <w:rsid w:val="0003614B"/>
    <w:rsid w:val="00036763"/>
    <w:rsid w:val="0003677D"/>
    <w:rsid w:val="00036A6F"/>
    <w:rsid w:val="00036EF0"/>
    <w:rsid w:val="00037BEA"/>
    <w:rsid w:val="00037D31"/>
    <w:rsid w:val="00037FC4"/>
    <w:rsid w:val="00040AB9"/>
    <w:rsid w:val="00041261"/>
    <w:rsid w:val="000415B5"/>
    <w:rsid w:val="00041AAB"/>
    <w:rsid w:val="00042046"/>
    <w:rsid w:val="00042353"/>
    <w:rsid w:val="00042A0E"/>
    <w:rsid w:val="00043B42"/>
    <w:rsid w:val="00043C33"/>
    <w:rsid w:val="0004527E"/>
    <w:rsid w:val="00045440"/>
    <w:rsid w:val="00045ABA"/>
    <w:rsid w:val="000469CE"/>
    <w:rsid w:val="00046C8A"/>
    <w:rsid w:val="00050666"/>
    <w:rsid w:val="000507A4"/>
    <w:rsid w:val="000512B9"/>
    <w:rsid w:val="0005139E"/>
    <w:rsid w:val="000516E3"/>
    <w:rsid w:val="00051D1B"/>
    <w:rsid w:val="00051F2A"/>
    <w:rsid w:val="00051FF5"/>
    <w:rsid w:val="0005244C"/>
    <w:rsid w:val="000524EC"/>
    <w:rsid w:val="00052535"/>
    <w:rsid w:val="00052976"/>
    <w:rsid w:val="00052B02"/>
    <w:rsid w:val="00052EA3"/>
    <w:rsid w:val="000539C0"/>
    <w:rsid w:val="00055067"/>
    <w:rsid w:val="000552B3"/>
    <w:rsid w:val="00055623"/>
    <w:rsid w:val="00055700"/>
    <w:rsid w:val="00055BBD"/>
    <w:rsid w:val="000562CA"/>
    <w:rsid w:val="00056787"/>
    <w:rsid w:val="000568C6"/>
    <w:rsid w:val="00057C60"/>
    <w:rsid w:val="0006064E"/>
    <w:rsid w:val="00060681"/>
    <w:rsid w:val="000607B6"/>
    <w:rsid w:val="000614CD"/>
    <w:rsid w:val="00061BFB"/>
    <w:rsid w:val="0006312B"/>
    <w:rsid w:val="00063743"/>
    <w:rsid w:val="00064328"/>
    <w:rsid w:val="00064CB7"/>
    <w:rsid w:val="0006522C"/>
    <w:rsid w:val="0006585A"/>
    <w:rsid w:val="00065A0F"/>
    <w:rsid w:val="00065A42"/>
    <w:rsid w:val="00066481"/>
    <w:rsid w:val="00066D39"/>
    <w:rsid w:val="0006732C"/>
    <w:rsid w:val="0006759C"/>
    <w:rsid w:val="0007022E"/>
    <w:rsid w:val="00070281"/>
    <w:rsid w:val="000703CF"/>
    <w:rsid w:val="00070619"/>
    <w:rsid w:val="0007067B"/>
    <w:rsid w:val="00070983"/>
    <w:rsid w:val="000709A9"/>
    <w:rsid w:val="000709F2"/>
    <w:rsid w:val="000725C0"/>
    <w:rsid w:val="00072D3B"/>
    <w:rsid w:val="0007358E"/>
    <w:rsid w:val="0007476E"/>
    <w:rsid w:val="00074B60"/>
    <w:rsid w:val="00074D8A"/>
    <w:rsid w:val="00075F82"/>
    <w:rsid w:val="00076E08"/>
    <w:rsid w:val="0007720B"/>
    <w:rsid w:val="0007753C"/>
    <w:rsid w:val="00077602"/>
    <w:rsid w:val="00077B4F"/>
    <w:rsid w:val="00077CCD"/>
    <w:rsid w:val="00077D02"/>
    <w:rsid w:val="00077E06"/>
    <w:rsid w:val="00077EFC"/>
    <w:rsid w:val="00080509"/>
    <w:rsid w:val="00080D36"/>
    <w:rsid w:val="0008167B"/>
    <w:rsid w:val="000816B3"/>
    <w:rsid w:val="00081ADD"/>
    <w:rsid w:val="00081D07"/>
    <w:rsid w:val="00082459"/>
    <w:rsid w:val="00083687"/>
    <w:rsid w:val="00084811"/>
    <w:rsid w:val="0008492C"/>
    <w:rsid w:val="00084A0B"/>
    <w:rsid w:val="00084ED7"/>
    <w:rsid w:val="0008581C"/>
    <w:rsid w:val="00086495"/>
    <w:rsid w:val="00087011"/>
    <w:rsid w:val="00087500"/>
    <w:rsid w:val="0008774F"/>
    <w:rsid w:val="00087DCE"/>
    <w:rsid w:val="00090DDB"/>
    <w:rsid w:val="0009118B"/>
    <w:rsid w:val="00091B90"/>
    <w:rsid w:val="000921E0"/>
    <w:rsid w:val="00092A2A"/>
    <w:rsid w:val="00092D85"/>
    <w:rsid w:val="00092FB6"/>
    <w:rsid w:val="0009303E"/>
    <w:rsid w:val="000931B1"/>
    <w:rsid w:val="00093727"/>
    <w:rsid w:val="00095C1F"/>
    <w:rsid w:val="000976DC"/>
    <w:rsid w:val="000A0BF1"/>
    <w:rsid w:val="000A1AA2"/>
    <w:rsid w:val="000A1ECA"/>
    <w:rsid w:val="000A21D8"/>
    <w:rsid w:val="000A2249"/>
    <w:rsid w:val="000A373A"/>
    <w:rsid w:val="000A3A76"/>
    <w:rsid w:val="000A5042"/>
    <w:rsid w:val="000A594F"/>
    <w:rsid w:val="000A5A52"/>
    <w:rsid w:val="000A5BBE"/>
    <w:rsid w:val="000A5E67"/>
    <w:rsid w:val="000A68D7"/>
    <w:rsid w:val="000A6C5D"/>
    <w:rsid w:val="000A75CB"/>
    <w:rsid w:val="000A7666"/>
    <w:rsid w:val="000B0357"/>
    <w:rsid w:val="000B03F7"/>
    <w:rsid w:val="000B0B84"/>
    <w:rsid w:val="000B0EAE"/>
    <w:rsid w:val="000B0F74"/>
    <w:rsid w:val="000B16A5"/>
    <w:rsid w:val="000B17B5"/>
    <w:rsid w:val="000B1D47"/>
    <w:rsid w:val="000B24FC"/>
    <w:rsid w:val="000B33D2"/>
    <w:rsid w:val="000B3414"/>
    <w:rsid w:val="000B3A48"/>
    <w:rsid w:val="000B3AA5"/>
    <w:rsid w:val="000B3E8C"/>
    <w:rsid w:val="000B5F52"/>
    <w:rsid w:val="000B62C5"/>
    <w:rsid w:val="000B6B33"/>
    <w:rsid w:val="000B6C60"/>
    <w:rsid w:val="000B6CE0"/>
    <w:rsid w:val="000B6F92"/>
    <w:rsid w:val="000B73C6"/>
    <w:rsid w:val="000B7867"/>
    <w:rsid w:val="000B7990"/>
    <w:rsid w:val="000B7C9B"/>
    <w:rsid w:val="000C0065"/>
    <w:rsid w:val="000C1929"/>
    <w:rsid w:val="000C2ECE"/>
    <w:rsid w:val="000C3494"/>
    <w:rsid w:val="000C35F5"/>
    <w:rsid w:val="000C3A5D"/>
    <w:rsid w:val="000C4108"/>
    <w:rsid w:val="000C47A6"/>
    <w:rsid w:val="000C4B21"/>
    <w:rsid w:val="000C595A"/>
    <w:rsid w:val="000C5FC8"/>
    <w:rsid w:val="000C6331"/>
    <w:rsid w:val="000C66C1"/>
    <w:rsid w:val="000C6A2B"/>
    <w:rsid w:val="000C7141"/>
    <w:rsid w:val="000C7925"/>
    <w:rsid w:val="000D059B"/>
    <w:rsid w:val="000D0636"/>
    <w:rsid w:val="000D10BA"/>
    <w:rsid w:val="000D1600"/>
    <w:rsid w:val="000D1959"/>
    <w:rsid w:val="000D1B29"/>
    <w:rsid w:val="000D1DAA"/>
    <w:rsid w:val="000D1DB0"/>
    <w:rsid w:val="000D1F27"/>
    <w:rsid w:val="000D2BD3"/>
    <w:rsid w:val="000D38A7"/>
    <w:rsid w:val="000D4020"/>
    <w:rsid w:val="000D43EA"/>
    <w:rsid w:val="000D445B"/>
    <w:rsid w:val="000D57AE"/>
    <w:rsid w:val="000D6138"/>
    <w:rsid w:val="000D636F"/>
    <w:rsid w:val="000D7F30"/>
    <w:rsid w:val="000E05C1"/>
    <w:rsid w:val="000E0F53"/>
    <w:rsid w:val="000E2019"/>
    <w:rsid w:val="000E2143"/>
    <w:rsid w:val="000E2520"/>
    <w:rsid w:val="000E2607"/>
    <w:rsid w:val="000E2FC9"/>
    <w:rsid w:val="000E3030"/>
    <w:rsid w:val="000E31C3"/>
    <w:rsid w:val="000E47B4"/>
    <w:rsid w:val="000E47FC"/>
    <w:rsid w:val="000E4C25"/>
    <w:rsid w:val="000E4E09"/>
    <w:rsid w:val="000E4EE0"/>
    <w:rsid w:val="000E4F2F"/>
    <w:rsid w:val="000E51A4"/>
    <w:rsid w:val="000E599A"/>
    <w:rsid w:val="000E5C60"/>
    <w:rsid w:val="000E6316"/>
    <w:rsid w:val="000E6AFE"/>
    <w:rsid w:val="000E7178"/>
    <w:rsid w:val="000F0C27"/>
    <w:rsid w:val="000F1B3F"/>
    <w:rsid w:val="000F22F8"/>
    <w:rsid w:val="000F2564"/>
    <w:rsid w:val="000F264C"/>
    <w:rsid w:val="000F3933"/>
    <w:rsid w:val="000F396D"/>
    <w:rsid w:val="000F5069"/>
    <w:rsid w:val="000F50CE"/>
    <w:rsid w:val="000F56FF"/>
    <w:rsid w:val="000F5A97"/>
    <w:rsid w:val="000F5B6E"/>
    <w:rsid w:val="000F62CC"/>
    <w:rsid w:val="000F69AD"/>
    <w:rsid w:val="000F77B7"/>
    <w:rsid w:val="000F7AA1"/>
    <w:rsid w:val="000F7BCC"/>
    <w:rsid w:val="000F7C72"/>
    <w:rsid w:val="000F7D07"/>
    <w:rsid w:val="000F7FE0"/>
    <w:rsid w:val="00100243"/>
    <w:rsid w:val="00100856"/>
    <w:rsid w:val="001015A9"/>
    <w:rsid w:val="00101BB7"/>
    <w:rsid w:val="00102036"/>
    <w:rsid w:val="001028AE"/>
    <w:rsid w:val="0010291F"/>
    <w:rsid w:val="00102A04"/>
    <w:rsid w:val="00102A38"/>
    <w:rsid w:val="00102C55"/>
    <w:rsid w:val="00102EE0"/>
    <w:rsid w:val="00103FEA"/>
    <w:rsid w:val="00104036"/>
    <w:rsid w:val="00104478"/>
    <w:rsid w:val="00104612"/>
    <w:rsid w:val="0010469E"/>
    <w:rsid w:val="00104830"/>
    <w:rsid w:val="001054A8"/>
    <w:rsid w:val="00105878"/>
    <w:rsid w:val="00105E11"/>
    <w:rsid w:val="0010629D"/>
    <w:rsid w:val="00106547"/>
    <w:rsid w:val="00106627"/>
    <w:rsid w:val="00106960"/>
    <w:rsid w:val="00107B18"/>
    <w:rsid w:val="00107C4C"/>
    <w:rsid w:val="00107F42"/>
    <w:rsid w:val="00110148"/>
    <w:rsid w:val="00110899"/>
    <w:rsid w:val="00110BCD"/>
    <w:rsid w:val="00111A27"/>
    <w:rsid w:val="001123C1"/>
    <w:rsid w:val="001131AE"/>
    <w:rsid w:val="00113C2C"/>
    <w:rsid w:val="001146C8"/>
    <w:rsid w:val="001146DB"/>
    <w:rsid w:val="001146F2"/>
    <w:rsid w:val="001149E5"/>
    <w:rsid w:val="001157B7"/>
    <w:rsid w:val="00115F86"/>
    <w:rsid w:val="001169A8"/>
    <w:rsid w:val="0011707A"/>
    <w:rsid w:val="00117921"/>
    <w:rsid w:val="00117BF0"/>
    <w:rsid w:val="00117D01"/>
    <w:rsid w:val="0012003A"/>
    <w:rsid w:val="0012011E"/>
    <w:rsid w:val="00120386"/>
    <w:rsid w:val="001203AA"/>
    <w:rsid w:val="00120ADF"/>
    <w:rsid w:val="00120C02"/>
    <w:rsid w:val="00120C14"/>
    <w:rsid w:val="001215C8"/>
    <w:rsid w:val="0012192A"/>
    <w:rsid w:val="00121985"/>
    <w:rsid w:val="00121C88"/>
    <w:rsid w:val="001227AD"/>
    <w:rsid w:val="00122A19"/>
    <w:rsid w:val="00122C15"/>
    <w:rsid w:val="001230FD"/>
    <w:rsid w:val="001240D6"/>
    <w:rsid w:val="001243E8"/>
    <w:rsid w:val="001248AF"/>
    <w:rsid w:val="00124AB6"/>
    <w:rsid w:val="001253AE"/>
    <w:rsid w:val="001265E0"/>
    <w:rsid w:val="00130519"/>
    <w:rsid w:val="0013087E"/>
    <w:rsid w:val="00130C10"/>
    <w:rsid w:val="001311A3"/>
    <w:rsid w:val="0013198F"/>
    <w:rsid w:val="00131DBC"/>
    <w:rsid w:val="0013219C"/>
    <w:rsid w:val="001322B7"/>
    <w:rsid w:val="00132825"/>
    <w:rsid w:val="00132F3C"/>
    <w:rsid w:val="00133709"/>
    <w:rsid w:val="00133F27"/>
    <w:rsid w:val="00134C18"/>
    <w:rsid w:val="00135311"/>
    <w:rsid w:val="001355B6"/>
    <w:rsid w:val="001362F0"/>
    <w:rsid w:val="001364C7"/>
    <w:rsid w:val="00137D19"/>
    <w:rsid w:val="00140469"/>
    <w:rsid w:val="00140508"/>
    <w:rsid w:val="00140825"/>
    <w:rsid w:val="00140A2E"/>
    <w:rsid w:val="00140DBA"/>
    <w:rsid w:val="00140DEF"/>
    <w:rsid w:val="00141178"/>
    <w:rsid w:val="00141372"/>
    <w:rsid w:val="001431CD"/>
    <w:rsid w:val="001432FD"/>
    <w:rsid w:val="001436D0"/>
    <w:rsid w:val="00144185"/>
    <w:rsid w:val="00144634"/>
    <w:rsid w:val="00144EF9"/>
    <w:rsid w:val="0014631F"/>
    <w:rsid w:val="00146B98"/>
    <w:rsid w:val="00146D31"/>
    <w:rsid w:val="00147A4D"/>
    <w:rsid w:val="00147AD0"/>
    <w:rsid w:val="001502DE"/>
    <w:rsid w:val="001504CD"/>
    <w:rsid w:val="00150681"/>
    <w:rsid w:val="00150A6D"/>
    <w:rsid w:val="00153C15"/>
    <w:rsid w:val="00153F65"/>
    <w:rsid w:val="001549C0"/>
    <w:rsid w:val="001557C2"/>
    <w:rsid w:val="001557FC"/>
    <w:rsid w:val="00155A0D"/>
    <w:rsid w:val="00155A2E"/>
    <w:rsid w:val="00155F01"/>
    <w:rsid w:val="00157AEC"/>
    <w:rsid w:val="001602DC"/>
    <w:rsid w:val="0016045B"/>
    <w:rsid w:val="00160911"/>
    <w:rsid w:val="00161086"/>
    <w:rsid w:val="001614E4"/>
    <w:rsid w:val="001618A9"/>
    <w:rsid w:val="00161D3D"/>
    <w:rsid w:val="00162DB4"/>
    <w:rsid w:val="001632E9"/>
    <w:rsid w:val="00163408"/>
    <w:rsid w:val="0016383F"/>
    <w:rsid w:val="001639D9"/>
    <w:rsid w:val="00164CE1"/>
    <w:rsid w:val="00164CFE"/>
    <w:rsid w:val="00164EEE"/>
    <w:rsid w:val="001655E6"/>
    <w:rsid w:val="001671D7"/>
    <w:rsid w:val="00167F39"/>
    <w:rsid w:val="00170EBF"/>
    <w:rsid w:val="00171757"/>
    <w:rsid w:val="00171772"/>
    <w:rsid w:val="00172002"/>
    <w:rsid w:val="00172235"/>
    <w:rsid w:val="00172544"/>
    <w:rsid w:val="0017274C"/>
    <w:rsid w:val="0017290E"/>
    <w:rsid w:val="00172C61"/>
    <w:rsid w:val="00172E45"/>
    <w:rsid w:val="00172F6B"/>
    <w:rsid w:val="00173068"/>
    <w:rsid w:val="00173142"/>
    <w:rsid w:val="001735AB"/>
    <w:rsid w:val="001737D5"/>
    <w:rsid w:val="00173D56"/>
    <w:rsid w:val="00174108"/>
    <w:rsid w:val="0017428A"/>
    <w:rsid w:val="0017479D"/>
    <w:rsid w:val="00174B52"/>
    <w:rsid w:val="00174E58"/>
    <w:rsid w:val="00175963"/>
    <w:rsid w:val="00175968"/>
    <w:rsid w:val="001762C0"/>
    <w:rsid w:val="001773CE"/>
    <w:rsid w:val="0017AF4C"/>
    <w:rsid w:val="0018007F"/>
    <w:rsid w:val="00180D4B"/>
    <w:rsid w:val="001813E9"/>
    <w:rsid w:val="001815DC"/>
    <w:rsid w:val="0018164A"/>
    <w:rsid w:val="00181C62"/>
    <w:rsid w:val="00182299"/>
    <w:rsid w:val="00182F97"/>
    <w:rsid w:val="0018368C"/>
    <w:rsid w:val="0018371E"/>
    <w:rsid w:val="001837C3"/>
    <w:rsid w:val="00183D7E"/>
    <w:rsid w:val="0018421D"/>
    <w:rsid w:val="00184305"/>
    <w:rsid w:val="0018436A"/>
    <w:rsid w:val="0018545D"/>
    <w:rsid w:val="00185D6A"/>
    <w:rsid w:val="00185E15"/>
    <w:rsid w:val="00185EBB"/>
    <w:rsid w:val="0018682B"/>
    <w:rsid w:val="0018691A"/>
    <w:rsid w:val="00186C29"/>
    <w:rsid w:val="00186F71"/>
    <w:rsid w:val="0018753C"/>
    <w:rsid w:val="001878A9"/>
    <w:rsid w:val="00187933"/>
    <w:rsid w:val="00187CF3"/>
    <w:rsid w:val="0019080C"/>
    <w:rsid w:val="00191400"/>
    <w:rsid w:val="001914C0"/>
    <w:rsid w:val="001918E8"/>
    <w:rsid w:val="00193A33"/>
    <w:rsid w:val="00194198"/>
    <w:rsid w:val="00195804"/>
    <w:rsid w:val="00195D28"/>
    <w:rsid w:val="00197651"/>
    <w:rsid w:val="001976E7"/>
    <w:rsid w:val="001A11D8"/>
    <w:rsid w:val="001A3572"/>
    <w:rsid w:val="001A375E"/>
    <w:rsid w:val="001A3870"/>
    <w:rsid w:val="001A38CC"/>
    <w:rsid w:val="001A4494"/>
    <w:rsid w:val="001A4C3E"/>
    <w:rsid w:val="001A4F37"/>
    <w:rsid w:val="001A5A8D"/>
    <w:rsid w:val="001A60F6"/>
    <w:rsid w:val="001A64B9"/>
    <w:rsid w:val="001B0961"/>
    <w:rsid w:val="001B0A0F"/>
    <w:rsid w:val="001B0C86"/>
    <w:rsid w:val="001B1E92"/>
    <w:rsid w:val="001B314C"/>
    <w:rsid w:val="001B38D6"/>
    <w:rsid w:val="001B3EB5"/>
    <w:rsid w:val="001B4937"/>
    <w:rsid w:val="001B4C25"/>
    <w:rsid w:val="001B7A1B"/>
    <w:rsid w:val="001B7F5B"/>
    <w:rsid w:val="001C02C2"/>
    <w:rsid w:val="001C0538"/>
    <w:rsid w:val="001C05AE"/>
    <w:rsid w:val="001C19D0"/>
    <w:rsid w:val="001C2070"/>
    <w:rsid w:val="001C210E"/>
    <w:rsid w:val="001C2133"/>
    <w:rsid w:val="001C22D3"/>
    <w:rsid w:val="001C2326"/>
    <w:rsid w:val="001C2A1A"/>
    <w:rsid w:val="001C3321"/>
    <w:rsid w:val="001C3B3D"/>
    <w:rsid w:val="001C4437"/>
    <w:rsid w:val="001C4B55"/>
    <w:rsid w:val="001C5553"/>
    <w:rsid w:val="001C65B9"/>
    <w:rsid w:val="001C673E"/>
    <w:rsid w:val="001C7734"/>
    <w:rsid w:val="001D0964"/>
    <w:rsid w:val="001D0F4C"/>
    <w:rsid w:val="001D12C7"/>
    <w:rsid w:val="001D216A"/>
    <w:rsid w:val="001D2920"/>
    <w:rsid w:val="001D2E82"/>
    <w:rsid w:val="001D491C"/>
    <w:rsid w:val="001D4C83"/>
    <w:rsid w:val="001D51DA"/>
    <w:rsid w:val="001D5FE8"/>
    <w:rsid w:val="001D662E"/>
    <w:rsid w:val="001D69B9"/>
    <w:rsid w:val="001D70D9"/>
    <w:rsid w:val="001D7693"/>
    <w:rsid w:val="001E0327"/>
    <w:rsid w:val="001E0973"/>
    <w:rsid w:val="001E0C46"/>
    <w:rsid w:val="001E0C9F"/>
    <w:rsid w:val="001E112B"/>
    <w:rsid w:val="001E141A"/>
    <w:rsid w:val="001E151A"/>
    <w:rsid w:val="001E1620"/>
    <w:rsid w:val="001E1E16"/>
    <w:rsid w:val="001E29F7"/>
    <w:rsid w:val="001E386A"/>
    <w:rsid w:val="001E4121"/>
    <w:rsid w:val="001E4FD3"/>
    <w:rsid w:val="001E52CA"/>
    <w:rsid w:val="001E57EC"/>
    <w:rsid w:val="001E5838"/>
    <w:rsid w:val="001E5E1C"/>
    <w:rsid w:val="001E5E24"/>
    <w:rsid w:val="001E618C"/>
    <w:rsid w:val="001E75D7"/>
    <w:rsid w:val="001E7AD7"/>
    <w:rsid w:val="001F0605"/>
    <w:rsid w:val="001F162E"/>
    <w:rsid w:val="001F20F1"/>
    <w:rsid w:val="001F3AC1"/>
    <w:rsid w:val="001F423C"/>
    <w:rsid w:val="001F4577"/>
    <w:rsid w:val="001F4A23"/>
    <w:rsid w:val="001F4BCE"/>
    <w:rsid w:val="001F524B"/>
    <w:rsid w:val="001F5AB1"/>
    <w:rsid w:val="001F62B7"/>
    <w:rsid w:val="001F6DB1"/>
    <w:rsid w:val="00200224"/>
    <w:rsid w:val="00200874"/>
    <w:rsid w:val="0020091E"/>
    <w:rsid w:val="002028A1"/>
    <w:rsid w:val="00202C5E"/>
    <w:rsid w:val="00203777"/>
    <w:rsid w:val="002042FE"/>
    <w:rsid w:val="002049BA"/>
    <w:rsid w:val="00204F28"/>
    <w:rsid w:val="00205077"/>
    <w:rsid w:val="00205ACC"/>
    <w:rsid w:val="00205BB7"/>
    <w:rsid w:val="00205DF3"/>
    <w:rsid w:val="00205E42"/>
    <w:rsid w:val="00206797"/>
    <w:rsid w:val="00206A01"/>
    <w:rsid w:val="002075F6"/>
    <w:rsid w:val="002125D0"/>
    <w:rsid w:val="00212750"/>
    <w:rsid w:val="00213F13"/>
    <w:rsid w:val="002140A6"/>
    <w:rsid w:val="002140DB"/>
    <w:rsid w:val="00214E02"/>
    <w:rsid w:val="00215306"/>
    <w:rsid w:val="0021547D"/>
    <w:rsid w:val="00215962"/>
    <w:rsid w:val="00215D60"/>
    <w:rsid w:val="002160A4"/>
    <w:rsid w:val="00216B21"/>
    <w:rsid w:val="00217203"/>
    <w:rsid w:val="0021791E"/>
    <w:rsid w:val="00220197"/>
    <w:rsid w:val="00220698"/>
    <w:rsid w:val="0022073C"/>
    <w:rsid w:val="0022083E"/>
    <w:rsid w:val="00220E7C"/>
    <w:rsid w:val="0022109D"/>
    <w:rsid w:val="002210E5"/>
    <w:rsid w:val="0022141A"/>
    <w:rsid w:val="002223A1"/>
    <w:rsid w:val="00222D0B"/>
    <w:rsid w:val="00222FB0"/>
    <w:rsid w:val="00224848"/>
    <w:rsid w:val="00224E31"/>
    <w:rsid w:val="0022503B"/>
    <w:rsid w:val="002256F9"/>
    <w:rsid w:val="00226161"/>
    <w:rsid w:val="00226B63"/>
    <w:rsid w:val="002276A3"/>
    <w:rsid w:val="002305CF"/>
    <w:rsid w:val="002309B8"/>
    <w:rsid w:val="00230AEA"/>
    <w:rsid w:val="00231C1A"/>
    <w:rsid w:val="00231F15"/>
    <w:rsid w:val="00232157"/>
    <w:rsid w:val="00232491"/>
    <w:rsid w:val="00232A5B"/>
    <w:rsid w:val="00233495"/>
    <w:rsid w:val="0023397C"/>
    <w:rsid w:val="00234810"/>
    <w:rsid w:val="00234956"/>
    <w:rsid w:val="00234BFB"/>
    <w:rsid w:val="00235113"/>
    <w:rsid w:val="00235589"/>
    <w:rsid w:val="002358BB"/>
    <w:rsid w:val="00236C3D"/>
    <w:rsid w:val="00237028"/>
    <w:rsid w:val="002377D6"/>
    <w:rsid w:val="00237984"/>
    <w:rsid w:val="00237E7B"/>
    <w:rsid w:val="0024008F"/>
    <w:rsid w:val="0024159F"/>
    <w:rsid w:val="00241644"/>
    <w:rsid w:val="00241D3D"/>
    <w:rsid w:val="0024249E"/>
    <w:rsid w:val="002424C3"/>
    <w:rsid w:val="002426DC"/>
    <w:rsid w:val="00242B9B"/>
    <w:rsid w:val="00242FAF"/>
    <w:rsid w:val="002446E3"/>
    <w:rsid w:val="00244BF4"/>
    <w:rsid w:val="00244EBA"/>
    <w:rsid w:val="00244F2F"/>
    <w:rsid w:val="00245560"/>
    <w:rsid w:val="00245FBC"/>
    <w:rsid w:val="00246116"/>
    <w:rsid w:val="002461AD"/>
    <w:rsid w:val="002462B3"/>
    <w:rsid w:val="00246598"/>
    <w:rsid w:val="00246D98"/>
    <w:rsid w:val="002501F7"/>
    <w:rsid w:val="00251BD0"/>
    <w:rsid w:val="0025208A"/>
    <w:rsid w:val="00252A06"/>
    <w:rsid w:val="002534C9"/>
    <w:rsid w:val="002538E1"/>
    <w:rsid w:val="002539AD"/>
    <w:rsid w:val="00253C63"/>
    <w:rsid w:val="00254018"/>
    <w:rsid w:val="0025424C"/>
    <w:rsid w:val="002545C3"/>
    <w:rsid w:val="00254DA8"/>
    <w:rsid w:val="00254E49"/>
    <w:rsid w:val="002568EC"/>
    <w:rsid w:val="00256CAD"/>
    <w:rsid w:val="002572FE"/>
    <w:rsid w:val="002573DA"/>
    <w:rsid w:val="00261843"/>
    <w:rsid w:val="00261A59"/>
    <w:rsid w:val="00261CC3"/>
    <w:rsid w:val="002621D6"/>
    <w:rsid w:val="002623BE"/>
    <w:rsid w:val="0026416A"/>
    <w:rsid w:val="00264988"/>
    <w:rsid w:val="002653C9"/>
    <w:rsid w:val="00265C8A"/>
    <w:rsid w:val="002664DA"/>
    <w:rsid w:val="00266B70"/>
    <w:rsid w:val="00266F7C"/>
    <w:rsid w:val="002674EF"/>
    <w:rsid w:val="00267A1C"/>
    <w:rsid w:val="00270201"/>
    <w:rsid w:val="00270322"/>
    <w:rsid w:val="00270E49"/>
    <w:rsid w:val="00270F97"/>
    <w:rsid w:val="00271211"/>
    <w:rsid w:val="00271623"/>
    <w:rsid w:val="002716C2"/>
    <w:rsid w:val="00271A1A"/>
    <w:rsid w:val="00272924"/>
    <w:rsid w:val="00272A9E"/>
    <w:rsid w:val="00272AE1"/>
    <w:rsid w:val="00272B04"/>
    <w:rsid w:val="00272BEF"/>
    <w:rsid w:val="00273252"/>
    <w:rsid w:val="0027331F"/>
    <w:rsid w:val="002737B8"/>
    <w:rsid w:val="00273B6D"/>
    <w:rsid w:val="00274366"/>
    <w:rsid w:val="00274425"/>
    <w:rsid w:val="00274A3B"/>
    <w:rsid w:val="00274B39"/>
    <w:rsid w:val="00274C94"/>
    <w:rsid w:val="002761B4"/>
    <w:rsid w:val="00276C4F"/>
    <w:rsid w:val="00277107"/>
    <w:rsid w:val="0027781C"/>
    <w:rsid w:val="0028017D"/>
    <w:rsid w:val="0028134A"/>
    <w:rsid w:val="002816BA"/>
    <w:rsid w:val="00282160"/>
    <w:rsid w:val="002825FE"/>
    <w:rsid w:val="00282ED3"/>
    <w:rsid w:val="002830F2"/>
    <w:rsid w:val="00283232"/>
    <w:rsid w:val="00284616"/>
    <w:rsid w:val="00284FD6"/>
    <w:rsid w:val="002850BA"/>
    <w:rsid w:val="00285290"/>
    <w:rsid w:val="00285A55"/>
    <w:rsid w:val="00286847"/>
    <w:rsid w:val="00286980"/>
    <w:rsid w:val="00287AFF"/>
    <w:rsid w:val="00287DC4"/>
    <w:rsid w:val="0029049F"/>
    <w:rsid w:val="002908CD"/>
    <w:rsid w:val="002909CD"/>
    <w:rsid w:val="00291D67"/>
    <w:rsid w:val="0029200E"/>
    <w:rsid w:val="0029256C"/>
    <w:rsid w:val="00292D69"/>
    <w:rsid w:val="00293081"/>
    <w:rsid w:val="002934BC"/>
    <w:rsid w:val="002936AB"/>
    <w:rsid w:val="0029447B"/>
    <w:rsid w:val="00294611"/>
    <w:rsid w:val="00295780"/>
    <w:rsid w:val="002966DA"/>
    <w:rsid w:val="002A0573"/>
    <w:rsid w:val="002A08DD"/>
    <w:rsid w:val="002A101F"/>
    <w:rsid w:val="002A1361"/>
    <w:rsid w:val="002A1A81"/>
    <w:rsid w:val="002A1AF7"/>
    <w:rsid w:val="002A1CAD"/>
    <w:rsid w:val="002A2A03"/>
    <w:rsid w:val="002A2C8E"/>
    <w:rsid w:val="002A3990"/>
    <w:rsid w:val="002A39EA"/>
    <w:rsid w:val="002A3DEF"/>
    <w:rsid w:val="002A3F08"/>
    <w:rsid w:val="002A429E"/>
    <w:rsid w:val="002A44EE"/>
    <w:rsid w:val="002A64CD"/>
    <w:rsid w:val="002A65A2"/>
    <w:rsid w:val="002A6666"/>
    <w:rsid w:val="002A68E6"/>
    <w:rsid w:val="002A7142"/>
    <w:rsid w:val="002A739F"/>
    <w:rsid w:val="002A7514"/>
    <w:rsid w:val="002B0011"/>
    <w:rsid w:val="002B07B2"/>
    <w:rsid w:val="002B09E5"/>
    <w:rsid w:val="002B10E2"/>
    <w:rsid w:val="002B1532"/>
    <w:rsid w:val="002B1B9C"/>
    <w:rsid w:val="002B2243"/>
    <w:rsid w:val="002B249A"/>
    <w:rsid w:val="002B3A3A"/>
    <w:rsid w:val="002B41D2"/>
    <w:rsid w:val="002B5C69"/>
    <w:rsid w:val="002B5DA4"/>
    <w:rsid w:val="002B5DFC"/>
    <w:rsid w:val="002B6133"/>
    <w:rsid w:val="002B6152"/>
    <w:rsid w:val="002B61BA"/>
    <w:rsid w:val="002B69A8"/>
    <w:rsid w:val="002B6CC8"/>
    <w:rsid w:val="002B6E0C"/>
    <w:rsid w:val="002B7923"/>
    <w:rsid w:val="002C027C"/>
    <w:rsid w:val="002C0888"/>
    <w:rsid w:val="002C1468"/>
    <w:rsid w:val="002C14BA"/>
    <w:rsid w:val="002C1B6E"/>
    <w:rsid w:val="002C21D6"/>
    <w:rsid w:val="002C2355"/>
    <w:rsid w:val="002C2528"/>
    <w:rsid w:val="002C2695"/>
    <w:rsid w:val="002C28C6"/>
    <w:rsid w:val="002C2A15"/>
    <w:rsid w:val="002C32D3"/>
    <w:rsid w:val="002C3730"/>
    <w:rsid w:val="002C3FC4"/>
    <w:rsid w:val="002C4DD6"/>
    <w:rsid w:val="002C5C97"/>
    <w:rsid w:val="002C7E8D"/>
    <w:rsid w:val="002D0F11"/>
    <w:rsid w:val="002D1232"/>
    <w:rsid w:val="002D165B"/>
    <w:rsid w:val="002D1915"/>
    <w:rsid w:val="002D1E94"/>
    <w:rsid w:val="002D230B"/>
    <w:rsid w:val="002D2561"/>
    <w:rsid w:val="002D2AA4"/>
    <w:rsid w:val="002D492D"/>
    <w:rsid w:val="002D4A36"/>
    <w:rsid w:val="002D4FC9"/>
    <w:rsid w:val="002D5AF1"/>
    <w:rsid w:val="002D5F14"/>
    <w:rsid w:val="002D6375"/>
    <w:rsid w:val="002D6EF6"/>
    <w:rsid w:val="002D7540"/>
    <w:rsid w:val="002D76A8"/>
    <w:rsid w:val="002D79B5"/>
    <w:rsid w:val="002E0800"/>
    <w:rsid w:val="002E0F4E"/>
    <w:rsid w:val="002E1D86"/>
    <w:rsid w:val="002E1D8F"/>
    <w:rsid w:val="002E22E1"/>
    <w:rsid w:val="002E2948"/>
    <w:rsid w:val="002E2FF1"/>
    <w:rsid w:val="002E32B2"/>
    <w:rsid w:val="002E42E1"/>
    <w:rsid w:val="002E47FD"/>
    <w:rsid w:val="002E61CD"/>
    <w:rsid w:val="002E63B6"/>
    <w:rsid w:val="002E6CC0"/>
    <w:rsid w:val="002E6F7D"/>
    <w:rsid w:val="002E7584"/>
    <w:rsid w:val="002E7619"/>
    <w:rsid w:val="002F0988"/>
    <w:rsid w:val="002F152F"/>
    <w:rsid w:val="002F180F"/>
    <w:rsid w:val="002F21D0"/>
    <w:rsid w:val="002F23FB"/>
    <w:rsid w:val="002F2624"/>
    <w:rsid w:val="002F2EE4"/>
    <w:rsid w:val="002F352B"/>
    <w:rsid w:val="002F3597"/>
    <w:rsid w:val="002F389C"/>
    <w:rsid w:val="002F3910"/>
    <w:rsid w:val="002F42EF"/>
    <w:rsid w:val="002F4EB4"/>
    <w:rsid w:val="002F548F"/>
    <w:rsid w:val="002F5912"/>
    <w:rsid w:val="002F5FAE"/>
    <w:rsid w:val="002F60C0"/>
    <w:rsid w:val="002F6502"/>
    <w:rsid w:val="002F6F07"/>
    <w:rsid w:val="002F753E"/>
    <w:rsid w:val="003005CE"/>
    <w:rsid w:val="00300608"/>
    <w:rsid w:val="00300B29"/>
    <w:rsid w:val="00300BF3"/>
    <w:rsid w:val="00301217"/>
    <w:rsid w:val="0030146F"/>
    <w:rsid w:val="003015AC"/>
    <w:rsid w:val="0030191F"/>
    <w:rsid w:val="0030283D"/>
    <w:rsid w:val="00302A37"/>
    <w:rsid w:val="00303785"/>
    <w:rsid w:val="003039BC"/>
    <w:rsid w:val="00303A09"/>
    <w:rsid w:val="00303D7E"/>
    <w:rsid w:val="00303F14"/>
    <w:rsid w:val="003041A1"/>
    <w:rsid w:val="003052BB"/>
    <w:rsid w:val="00305C8B"/>
    <w:rsid w:val="003069D5"/>
    <w:rsid w:val="00306B37"/>
    <w:rsid w:val="00306FA0"/>
    <w:rsid w:val="00306FAD"/>
    <w:rsid w:val="00307198"/>
    <w:rsid w:val="003103CB"/>
    <w:rsid w:val="0031048E"/>
    <w:rsid w:val="0031063E"/>
    <w:rsid w:val="0031131D"/>
    <w:rsid w:val="00311C3E"/>
    <w:rsid w:val="00311CCC"/>
    <w:rsid w:val="00312CBB"/>
    <w:rsid w:val="00312F28"/>
    <w:rsid w:val="0031311C"/>
    <w:rsid w:val="00313160"/>
    <w:rsid w:val="003131C5"/>
    <w:rsid w:val="00313AB6"/>
    <w:rsid w:val="00314785"/>
    <w:rsid w:val="00314D89"/>
    <w:rsid w:val="00315846"/>
    <w:rsid w:val="0031654A"/>
    <w:rsid w:val="00316A3C"/>
    <w:rsid w:val="00316AE3"/>
    <w:rsid w:val="00317A50"/>
    <w:rsid w:val="003200A9"/>
    <w:rsid w:val="003202B8"/>
    <w:rsid w:val="003211C1"/>
    <w:rsid w:val="0032159D"/>
    <w:rsid w:val="00321B75"/>
    <w:rsid w:val="00322607"/>
    <w:rsid w:val="00322FF8"/>
    <w:rsid w:val="003236F0"/>
    <w:rsid w:val="00323773"/>
    <w:rsid w:val="00323FCD"/>
    <w:rsid w:val="00324950"/>
    <w:rsid w:val="00326005"/>
    <w:rsid w:val="00326775"/>
    <w:rsid w:val="00326896"/>
    <w:rsid w:val="00326972"/>
    <w:rsid w:val="00327255"/>
    <w:rsid w:val="00330090"/>
    <w:rsid w:val="0033018A"/>
    <w:rsid w:val="003302A4"/>
    <w:rsid w:val="0033070F"/>
    <w:rsid w:val="00330C0B"/>
    <w:rsid w:val="00331622"/>
    <w:rsid w:val="00331728"/>
    <w:rsid w:val="003325DF"/>
    <w:rsid w:val="003334DB"/>
    <w:rsid w:val="00333CA2"/>
    <w:rsid w:val="00333E26"/>
    <w:rsid w:val="003342CB"/>
    <w:rsid w:val="00334D72"/>
    <w:rsid w:val="003352D5"/>
    <w:rsid w:val="00335749"/>
    <w:rsid w:val="003358E7"/>
    <w:rsid w:val="00336BBC"/>
    <w:rsid w:val="00336BD9"/>
    <w:rsid w:val="00336E7F"/>
    <w:rsid w:val="00336F5C"/>
    <w:rsid w:val="00337241"/>
    <w:rsid w:val="00337389"/>
    <w:rsid w:val="00337C9A"/>
    <w:rsid w:val="00337D05"/>
    <w:rsid w:val="003403B3"/>
    <w:rsid w:val="003407D7"/>
    <w:rsid w:val="003413C1"/>
    <w:rsid w:val="00341888"/>
    <w:rsid w:val="00341FE9"/>
    <w:rsid w:val="00342207"/>
    <w:rsid w:val="0034233A"/>
    <w:rsid w:val="00342440"/>
    <w:rsid w:val="00343084"/>
    <w:rsid w:val="003439FA"/>
    <w:rsid w:val="003449A5"/>
    <w:rsid w:val="00344A89"/>
    <w:rsid w:val="00344B0D"/>
    <w:rsid w:val="0034500A"/>
    <w:rsid w:val="00345532"/>
    <w:rsid w:val="00345714"/>
    <w:rsid w:val="003462E4"/>
    <w:rsid w:val="003467EC"/>
    <w:rsid w:val="0034724D"/>
    <w:rsid w:val="0034752C"/>
    <w:rsid w:val="00347908"/>
    <w:rsid w:val="003502EA"/>
    <w:rsid w:val="00350A30"/>
    <w:rsid w:val="00350C77"/>
    <w:rsid w:val="00350ED5"/>
    <w:rsid w:val="0035108D"/>
    <w:rsid w:val="0035140F"/>
    <w:rsid w:val="0035451F"/>
    <w:rsid w:val="00354BEE"/>
    <w:rsid w:val="00356121"/>
    <w:rsid w:val="00356941"/>
    <w:rsid w:val="00356AE9"/>
    <w:rsid w:val="00356B40"/>
    <w:rsid w:val="003575DE"/>
    <w:rsid w:val="00357BAB"/>
    <w:rsid w:val="0036057F"/>
    <w:rsid w:val="003606DC"/>
    <w:rsid w:val="003606EF"/>
    <w:rsid w:val="0036145E"/>
    <w:rsid w:val="003615CD"/>
    <w:rsid w:val="003629C8"/>
    <w:rsid w:val="00362B9F"/>
    <w:rsid w:val="003638BA"/>
    <w:rsid w:val="0036404B"/>
    <w:rsid w:val="0036431F"/>
    <w:rsid w:val="00364B06"/>
    <w:rsid w:val="0036516D"/>
    <w:rsid w:val="00365A9D"/>
    <w:rsid w:val="0036623F"/>
    <w:rsid w:val="00366F53"/>
    <w:rsid w:val="00367351"/>
    <w:rsid w:val="00367552"/>
    <w:rsid w:val="00367656"/>
    <w:rsid w:val="00367B89"/>
    <w:rsid w:val="00367BD0"/>
    <w:rsid w:val="00370359"/>
    <w:rsid w:val="00370DD4"/>
    <w:rsid w:val="00370F03"/>
    <w:rsid w:val="0037120C"/>
    <w:rsid w:val="00371B45"/>
    <w:rsid w:val="003722B5"/>
    <w:rsid w:val="00372E1A"/>
    <w:rsid w:val="00373951"/>
    <w:rsid w:val="00373C50"/>
    <w:rsid w:val="00374443"/>
    <w:rsid w:val="00374514"/>
    <w:rsid w:val="003745F8"/>
    <w:rsid w:val="00374739"/>
    <w:rsid w:val="00374B7E"/>
    <w:rsid w:val="00375000"/>
    <w:rsid w:val="0037542F"/>
    <w:rsid w:val="0037599F"/>
    <w:rsid w:val="00376682"/>
    <w:rsid w:val="00377BBA"/>
    <w:rsid w:val="00377D55"/>
    <w:rsid w:val="00380738"/>
    <w:rsid w:val="00381CC3"/>
    <w:rsid w:val="00382196"/>
    <w:rsid w:val="0038398E"/>
    <w:rsid w:val="00383C88"/>
    <w:rsid w:val="00383DBA"/>
    <w:rsid w:val="00383E85"/>
    <w:rsid w:val="00384BDC"/>
    <w:rsid w:val="00384C94"/>
    <w:rsid w:val="00385334"/>
    <w:rsid w:val="0038580E"/>
    <w:rsid w:val="00385991"/>
    <w:rsid w:val="00385D82"/>
    <w:rsid w:val="003867F9"/>
    <w:rsid w:val="003868A8"/>
    <w:rsid w:val="003868F6"/>
    <w:rsid w:val="00386C46"/>
    <w:rsid w:val="00387CB3"/>
    <w:rsid w:val="00387FA6"/>
    <w:rsid w:val="003904A2"/>
    <w:rsid w:val="003907F0"/>
    <w:rsid w:val="00390806"/>
    <w:rsid w:val="00391328"/>
    <w:rsid w:val="00391D2D"/>
    <w:rsid w:val="00391F4E"/>
    <w:rsid w:val="00392A47"/>
    <w:rsid w:val="00393000"/>
    <w:rsid w:val="003936B2"/>
    <w:rsid w:val="00393784"/>
    <w:rsid w:val="0039434F"/>
    <w:rsid w:val="003950C2"/>
    <w:rsid w:val="003959AE"/>
    <w:rsid w:val="00396578"/>
    <w:rsid w:val="003967E0"/>
    <w:rsid w:val="00397089"/>
    <w:rsid w:val="00397452"/>
    <w:rsid w:val="00397473"/>
    <w:rsid w:val="00397939"/>
    <w:rsid w:val="003A0C4A"/>
    <w:rsid w:val="003A0CE6"/>
    <w:rsid w:val="003A0E7F"/>
    <w:rsid w:val="003A0FF2"/>
    <w:rsid w:val="003A11D4"/>
    <w:rsid w:val="003A1459"/>
    <w:rsid w:val="003A19F1"/>
    <w:rsid w:val="003A1BD2"/>
    <w:rsid w:val="003A1F23"/>
    <w:rsid w:val="003A21C7"/>
    <w:rsid w:val="003A2D97"/>
    <w:rsid w:val="003A33F4"/>
    <w:rsid w:val="003A3E5C"/>
    <w:rsid w:val="003A4D3F"/>
    <w:rsid w:val="003A4F61"/>
    <w:rsid w:val="003A5025"/>
    <w:rsid w:val="003A5129"/>
    <w:rsid w:val="003A62BB"/>
    <w:rsid w:val="003A6486"/>
    <w:rsid w:val="003A6AC1"/>
    <w:rsid w:val="003A6EB0"/>
    <w:rsid w:val="003A721E"/>
    <w:rsid w:val="003A754F"/>
    <w:rsid w:val="003A7938"/>
    <w:rsid w:val="003B0679"/>
    <w:rsid w:val="003B0EBC"/>
    <w:rsid w:val="003B2217"/>
    <w:rsid w:val="003B270C"/>
    <w:rsid w:val="003B350C"/>
    <w:rsid w:val="003B4218"/>
    <w:rsid w:val="003B482A"/>
    <w:rsid w:val="003B4D3C"/>
    <w:rsid w:val="003B685B"/>
    <w:rsid w:val="003B7294"/>
    <w:rsid w:val="003B7C36"/>
    <w:rsid w:val="003C067F"/>
    <w:rsid w:val="003C0BDF"/>
    <w:rsid w:val="003C0BF0"/>
    <w:rsid w:val="003C11C2"/>
    <w:rsid w:val="003C1305"/>
    <w:rsid w:val="003C157F"/>
    <w:rsid w:val="003C1A51"/>
    <w:rsid w:val="003C2202"/>
    <w:rsid w:val="003C2379"/>
    <w:rsid w:val="003C27C8"/>
    <w:rsid w:val="003C2B6C"/>
    <w:rsid w:val="003C2C92"/>
    <w:rsid w:val="003C307A"/>
    <w:rsid w:val="003C38D0"/>
    <w:rsid w:val="003C418C"/>
    <w:rsid w:val="003C4711"/>
    <w:rsid w:val="003C504E"/>
    <w:rsid w:val="003C5369"/>
    <w:rsid w:val="003C6211"/>
    <w:rsid w:val="003C6646"/>
    <w:rsid w:val="003C70DC"/>
    <w:rsid w:val="003C742F"/>
    <w:rsid w:val="003C7E6D"/>
    <w:rsid w:val="003C7F9F"/>
    <w:rsid w:val="003D0241"/>
    <w:rsid w:val="003D09FA"/>
    <w:rsid w:val="003D0C42"/>
    <w:rsid w:val="003D1BB1"/>
    <w:rsid w:val="003D2E96"/>
    <w:rsid w:val="003D316B"/>
    <w:rsid w:val="003D38ED"/>
    <w:rsid w:val="003D3AD7"/>
    <w:rsid w:val="003D440C"/>
    <w:rsid w:val="003D4C4A"/>
    <w:rsid w:val="003D4FED"/>
    <w:rsid w:val="003D559A"/>
    <w:rsid w:val="003D606E"/>
    <w:rsid w:val="003D640F"/>
    <w:rsid w:val="003D6761"/>
    <w:rsid w:val="003D747D"/>
    <w:rsid w:val="003D7B79"/>
    <w:rsid w:val="003E007F"/>
    <w:rsid w:val="003E0644"/>
    <w:rsid w:val="003E0A16"/>
    <w:rsid w:val="003E0EA0"/>
    <w:rsid w:val="003E0F75"/>
    <w:rsid w:val="003E2022"/>
    <w:rsid w:val="003E25A6"/>
    <w:rsid w:val="003E25DE"/>
    <w:rsid w:val="003E2ECB"/>
    <w:rsid w:val="003E3611"/>
    <w:rsid w:val="003E3C8E"/>
    <w:rsid w:val="003E3D7B"/>
    <w:rsid w:val="003E40D6"/>
    <w:rsid w:val="003E4C70"/>
    <w:rsid w:val="003E538F"/>
    <w:rsid w:val="003E5CDB"/>
    <w:rsid w:val="003E6956"/>
    <w:rsid w:val="003E6D94"/>
    <w:rsid w:val="003E7B94"/>
    <w:rsid w:val="003F02DD"/>
    <w:rsid w:val="003F0CE6"/>
    <w:rsid w:val="003F1DA2"/>
    <w:rsid w:val="003F1E6B"/>
    <w:rsid w:val="003F20D8"/>
    <w:rsid w:val="003F25BE"/>
    <w:rsid w:val="003F2CC9"/>
    <w:rsid w:val="003F30AA"/>
    <w:rsid w:val="003F355A"/>
    <w:rsid w:val="003F385B"/>
    <w:rsid w:val="003F3DE4"/>
    <w:rsid w:val="003F424A"/>
    <w:rsid w:val="003F4C12"/>
    <w:rsid w:val="003F52BA"/>
    <w:rsid w:val="003F5DAD"/>
    <w:rsid w:val="003F5E11"/>
    <w:rsid w:val="003F5FDF"/>
    <w:rsid w:val="003F711E"/>
    <w:rsid w:val="003F7305"/>
    <w:rsid w:val="003F7571"/>
    <w:rsid w:val="003F798F"/>
    <w:rsid w:val="00400688"/>
    <w:rsid w:val="00402DFB"/>
    <w:rsid w:val="004038CB"/>
    <w:rsid w:val="00403A45"/>
    <w:rsid w:val="00403C26"/>
    <w:rsid w:val="00403EA3"/>
    <w:rsid w:val="0040530E"/>
    <w:rsid w:val="00405469"/>
    <w:rsid w:val="00405A73"/>
    <w:rsid w:val="00406032"/>
    <w:rsid w:val="00406A8E"/>
    <w:rsid w:val="00406DEB"/>
    <w:rsid w:val="00407C7E"/>
    <w:rsid w:val="004105ED"/>
    <w:rsid w:val="00412381"/>
    <w:rsid w:val="00412402"/>
    <w:rsid w:val="0041292E"/>
    <w:rsid w:val="00412C5E"/>
    <w:rsid w:val="00413028"/>
    <w:rsid w:val="00413327"/>
    <w:rsid w:val="00413639"/>
    <w:rsid w:val="00414D0C"/>
    <w:rsid w:val="00414F5D"/>
    <w:rsid w:val="00414F67"/>
    <w:rsid w:val="00414F9A"/>
    <w:rsid w:val="0041664F"/>
    <w:rsid w:val="004168D9"/>
    <w:rsid w:val="00416E09"/>
    <w:rsid w:val="004170A2"/>
    <w:rsid w:val="00417114"/>
    <w:rsid w:val="00417CD1"/>
    <w:rsid w:val="00417E86"/>
    <w:rsid w:val="00420CE2"/>
    <w:rsid w:val="004216B7"/>
    <w:rsid w:val="004220B4"/>
    <w:rsid w:val="00422D82"/>
    <w:rsid w:val="0042302E"/>
    <w:rsid w:val="00423197"/>
    <w:rsid w:val="004234AC"/>
    <w:rsid w:val="00423606"/>
    <w:rsid w:val="004236A8"/>
    <w:rsid w:val="00423807"/>
    <w:rsid w:val="00423B2E"/>
    <w:rsid w:val="00423D13"/>
    <w:rsid w:val="00423F77"/>
    <w:rsid w:val="004240E0"/>
    <w:rsid w:val="00424359"/>
    <w:rsid w:val="00424BC1"/>
    <w:rsid w:val="00424C17"/>
    <w:rsid w:val="004251FE"/>
    <w:rsid w:val="00425AFF"/>
    <w:rsid w:val="004267B5"/>
    <w:rsid w:val="0042722C"/>
    <w:rsid w:val="00427947"/>
    <w:rsid w:val="00427C62"/>
    <w:rsid w:val="00427C7E"/>
    <w:rsid w:val="0043053A"/>
    <w:rsid w:val="004306A3"/>
    <w:rsid w:val="00430BF1"/>
    <w:rsid w:val="00430EF4"/>
    <w:rsid w:val="0043140B"/>
    <w:rsid w:val="0043142E"/>
    <w:rsid w:val="0043150B"/>
    <w:rsid w:val="00432521"/>
    <w:rsid w:val="00432577"/>
    <w:rsid w:val="00435F7B"/>
    <w:rsid w:val="00436AFD"/>
    <w:rsid w:val="00436BBC"/>
    <w:rsid w:val="0043720A"/>
    <w:rsid w:val="00437970"/>
    <w:rsid w:val="00437ABE"/>
    <w:rsid w:val="00437F61"/>
    <w:rsid w:val="0044242B"/>
    <w:rsid w:val="00442583"/>
    <w:rsid w:val="00442C47"/>
    <w:rsid w:val="00442F69"/>
    <w:rsid w:val="00443628"/>
    <w:rsid w:val="00443646"/>
    <w:rsid w:val="00443E84"/>
    <w:rsid w:val="00444531"/>
    <w:rsid w:val="00444608"/>
    <w:rsid w:val="00445173"/>
    <w:rsid w:val="0044535F"/>
    <w:rsid w:val="004470B3"/>
    <w:rsid w:val="00450990"/>
    <w:rsid w:val="00450F4A"/>
    <w:rsid w:val="00451BDA"/>
    <w:rsid w:val="00454048"/>
    <w:rsid w:val="00454501"/>
    <w:rsid w:val="00454549"/>
    <w:rsid w:val="0045526A"/>
    <w:rsid w:val="00455F26"/>
    <w:rsid w:val="004568CF"/>
    <w:rsid w:val="004572D7"/>
    <w:rsid w:val="00457451"/>
    <w:rsid w:val="00457516"/>
    <w:rsid w:val="0045772C"/>
    <w:rsid w:val="00457A7C"/>
    <w:rsid w:val="00460C3C"/>
    <w:rsid w:val="00460C9C"/>
    <w:rsid w:val="00460FCB"/>
    <w:rsid w:val="00461123"/>
    <w:rsid w:val="004614FD"/>
    <w:rsid w:val="00461754"/>
    <w:rsid w:val="00462330"/>
    <w:rsid w:val="004624C1"/>
    <w:rsid w:val="004625C2"/>
    <w:rsid w:val="00462751"/>
    <w:rsid w:val="00462D70"/>
    <w:rsid w:val="00462EC5"/>
    <w:rsid w:val="0046304B"/>
    <w:rsid w:val="004630D5"/>
    <w:rsid w:val="0046310B"/>
    <w:rsid w:val="004631F1"/>
    <w:rsid w:val="004632E9"/>
    <w:rsid w:val="0046386A"/>
    <w:rsid w:val="00463907"/>
    <w:rsid w:val="00463AA2"/>
    <w:rsid w:val="00463BE7"/>
    <w:rsid w:val="00465358"/>
    <w:rsid w:val="0046540B"/>
    <w:rsid w:val="00465DEF"/>
    <w:rsid w:val="004661B4"/>
    <w:rsid w:val="004664D9"/>
    <w:rsid w:val="0046678C"/>
    <w:rsid w:val="00466BB9"/>
    <w:rsid w:val="00466DE1"/>
    <w:rsid w:val="00467CFD"/>
    <w:rsid w:val="00467EC5"/>
    <w:rsid w:val="00470596"/>
    <w:rsid w:val="00470E37"/>
    <w:rsid w:val="00471047"/>
    <w:rsid w:val="00471241"/>
    <w:rsid w:val="0047149D"/>
    <w:rsid w:val="00472EFE"/>
    <w:rsid w:val="0047320A"/>
    <w:rsid w:val="00473ABE"/>
    <w:rsid w:val="00473BD9"/>
    <w:rsid w:val="00473F50"/>
    <w:rsid w:val="004756F1"/>
    <w:rsid w:val="0047594C"/>
    <w:rsid w:val="00475EA2"/>
    <w:rsid w:val="0047615A"/>
    <w:rsid w:val="00476525"/>
    <w:rsid w:val="00476B09"/>
    <w:rsid w:val="00476DC1"/>
    <w:rsid w:val="004778EE"/>
    <w:rsid w:val="00477DEA"/>
    <w:rsid w:val="004807DB"/>
    <w:rsid w:val="004808C3"/>
    <w:rsid w:val="00480DE3"/>
    <w:rsid w:val="00481095"/>
    <w:rsid w:val="0048171A"/>
    <w:rsid w:val="00481F09"/>
    <w:rsid w:val="0048208B"/>
    <w:rsid w:val="00482D61"/>
    <w:rsid w:val="00482E2B"/>
    <w:rsid w:val="00482E75"/>
    <w:rsid w:val="004831ED"/>
    <w:rsid w:val="00483832"/>
    <w:rsid w:val="004847DE"/>
    <w:rsid w:val="00484914"/>
    <w:rsid w:val="00485024"/>
    <w:rsid w:val="00485873"/>
    <w:rsid w:val="0048687F"/>
    <w:rsid w:val="004874B9"/>
    <w:rsid w:val="004874D6"/>
    <w:rsid w:val="0048768D"/>
    <w:rsid w:val="00490442"/>
    <w:rsid w:val="00491620"/>
    <w:rsid w:val="00491A6B"/>
    <w:rsid w:val="00491F8F"/>
    <w:rsid w:val="004922A0"/>
    <w:rsid w:val="00492C7F"/>
    <w:rsid w:val="0049368A"/>
    <w:rsid w:val="0049380D"/>
    <w:rsid w:val="004942DC"/>
    <w:rsid w:val="00494907"/>
    <w:rsid w:val="00494C8E"/>
    <w:rsid w:val="004953AE"/>
    <w:rsid w:val="00495524"/>
    <w:rsid w:val="0049570C"/>
    <w:rsid w:val="00495A65"/>
    <w:rsid w:val="00495B83"/>
    <w:rsid w:val="00495E54"/>
    <w:rsid w:val="004970C7"/>
    <w:rsid w:val="00497421"/>
    <w:rsid w:val="0049758F"/>
    <w:rsid w:val="004977A7"/>
    <w:rsid w:val="00497C5F"/>
    <w:rsid w:val="00497D5F"/>
    <w:rsid w:val="00497FC9"/>
    <w:rsid w:val="004A00B5"/>
    <w:rsid w:val="004A020C"/>
    <w:rsid w:val="004A0899"/>
    <w:rsid w:val="004A09CA"/>
    <w:rsid w:val="004A0C8E"/>
    <w:rsid w:val="004A19B4"/>
    <w:rsid w:val="004A2398"/>
    <w:rsid w:val="004A246C"/>
    <w:rsid w:val="004A33E0"/>
    <w:rsid w:val="004A3B66"/>
    <w:rsid w:val="004A3EFA"/>
    <w:rsid w:val="004A4616"/>
    <w:rsid w:val="004A4A6A"/>
    <w:rsid w:val="004A4AFC"/>
    <w:rsid w:val="004A4CBD"/>
    <w:rsid w:val="004A51CF"/>
    <w:rsid w:val="004A55F3"/>
    <w:rsid w:val="004A5672"/>
    <w:rsid w:val="004A61EB"/>
    <w:rsid w:val="004A6BED"/>
    <w:rsid w:val="004A6DD8"/>
    <w:rsid w:val="004A75BC"/>
    <w:rsid w:val="004A7710"/>
    <w:rsid w:val="004A7856"/>
    <w:rsid w:val="004A7F43"/>
    <w:rsid w:val="004B034F"/>
    <w:rsid w:val="004B040E"/>
    <w:rsid w:val="004B11C9"/>
    <w:rsid w:val="004B1718"/>
    <w:rsid w:val="004B267F"/>
    <w:rsid w:val="004B27A4"/>
    <w:rsid w:val="004B27EF"/>
    <w:rsid w:val="004B4254"/>
    <w:rsid w:val="004B5399"/>
    <w:rsid w:val="004B6D88"/>
    <w:rsid w:val="004B7DA2"/>
    <w:rsid w:val="004C0A0D"/>
    <w:rsid w:val="004C1130"/>
    <w:rsid w:val="004C11AE"/>
    <w:rsid w:val="004C171E"/>
    <w:rsid w:val="004C1F41"/>
    <w:rsid w:val="004C2AF8"/>
    <w:rsid w:val="004C3128"/>
    <w:rsid w:val="004C478E"/>
    <w:rsid w:val="004C4E71"/>
    <w:rsid w:val="004C4F56"/>
    <w:rsid w:val="004C51F0"/>
    <w:rsid w:val="004C5AB8"/>
    <w:rsid w:val="004C5B0A"/>
    <w:rsid w:val="004C6024"/>
    <w:rsid w:val="004C69D7"/>
    <w:rsid w:val="004D057B"/>
    <w:rsid w:val="004D0611"/>
    <w:rsid w:val="004D282E"/>
    <w:rsid w:val="004D2EE7"/>
    <w:rsid w:val="004D2F48"/>
    <w:rsid w:val="004D33AD"/>
    <w:rsid w:val="004D3B0F"/>
    <w:rsid w:val="004D4C4F"/>
    <w:rsid w:val="004D4F18"/>
    <w:rsid w:val="004D50D9"/>
    <w:rsid w:val="004D5688"/>
    <w:rsid w:val="004D5B57"/>
    <w:rsid w:val="004D5F4B"/>
    <w:rsid w:val="004D60B1"/>
    <w:rsid w:val="004D6924"/>
    <w:rsid w:val="004D6A1F"/>
    <w:rsid w:val="004D713E"/>
    <w:rsid w:val="004D772E"/>
    <w:rsid w:val="004E09C3"/>
    <w:rsid w:val="004E11CC"/>
    <w:rsid w:val="004E198B"/>
    <w:rsid w:val="004E1FE7"/>
    <w:rsid w:val="004E21C9"/>
    <w:rsid w:val="004E23A5"/>
    <w:rsid w:val="004E23A9"/>
    <w:rsid w:val="004E3356"/>
    <w:rsid w:val="004E4606"/>
    <w:rsid w:val="004E4CCB"/>
    <w:rsid w:val="004E4FCD"/>
    <w:rsid w:val="004E5181"/>
    <w:rsid w:val="004E54AC"/>
    <w:rsid w:val="004E58C4"/>
    <w:rsid w:val="004E59BC"/>
    <w:rsid w:val="004E6515"/>
    <w:rsid w:val="004E65D6"/>
    <w:rsid w:val="004E66A9"/>
    <w:rsid w:val="004E6AEB"/>
    <w:rsid w:val="004E6C77"/>
    <w:rsid w:val="004E6F2B"/>
    <w:rsid w:val="004E707A"/>
    <w:rsid w:val="004E75D2"/>
    <w:rsid w:val="004E7BC3"/>
    <w:rsid w:val="004F001F"/>
    <w:rsid w:val="004F1165"/>
    <w:rsid w:val="004F1798"/>
    <w:rsid w:val="004F29D5"/>
    <w:rsid w:val="004F2BBD"/>
    <w:rsid w:val="004F3194"/>
    <w:rsid w:val="004F353B"/>
    <w:rsid w:val="004F43D4"/>
    <w:rsid w:val="004F49B1"/>
    <w:rsid w:val="004F5E0E"/>
    <w:rsid w:val="004F6147"/>
    <w:rsid w:val="004F6C7F"/>
    <w:rsid w:val="004F7D0E"/>
    <w:rsid w:val="00500A50"/>
    <w:rsid w:val="00500D79"/>
    <w:rsid w:val="00500DEE"/>
    <w:rsid w:val="005010E7"/>
    <w:rsid w:val="00501145"/>
    <w:rsid w:val="00501370"/>
    <w:rsid w:val="005013FB"/>
    <w:rsid w:val="00501827"/>
    <w:rsid w:val="00501A03"/>
    <w:rsid w:val="00501AE8"/>
    <w:rsid w:val="00501F12"/>
    <w:rsid w:val="005029AC"/>
    <w:rsid w:val="00503281"/>
    <w:rsid w:val="005034A2"/>
    <w:rsid w:val="00504182"/>
    <w:rsid w:val="005045D6"/>
    <w:rsid w:val="00504862"/>
    <w:rsid w:val="00504D67"/>
    <w:rsid w:val="00505502"/>
    <w:rsid w:val="00505D05"/>
    <w:rsid w:val="00506050"/>
    <w:rsid w:val="005074AE"/>
    <w:rsid w:val="005075D0"/>
    <w:rsid w:val="00507925"/>
    <w:rsid w:val="00507AEA"/>
    <w:rsid w:val="005105E3"/>
    <w:rsid w:val="00510D1F"/>
    <w:rsid w:val="0051136B"/>
    <w:rsid w:val="00512647"/>
    <w:rsid w:val="00512D90"/>
    <w:rsid w:val="00513161"/>
    <w:rsid w:val="00513E7D"/>
    <w:rsid w:val="005151D8"/>
    <w:rsid w:val="0051544B"/>
    <w:rsid w:val="005154F2"/>
    <w:rsid w:val="00515725"/>
    <w:rsid w:val="00515987"/>
    <w:rsid w:val="00516473"/>
    <w:rsid w:val="005165BE"/>
    <w:rsid w:val="00516ADE"/>
    <w:rsid w:val="00516B0E"/>
    <w:rsid w:val="0052026C"/>
    <w:rsid w:val="00520A7D"/>
    <w:rsid w:val="00520E6A"/>
    <w:rsid w:val="0052104A"/>
    <w:rsid w:val="0052148D"/>
    <w:rsid w:val="00521C86"/>
    <w:rsid w:val="00521E88"/>
    <w:rsid w:val="005228BA"/>
    <w:rsid w:val="00523846"/>
    <w:rsid w:val="0052404A"/>
    <w:rsid w:val="00524448"/>
    <w:rsid w:val="0052599C"/>
    <w:rsid w:val="00525F62"/>
    <w:rsid w:val="00526040"/>
    <w:rsid w:val="0052681A"/>
    <w:rsid w:val="00527381"/>
    <w:rsid w:val="00527713"/>
    <w:rsid w:val="00527A54"/>
    <w:rsid w:val="005304B8"/>
    <w:rsid w:val="00530B96"/>
    <w:rsid w:val="005312EF"/>
    <w:rsid w:val="00532328"/>
    <w:rsid w:val="005329B8"/>
    <w:rsid w:val="00532F66"/>
    <w:rsid w:val="0053364F"/>
    <w:rsid w:val="00533F82"/>
    <w:rsid w:val="005341D0"/>
    <w:rsid w:val="005346D9"/>
    <w:rsid w:val="00534C53"/>
    <w:rsid w:val="00534C59"/>
    <w:rsid w:val="00536146"/>
    <w:rsid w:val="00536766"/>
    <w:rsid w:val="00537DF0"/>
    <w:rsid w:val="0054076F"/>
    <w:rsid w:val="005416FD"/>
    <w:rsid w:val="005419C2"/>
    <w:rsid w:val="00541A9E"/>
    <w:rsid w:val="00541F66"/>
    <w:rsid w:val="005420CE"/>
    <w:rsid w:val="005428A1"/>
    <w:rsid w:val="005428CD"/>
    <w:rsid w:val="005432DF"/>
    <w:rsid w:val="00543EDF"/>
    <w:rsid w:val="0054425A"/>
    <w:rsid w:val="00544843"/>
    <w:rsid w:val="00544A01"/>
    <w:rsid w:val="00544AE5"/>
    <w:rsid w:val="00545371"/>
    <w:rsid w:val="00545760"/>
    <w:rsid w:val="0054577F"/>
    <w:rsid w:val="005463F7"/>
    <w:rsid w:val="005464A4"/>
    <w:rsid w:val="00546615"/>
    <w:rsid w:val="00546818"/>
    <w:rsid w:val="005470A8"/>
    <w:rsid w:val="00547546"/>
    <w:rsid w:val="00547AFA"/>
    <w:rsid w:val="00547FDE"/>
    <w:rsid w:val="00550764"/>
    <w:rsid w:val="00550F01"/>
    <w:rsid w:val="00551068"/>
    <w:rsid w:val="005510FF"/>
    <w:rsid w:val="005515B2"/>
    <w:rsid w:val="00551EF4"/>
    <w:rsid w:val="00552012"/>
    <w:rsid w:val="00552C2C"/>
    <w:rsid w:val="00553320"/>
    <w:rsid w:val="005541A0"/>
    <w:rsid w:val="00554449"/>
    <w:rsid w:val="00555757"/>
    <w:rsid w:val="00555FC8"/>
    <w:rsid w:val="00556699"/>
    <w:rsid w:val="00556878"/>
    <w:rsid w:val="005573C0"/>
    <w:rsid w:val="00557F9B"/>
    <w:rsid w:val="00560CAC"/>
    <w:rsid w:val="00560EE8"/>
    <w:rsid w:val="005611FD"/>
    <w:rsid w:val="00561502"/>
    <w:rsid w:val="00562433"/>
    <w:rsid w:val="005627EC"/>
    <w:rsid w:val="00562981"/>
    <w:rsid w:val="00563EE5"/>
    <w:rsid w:val="00564572"/>
    <w:rsid w:val="005646C5"/>
    <w:rsid w:val="00564BAC"/>
    <w:rsid w:val="0056625B"/>
    <w:rsid w:val="00566BFB"/>
    <w:rsid w:val="0056788B"/>
    <w:rsid w:val="00567E55"/>
    <w:rsid w:val="00570564"/>
    <w:rsid w:val="005706FD"/>
    <w:rsid w:val="005723E9"/>
    <w:rsid w:val="00572521"/>
    <w:rsid w:val="00572F10"/>
    <w:rsid w:val="00575AB8"/>
    <w:rsid w:val="00575EEB"/>
    <w:rsid w:val="005761A5"/>
    <w:rsid w:val="00576E12"/>
    <w:rsid w:val="005777BC"/>
    <w:rsid w:val="005777EB"/>
    <w:rsid w:val="00577A83"/>
    <w:rsid w:val="00580235"/>
    <w:rsid w:val="00580448"/>
    <w:rsid w:val="005808F5"/>
    <w:rsid w:val="00580E80"/>
    <w:rsid w:val="005827B8"/>
    <w:rsid w:val="00582F97"/>
    <w:rsid w:val="00583A51"/>
    <w:rsid w:val="00583A85"/>
    <w:rsid w:val="00584B74"/>
    <w:rsid w:val="00585655"/>
    <w:rsid w:val="0058582A"/>
    <w:rsid w:val="00586727"/>
    <w:rsid w:val="00586AA9"/>
    <w:rsid w:val="0058719C"/>
    <w:rsid w:val="00587FE2"/>
    <w:rsid w:val="0059092E"/>
    <w:rsid w:val="00590E18"/>
    <w:rsid w:val="00591640"/>
    <w:rsid w:val="0059221E"/>
    <w:rsid w:val="005924BA"/>
    <w:rsid w:val="00592C9B"/>
    <w:rsid w:val="00592CEF"/>
    <w:rsid w:val="005937B5"/>
    <w:rsid w:val="00594D2B"/>
    <w:rsid w:val="005957B6"/>
    <w:rsid w:val="005957F6"/>
    <w:rsid w:val="005959E6"/>
    <w:rsid w:val="005960D9"/>
    <w:rsid w:val="00596B5C"/>
    <w:rsid w:val="00597513"/>
    <w:rsid w:val="005A0261"/>
    <w:rsid w:val="005A0E6B"/>
    <w:rsid w:val="005A147D"/>
    <w:rsid w:val="005A1B5C"/>
    <w:rsid w:val="005A233B"/>
    <w:rsid w:val="005A355D"/>
    <w:rsid w:val="005A364F"/>
    <w:rsid w:val="005A37B6"/>
    <w:rsid w:val="005A394B"/>
    <w:rsid w:val="005A412C"/>
    <w:rsid w:val="005A46F2"/>
    <w:rsid w:val="005A499A"/>
    <w:rsid w:val="005A6568"/>
    <w:rsid w:val="005A66A8"/>
    <w:rsid w:val="005A6A06"/>
    <w:rsid w:val="005A6F5F"/>
    <w:rsid w:val="005A7118"/>
    <w:rsid w:val="005A7123"/>
    <w:rsid w:val="005B00D4"/>
    <w:rsid w:val="005B07CA"/>
    <w:rsid w:val="005B1A58"/>
    <w:rsid w:val="005B1B03"/>
    <w:rsid w:val="005B1EF8"/>
    <w:rsid w:val="005B1F0C"/>
    <w:rsid w:val="005B20CB"/>
    <w:rsid w:val="005B253D"/>
    <w:rsid w:val="005B4186"/>
    <w:rsid w:val="005B4443"/>
    <w:rsid w:val="005B4537"/>
    <w:rsid w:val="005B54F7"/>
    <w:rsid w:val="005B57FD"/>
    <w:rsid w:val="005B5D3C"/>
    <w:rsid w:val="005B6163"/>
    <w:rsid w:val="005B6370"/>
    <w:rsid w:val="005B65AF"/>
    <w:rsid w:val="005B667D"/>
    <w:rsid w:val="005B78DF"/>
    <w:rsid w:val="005B7B5F"/>
    <w:rsid w:val="005C0C85"/>
    <w:rsid w:val="005C0D19"/>
    <w:rsid w:val="005C111D"/>
    <w:rsid w:val="005C13ED"/>
    <w:rsid w:val="005C22AB"/>
    <w:rsid w:val="005C27F5"/>
    <w:rsid w:val="005C2A3D"/>
    <w:rsid w:val="005C35D2"/>
    <w:rsid w:val="005C42E3"/>
    <w:rsid w:val="005C49BD"/>
    <w:rsid w:val="005C5B43"/>
    <w:rsid w:val="005C5B6F"/>
    <w:rsid w:val="005C69E8"/>
    <w:rsid w:val="005C6BAC"/>
    <w:rsid w:val="005C71CF"/>
    <w:rsid w:val="005C7882"/>
    <w:rsid w:val="005D0E7B"/>
    <w:rsid w:val="005D12CB"/>
    <w:rsid w:val="005D1DF7"/>
    <w:rsid w:val="005D26EA"/>
    <w:rsid w:val="005D27F7"/>
    <w:rsid w:val="005D2F93"/>
    <w:rsid w:val="005D3B5C"/>
    <w:rsid w:val="005D3BD0"/>
    <w:rsid w:val="005D3EAB"/>
    <w:rsid w:val="005D47AC"/>
    <w:rsid w:val="005D5438"/>
    <w:rsid w:val="005D54F6"/>
    <w:rsid w:val="005D5C2B"/>
    <w:rsid w:val="005D6CF4"/>
    <w:rsid w:val="005D774A"/>
    <w:rsid w:val="005D7C51"/>
    <w:rsid w:val="005D7C64"/>
    <w:rsid w:val="005D7CC2"/>
    <w:rsid w:val="005E018A"/>
    <w:rsid w:val="005E0548"/>
    <w:rsid w:val="005E0769"/>
    <w:rsid w:val="005E0839"/>
    <w:rsid w:val="005E0C27"/>
    <w:rsid w:val="005E0EC2"/>
    <w:rsid w:val="005E119C"/>
    <w:rsid w:val="005E1A41"/>
    <w:rsid w:val="005E2148"/>
    <w:rsid w:val="005E2BA3"/>
    <w:rsid w:val="005E2D5E"/>
    <w:rsid w:val="005E2F83"/>
    <w:rsid w:val="005E3452"/>
    <w:rsid w:val="005E3B92"/>
    <w:rsid w:val="005E5210"/>
    <w:rsid w:val="005E5B48"/>
    <w:rsid w:val="005E5F5F"/>
    <w:rsid w:val="005E6506"/>
    <w:rsid w:val="005E6577"/>
    <w:rsid w:val="005E68F8"/>
    <w:rsid w:val="005E6DD9"/>
    <w:rsid w:val="005E705C"/>
    <w:rsid w:val="005E750B"/>
    <w:rsid w:val="005E7735"/>
    <w:rsid w:val="005E7946"/>
    <w:rsid w:val="005F05C8"/>
    <w:rsid w:val="005F1919"/>
    <w:rsid w:val="005F1C74"/>
    <w:rsid w:val="005F2098"/>
    <w:rsid w:val="005F2365"/>
    <w:rsid w:val="005F245F"/>
    <w:rsid w:val="005F3D31"/>
    <w:rsid w:val="005F3FA6"/>
    <w:rsid w:val="005F4DEB"/>
    <w:rsid w:val="005F4FEC"/>
    <w:rsid w:val="005F52B6"/>
    <w:rsid w:val="005F5362"/>
    <w:rsid w:val="005F5499"/>
    <w:rsid w:val="005F54B7"/>
    <w:rsid w:val="005F5B92"/>
    <w:rsid w:val="005F64F2"/>
    <w:rsid w:val="005F6F06"/>
    <w:rsid w:val="005F74B1"/>
    <w:rsid w:val="005F7979"/>
    <w:rsid w:val="005F7BEE"/>
    <w:rsid w:val="005F7E3C"/>
    <w:rsid w:val="005F7E52"/>
    <w:rsid w:val="0060084C"/>
    <w:rsid w:val="0060227A"/>
    <w:rsid w:val="00602343"/>
    <w:rsid w:val="006025A8"/>
    <w:rsid w:val="00602FDD"/>
    <w:rsid w:val="006033A7"/>
    <w:rsid w:val="006039C9"/>
    <w:rsid w:val="00603DDF"/>
    <w:rsid w:val="006049FA"/>
    <w:rsid w:val="00604C10"/>
    <w:rsid w:val="00605123"/>
    <w:rsid w:val="00605DE2"/>
    <w:rsid w:val="00605FDE"/>
    <w:rsid w:val="006060BB"/>
    <w:rsid w:val="006060D7"/>
    <w:rsid w:val="00606B79"/>
    <w:rsid w:val="00606D29"/>
    <w:rsid w:val="00607188"/>
    <w:rsid w:val="00607291"/>
    <w:rsid w:val="006075CB"/>
    <w:rsid w:val="0061029E"/>
    <w:rsid w:val="006108AC"/>
    <w:rsid w:val="00610DE9"/>
    <w:rsid w:val="00611A3E"/>
    <w:rsid w:val="006120FA"/>
    <w:rsid w:val="00612AA6"/>
    <w:rsid w:val="00612AD0"/>
    <w:rsid w:val="00613C28"/>
    <w:rsid w:val="00614A13"/>
    <w:rsid w:val="00614E2F"/>
    <w:rsid w:val="0061598C"/>
    <w:rsid w:val="00615A07"/>
    <w:rsid w:val="00617830"/>
    <w:rsid w:val="006178BB"/>
    <w:rsid w:val="00617946"/>
    <w:rsid w:val="00617F25"/>
    <w:rsid w:val="006204B2"/>
    <w:rsid w:val="00620D33"/>
    <w:rsid w:val="0062151C"/>
    <w:rsid w:val="0062160C"/>
    <w:rsid w:val="0062178E"/>
    <w:rsid w:val="00622097"/>
    <w:rsid w:val="006226E1"/>
    <w:rsid w:val="00622DB8"/>
    <w:rsid w:val="00623171"/>
    <w:rsid w:val="006234B2"/>
    <w:rsid w:val="006235D8"/>
    <w:rsid w:val="00623854"/>
    <w:rsid w:val="00624DDE"/>
    <w:rsid w:val="00624DF5"/>
    <w:rsid w:val="006252C3"/>
    <w:rsid w:val="006255E6"/>
    <w:rsid w:val="00625BCB"/>
    <w:rsid w:val="00625C0F"/>
    <w:rsid w:val="006263CB"/>
    <w:rsid w:val="0062649B"/>
    <w:rsid w:val="006266A9"/>
    <w:rsid w:val="006302BE"/>
    <w:rsid w:val="006309AD"/>
    <w:rsid w:val="00630A6A"/>
    <w:rsid w:val="00630AD3"/>
    <w:rsid w:val="006319EC"/>
    <w:rsid w:val="00632ADD"/>
    <w:rsid w:val="00633124"/>
    <w:rsid w:val="00633750"/>
    <w:rsid w:val="006337C7"/>
    <w:rsid w:val="00633936"/>
    <w:rsid w:val="00633B48"/>
    <w:rsid w:val="00633D9D"/>
    <w:rsid w:val="0063406B"/>
    <w:rsid w:val="006360C5"/>
    <w:rsid w:val="00636B82"/>
    <w:rsid w:val="0063727A"/>
    <w:rsid w:val="006372FF"/>
    <w:rsid w:val="006374BF"/>
    <w:rsid w:val="00637703"/>
    <w:rsid w:val="0064097A"/>
    <w:rsid w:val="006413B4"/>
    <w:rsid w:val="006419FC"/>
    <w:rsid w:val="0064206C"/>
    <w:rsid w:val="00642C92"/>
    <w:rsid w:val="00642FAC"/>
    <w:rsid w:val="00643BAB"/>
    <w:rsid w:val="0064412D"/>
    <w:rsid w:val="00644920"/>
    <w:rsid w:val="006449FF"/>
    <w:rsid w:val="00644A42"/>
    <w:rsid w:val="00645E70"/>
    <w:rsid w:val="00646583"/>
    <w:rsid w:val="00646710"/>
    <w:rsid w:val="0064788B"/>
    <w:rsid w:val="00647A2D"/>
    <w:rsid w:val="00650014"/>
    <w:rsid w:val="00651005"/>
    <w:rsid w:val="00651116"/>
    <w:rsid w:val="00651913"/>
    <w:rsid w:val="00651ABF"/>
    <w:rsid w:val="00651EA2"/>
    <w:rsid w:val="00652073"/>
    <w:rsid w:val="00652217"/>
    <w:rsid w:val="006529D9"/>
    <w:rsid w:val="00654552"/>
    <w:rsid w:val="00655F71"/>
    <w:rsid w:val="0065687D"/>
    <w:rsid w:val="00656970"/>
    <w:rsid w:val="00657EA6"/>
    <w:rsid w:val="0066010E"/>
    <w:rsid w:val="00660B42"/>
    <w:rsid w:val="00660F23"/>
    <w:rsid w:val="00660FE6"/>
    <w:rsid w:val="0066132F"/>
    <w:rsid w:val="0066146D"/>
    <w:rsid w:val="00661CDA"/>
    <w:rsid w:val="006620A9"/>
    <w:rsid w:val="00662239"/>
    <w:rsid w:val="00662899"/>
    <w:rsid w:val="0066416C"/>
    <w:rsid w:val="00664DB7"/>
    <w:rsid w:val="0066578A"/>
    <w:rsid w:val="006658A5"/>
    <w:rsid w:val="00665BFF"/>
    <w:rsid w:val="006672D8"/>
    <w:rsid w:val="00667403"/>
    <w:rsid w:val="00667C13"/>
    <w:rsid w:val="00667CD0"/>
    <w:rsid w:val="00667CF2"/>
    <w:rsid w:val="0067049A"/>
    <w:rsid w:val="00670FA5"/>
    <w:rsid w:val="00670FAA"/>
    <w:rsid w:val="006713CA"/>
    <w:rsid w:val="00671B5B"/>
    <w:rsid w:val="00671D1D"/>
    <w:rsid w:val="00671FC8"/>
    <w:rsid w:val="00672459"/>
    <w:rsid w:val="006727B7"/>
    <w:rsid w:val="00672E80"/>
    <w:rsid w:val="00674FCD"/>
    <w:rsid w:val="006767DC"/>
    <w:rsid w:val="00676FD9"/>
    <w:rsid w:val="00677214"/>
    <w:rsid w:val="00680A05"/>
    <w:rsid w:val="00681EA5"/>
    <w:rsid w:val="00682150"/>
    <w:rsid w:val="006822AC"/>
    <w:rsid w:val="00682369"/>
    <w:rsid w:val="00682591"/>
    <w:rsid w:val="0068286F"/>
    <w:rsid w:val="006831E1"/>
    <w:rsid w:val="00683968"/>
    <w:rsid w:val="00684965"/>
    <w:rsid w:val="00684A10"/>
    <w:rsid w:val="00684A48"/>
    <w:rsid w:val="00684D5A"/>
    <w:rsid w:val="00685841"/>
    <w:rsid w:val="00685F90"/>
    <w:rsid w:val="00687A12"/>
    <w:rsid w:val="00687B87"/>
    <w:rsid w:val="00690006"/>
    <w:rsid w:val="006900D5"/>
    <w:rsid w:val="00692735"/>
    <w:rsid w:val="0069279E"/>
    <w:rsid w:val="006931D2"/>
    <w:rsid w:val="00693683"/>
    <w:rsid w:val="006946D4"/>
    <w:rsid w:val="006959C5"/>
    <w:rsid w:val="00695B12"/>
    <w:rsid w:val="00695BE2"/>
    <w:rsid w:val="006966C1"/>
    <w:rsid w:val="00696B64"/>
    <w:rsid w:val="00696CD3"/>
    <w:rsid w:val="00697027"/>
    <w:rsid w:val="006971DA"/>
    <w:rsid w:val="006973C1"/>
    <w:rsid w:val="00697435"/>
    <w:rsid w:val="00697567"/>
    <w:rsid w:val="006977C2"/>
    <w:rsid w:val="006A0C71"/>
    <w:rsid w:val="006A165C"/>
    <w:rsid w:val="006A1B70"/>
    <w:rsid w:val="006A1F19"/>
    <w:rsid w:val="006A2906"/>
    <w:rsid w:val="006A2FBC"/>
    <w:rsid w:val="006A356E"/>
    <w:rsid w:val="006A3AB6"/>
    <w:rsid w:val="006A4287"/>
    <w:rsid w:val="006A5912"/>
    <w:rsid w:val="006A600D"/>
    <w:rsid w:val="006A6226"/>
    <w:rsid w:val="006A6573"/>
    <w:rsid w:val="006A6789"/>
    <w:rsid w:val="006A688C"/>
    <w:rsid w:val="006A6FF5"/>
    <w:rsid w:val="006A74AC"/>
    <w:rsid w:val="006B0D85"/>
    <w:rsid w:val="006B0DA5"/>
    <w:rsid w:val="006B1B31"/>
    <w:rsid w:val="006B1BA8"/>
    <w:rsid w:val="006B3BA5"/>
    <w:rsid w:val="006B3CA0"/>
    <w:rsid w:val="006B543C"/>
    <w:rsid w:val="006B5F1D"/>
    <w:rsid w:val="006B5FA1"/>
    <w:rsid w:val="006B6CCD"/>
    <w:rsid w:val="006B6E0E"/>
    <w:rsid w:val="006B6EDD"/>
    <w:rsid w:val="006B71F8"/>
    <w:rsid w:val="006C33A6"/>
    <w:rsid w:val="006C46C9"/>
    <w:rsid w:val="006C4C9C"/>
    <w:rsid w:val="006C4D7B"/>
    <w:rsid w:val="006C5126"/>
    <w:rsid w:val="006C5452"/>
    <w:rsid w:val="006C5716"/>
    <w:rsid w:val="006C577E"/>
    <w:rsid w:val="006C59A6"/>
    <w:rsid w:val="006C5AF5"/>
    <w:rsid w:val="006C5ED6"/>
    <w:rsid w:val="006C6288"/>
    <w:rsid w:val="006C6AB9"/>
    <w:rsid w:val="006C6B56"/>
    <w:rsid w:val="006C7D25"/>
    <w:rsid w:val="006C7D30"/>
    <w:rsid w:val="006D0A4C"/>
    <w:rsid w:val="006D0EE2"/>
    <w:rsid w:val="006D1368"/>
    <w:rsid w:val="006D159C"/>
    <w:rsid w:val="006D1980"/>
    <w:rsid w:val="006D2221"/>
    <w:rsid w:val="006D2C69"/>
    <w:rsid w:val="006D2E35"/>
    <w:rsid w:val="006D365E"/>
    <w:rsid w:val="006D3DB8"/>
    <w:rsid w:val="006D4331"/>
    <w:rsid w:val="006D4E86"/>
    <w:rsid w:val="006D5237"/>
    <w:rsid w:val="006D53C4"/>
    <w:rsid w:val="006D646E"/>
    <w:rsid w:val="006D682B"/>
    <w:rsid w:val="006D6E06"/>
    <w:rsid w:val="006D7867"/>
    <w:rsid w:val="006E0027"/>
    <w:rsid w:val="006E0367"/>
    <w:rsid w:val="006E09C8"/>
    <w:rsid w:val="006E0E39"/>
    <w:rsid w:val="006E1636"/>
    <w:rsid w:val="006E1E6A"/>
    <w:rsid w:val="006E2263"/>
    <w:rsid w:val="006E2904"/>
    <w:rsid w:val="006E4001"/>
    <w:rsid w:val="006E4132"/>
    <w:rsid w:val="006E5847"/>
    <w:rsid w:val="006E7461"/>
    <w:rsid w:val="006E7924"/>
    <w:rsid w:val="006F0807"/>
    <w:rsid w:val="006F0E56"/>
    <w:rsid w:val="006F1428"/>
    <w:rsid w:val="006F1590"/>
    <w:rsid w:val="006F1678"/>
    <w:rsid w:val="006F18FA"/>
    <w:rsid w:val="006F1A65"/>
    <w:rsid w:val="006F1F2A"/>
    <w:rsid w:val="006F224D"/>
    <w:rsid w:val="006F2896"/>
    <w:rsid w:val="006F2A2C"/>
    <w:rsid w:val="006F2E35"/>
    <w:rsid w:val="006F3748"/>
    <w:rsid w:val="006F4EF1"/>
    <w:rsid w:val="006F58A5"/>
    <w:rsid w:val="006F5939"/>
    <w:rsid w:val="006F60C1"/>
    <w:rsid w:val="006F6633"/>
    <w:rsid w:val="006F6D7E"/>
    <w:rsid w:val="006F7524"/>
    <w:rsid w:val="007002C5"/>
    <w:rsid w:val="00700C70"/>
    <w:rsid w:val="00701904"/>
    <w:rsid w:val="007019FB"/>
    <w:rsid w:val="00701B6C"/>
    <w:rsid w:val="00702BDD"/>
    <w:rsid w:val="00702EA1"/>
    <w:rsid w:val="00703455"/>
    <w:rsid w:val="00703734"/>
    <w:rsid w:val="00704704"/>
    <w:rsid w:val="00704CDB"/>
    <w:rsid w:val="007052E4"/>
    <w:rsid w:val="0070542F"/>
    <w:rsid w:val="0070597F"/>
    <w:rsid w:val="00705ED5"/>
    <w:rsid w:val="00706A38"/>
    <w:rsid w:val="00706BD2"/>
    <w:rsid w:val="00707C05"/>
    <w:rsid w:val="007101F4"/>
    <w:rsid w:val="00710ED5"/>
    <w:rsid w:val="00711349"/>
    <w:rsid w:val="0071231E"/>
    <w:rsid w:val="0071253E"/>
    <w:rsid w:val="00712624"/>
    <w:rsid w:val="0071296E"/>
    <w:rsid w:val="0071326F"/>
    <w:rsid w:val="00713812"/>
    <w:rsid w:val="00713F05"/>
    <w:rsid w:val="00714675"/>
    <w:rsid w:val="00715104"/>
    <w:rsid w:val="007151AF"/>
    <w:rsid w:val="0071599F"/>
    <w:rsid w:val="0071604F"/>
    <w:rsid w:val="00716328"/>
    <w:rsid w:val="00716B80"/>
    <w:rsid w:val="0071727A"/>
    <w:rsid w:val="007175F1"/>
    <w:rsid w:val="00717C8F"/>
    <w:rsid w:val="00720D9D"/>
    <w:rsid w:val="00720EE2"/>
    <w:rsid w:val="00721853"/>
    <w:rsid w:val="00721D6E"/>
    <w:rsid w:val="00722089"/>
    <w:rsid w:val="007223A9"/>
    <w:rsid w:val="007230D5"/>
    <w:rsid w:val="00723C5D"/>
    <w:rsid w:val="00724A27"/>
    <w:rsid w:val="0072565C"/>
    <w:rsid w:val="00725EFD"/>
    <w:rsid w:val="00727F10"/>
    <w:rsid w:val="0073072D"/>
    <w:rsid w:val="007316A9"/>
    <w:rsid w:val="007323D6"/>
    <w:rsid w:val="00732D1B"/>
    <w:rsid w:val="00733540"/>
    <w:rsid w:val="0073362E"/>
    <w:rsid w:val="00733C96"/>
    <w:rsid w:val="00733D42"/>
    <w:rsid w:val="0073404D"/>
    <w:rsid w:val="00734161"/>
    <w:rsid w:val="00734319"/>
    <w:rsid w:val="007345F2"/>
    <w:rsid w:val="007360B1"/>
    <w:rsid w:val="007364FF"/>
    <w:rsid w:val="0073658B"/>
    <w:rsid w:val="00736AB8"/>
    <w:rsid w:val="00736C0A"/>
    <w:rsid w:val="00736E07"/>
    <w:rsid w:val="007370BF"/>
    <w:rsid w:val="007372A4"/>
    <w:rsid w:val="00740192"/>
    <w:rsid w:val="00741671"/>
    <w:rsid w:val="00741D53"/>
    <w:rsid w:val="00741FF4"/>
    <w:rsid w:val="00743CA0"/>
    <w:rsid w:val="00744157"/>
    <w:rsid w:val="007443C1"/>
    <w:rsid w:val="0074459B"/>
    <w:rsid w:val="007451BA"/>
    <w:rsid w:val="00745327"/>
    <w:rsid w:val="00745861"/>
    <w:rsid w:val="0074595B"/>
    <w:rsid w:val="007459EE"/>
    <w:rsid w:val="00745EAE"/>
    <w:rsid w:val="007461FF"/>
    <w:rsid w:val="00746A34"/>
    <w:rsid w:val="00747A21"/>
    <w:rsid w:val="007507EE"/>
    <w:rsid w:val="0075082E"/>
    <w:rsid w:val="00750B0B"/>
    <w:rsid w:val="00750F6F"/>
    <w:rsid w:val="00751548"/>
    <w:rsid w:val="00751FBF"/>
    <w:rsid w:val="00752888"/>
    <w:rsid w:val="00752962"/>
    <w:rsid w:val="00753132"/>
    <w:rsid w:val="007535CC"/>
    <w:rsid w:val="00753BD9"/>
    <w:rsid w:val="00753FFF"/>
    <w:rsid w:val="007546AE"/>
    <w:rsid w:val="00754D17"/>
    <w:rsid w:val="007550AB"/>
    <w:rsid w:val="00755C6D"/>
    <w:rsid w:val="0075605A"/>
    <w:rsid w:val="00756591"/>
    <w:rsid w:val="00756B18"/>
    <w:rsid w:val="00756E7E"/>
    <w:rsid w:val="007572E7"/>
    <w:rsid w:val="0076021C"/>
    <w:rsid w:val="00760360"/>
    <w:rsid w:val="00760B65"/>
    <w:rsid w:val="00760FBA"/>
    <w:rsid w:val="00761811"/>
    <w:rsid w:val="00761ADA"/>
    <w:rsid w:val="00761C18"/>
    <w:rsid w:val="00762251"/>
    <w:rsid w:val="007624E1"/>
    <w:rsid w:val="007650D7"/>
    <w:rsid w:val="00765391"/>
    <w:rsid w:val="00765DBC"/>
    <w:rsid w:val="00765F8A"/>
    <w:rsid w:val="0076617D"/>
    <w:rsid w:val="007665FC"/>
    <w:rsid w:val="00766B0D"/>
    <w:rsid w:val="00766F8E"/>
    <w:rsid w:val="0076759D"/>
    <w:rsid w:val="0076776B"/>
    <w:rsid w:val="00767831"/>
    <w:rsid w:val="00767C38"/>
    <w:rsid w:val="0077051C"/>
    <w:rsid w:val="007709A7"/>
    <w:rsid w:val="00770C59"/>
    <w:rsid w:val="0077169C"/>
    <w:rsid w:val="00772CF5"/>
    <w:rsid w:val="007734F1"/>
    <w:rsid w:val="00773841"/>
    <w:rsid w:val="00773D21"/>
    <w:rsid w:val="0077556F"/>
    <w:rsid w:val="00775871"/>
    <w:rsid w:val="00775B60"/>
    <w:rsid w:val="00775E78"/>
    <w:rsid w:val="007765FD"/>
    <w:rsid w:val="00776C86"/>
    <w:rsid w:val="00777F97"/>
    <w:rsid w:val="00780A25"/>
    <w:rsid w:val="00781119"/>
    <w:rsid w:val="0078116D"/>
    <w:rsid w:val="007815D0"/>
    <w:rsid w:val="00781A2D"/>
    <w:rsid w:val="00781C9A"/>
    <w:rsid w:val="007827B4"/>
    <w:rsid w:val="00782AA8"/>
    <w:rsid w:val="00782FA0"/>
    <w:rsid w:val="007833EE"/>
    <w:rsid w:val="00784E93"/>
    <w:rsid w:val="00785204"/>
    <w:rsid w:val="0078592B"/>
    <w:rsid w:val="00786273"/>
    <w:rsid w:val="00786483"/>
    <w:rsid w:val="00786801"/>
    <w:rsid w:val="00787BCC"/>
    <w:rsid w:val="00790906"/>
    <w:rsid w:val="007909D9"/>
    <w:rsid w:val="00792C32"/>
    <w:rsid w:val="00792C41"/>
    <w:rsid w:val="00793681"/>
    <w:rsid w:val="00793940"/>
    <w:rsid w:val="00793CB4"/>
    <w:rsid w:val="00793D0A"/>
    <w:rsid w:val="0079458C"/>
    <w:rsid w:val="00794894"/>
    <w:rsid w:val="00794D7D"/>
    <w:rsid w:val="00795066"/>
    <w:rsid w:val="0079546C"/>
    <w:rsid w:val="007958CF"/>
    <w:rsid w:val="00795D11"/>
    <w:rsid w:val="00795DB2"/>
    <w:rsid w:val="00796202"/>
    <w:rsid w:val="00797378"/>
    <w:rsid w:val="007975BC"/>
    <w:rsid w:val="007975DA"/>
    <w:rsid w:val="0079769F"/>
    <w:rsid w:val="00797770"/>
    <w:rsid w:val="007A0052"/>
    <w:rsid w:val="007A04B1"/>
    <w:rsid w:val="007A0507"/>
    <w:rsid w:val="007A0C2E"/>
    <w:rsid w:val="007A1494"/>
    <w:rsid w:val="007A1D35"/>
    <w:rsid w:val="007A1FA5"/>
    <w:rsid w:val="007A2168"/>
    <w:rsid w:val="007A243A"/>
    <w:rsid w:val="007A25D9"/>
    <w:rsid w:val="007A26E8"/>
    <w:rsid w:val="007A2BAB"/>
    <w:rsid w:val="007A2DD2"/>
    <w:rsid w:val="007A3389"/>
    <w:rsid w:val="007A3451"/>
    <w:rsid w:val="007A38D9"/>
    <w:rsid w:val="007A42E4"/>
    <w:rsid w:val="007A4402"/>
    <w:rsid w:val="007A4D76"/>
    <w:rsid w:val="007A4F4D"/>
    <w:rsid w:val="007A5008"/>
    <w:rsid w:val="007A54A5"/>
    <w:rsid w:val="007A66D4"/>
    <w:rsid w:val="007A67AD"/>
    <w:rsid w:val="007A7368"/>
    <w:rsid w:val="007A7FB5"/>
    <w:rsid w:val="007B0088"/>
    <w:rsid w:val="007B0800"/>
    <w:rsid w:val="007B0F89"/>
    <w:rsid w:val="007B10EE"/>
    <w:rsid w:val="007B1632"/>
    <w:rsid w:val="007B1DA8"/>
    <w:rsid w:val="007B23A2"/>
    <w:rsid w:val="007B2E5E"/>
    <w:rsid w:val="007B30D6"/>
    <w:rsid w:val="007B393E"/>
    <w:rsid w:val="007B400D"/>
    <w:rsid w:val="007B4763"/>
    <w:rsid w:val="007B501C"/>
    <w:rsid w:val="007B553F"/>
    <w:rsid w:val="007B5584"/>
    <w:rsid w:val="007B62ED"/>
    <w:rsid w:val="007B632A"/>
    <w:rsid w:val="007B6BBA"/>
    <w:rsid w:val="007B7032"/>
    <w:rsid w:val="007B737F"/>
    <w:rsid w:val="007C0B1F"/>
    <w:rsid w:val="007C0FE6"/>
    <w:rsid w:val="007C1B6F"/>
    <w:rsid w:val="007C2140"/>
    <w:rsid w:val="007C2AA6"/>
    <w:rsid w:val="007C3012"/>
    <w:rsid w:val="007C3C9A"/>
    <w:rsid w:val="007C563B"/>
    <w:rsid w:val="007C5E1C"/>
    <w:rsid w:val="007C660C"/>
    <w:rsid w:val="007C6C03"/>
    <w:rsid w:val="007C761C"/>
    <w:rsid w:val="007C7A5A"/>
    <w:rsid w:val="007C7D04"/>
    <w:rsid w:val="007D0133"/>
    <w:rsid w:val="007D0AB5"/>
    <w:rsid w:val="007D0DA1"/>
    <w:rsid w:val="007D0E34"/>
    <w:rsid w:val="007D10C5"/>
    <w:rsid w:val="007D1184"/>
    <w:rsid w:val="007D1550"/>
    <w:rsid w:val="007D18ED"/>
    <w:rsid w:val="007D2F2B"/>
    <w:rsid w:val="007D42B9"/>
    <w:rsid w:val="007D5237"/>
    <w:rsid w:val="007D685C"/>
    <w:rsid w:val="007D6F32"/>
    <w:rsid w:val="007D748D"/>
    <w:rsid w:val="007D7D6F"/>
    <w:rsid w:val="007E0271"/>
    <w:rsid w:val="007E04DF"/>
    <w:rsid w:val="007E086F"/>
    <w:rsid w:val="007E1783"/>
    <w:rsid w:val="007E1DF0"/>
    <w:rsid w:val="007E2330"/>
    <w:rsid w:val="007E2634"/>
    <w:rsid w:val="007E2AEE"/>
    <w:rsid w:val="007E2B0A"/>
    <w:rsid w:val="007E2E6F"/>
    <w:rsid w:val="007E3778"/>
    <w:rsid w:val="007E3A2F"/>
    <w:rsid w:val="007E3F42"/>
    <w:rsid w:val="007E3FCE"/>
    <w:rsid w:val="007E4051"/>
    <w:rsid w:val="007E4220"/>
    <w:rsid w:val="007E457B"/>
    <w:rsid w:val="007E5239"/>
    <w:rsid w:val="007E68EB"/>
    <w:rsid w:val="007E70ED"/>
    <w:rsid w:val="007E7FBB"/>
    <w:rsid w:val="007F0451"/>
    <w:rsid w:val="007F0494"/>
    <w:rsid w:val="007F07AC"/>
    <w:rsid w:val="007F0CB6"/>
    <w:rsid w:val="007F0E52"/>
    <w:rsid w:val="007F24BA"/>
    <w:rsid w:val="007F2E59"/>
    <w:rsid w:val="007F2F85"/>
    <w:rsid w:val="007F31BF"/>
    <w:rsid w:val="007F4143"/>
    <w:rsid w:val="007F4518"/>
    <w:rsid w:val="007F45D0"/>
    <w:rsid w:val="007F4813"/>
    <w:rsid w:val="007F4EBC"/>
    <w:rsid w:val="007F5968"/>
    <w:rsid w:val="007F59DD"/>
    <w:rsid w:val="007F5FE7"/>
    <w:rsid w:val="007F64AF"/>
    <w:rsid w:val="007F6E9E"/>
    <w:rsid w:val="007F7241"/>
    <w:rsid w:val="007F72CF"/>
    <w:rsid w:val="007F7833"/>
    <w:rsid w:val="00800111"/>
    <w:rsid w:val="00800A5B"/>
    <w:rsid w:val="00800CBC"/>
    <w:rsid w:val="00801328"/>
    <w:rsid w:val="00801B4F"/>
    <w:rsid w:val="00801CC2"/>
    <w:rsid w:val="00802800"/>
    <w:rsid w:val="00802976"/>
    <w:rsid w:val="008039B5"/>
    <w:rsid w:val="00803DEB"/>
    <w:rsid w:val="008041B9"/>
    <w:rsid w:val="00804345"/>
    <w:rsid w:val="00805398"/>
    <w:rsid w:val="008055C8"/>
    <w:rsid w:val="008058C3"/>
    <w:rsid w:val="008062DB"/>
    <w:rsid w:val="00806473"/>
    <w:rsid w:val="00806723"/>
    <w:rsid w:val="00806C3F"/>
    <w:rsid w:val="00807181"/>
    <w:rsid w:val="0080749A"/>
    <w:rsid w:val="008074E0"/>
    <w:rsid w:val="00807E74"/>
    <w:rsid w:val="00807EAC"/>
    <w:rsid w:val="00810123"/>
    <w:rsid w:val="0081089E"/>
    <w:rsid w:val="008108E5"/>
    <w:rsid w:val="00810DC1"/>
    <w:rsid w:val="00811498"/>
    <w:rsid w:val="0081188D"/>
    <w:rsid w:val="00811BB4"/>
    <w:rsid w:val="00811D62"/>
    <w:rsid w:val="008125C0"/>
    <w:rsid w:val="00812C47"/>
    <w:rsid w:val="0081417D"/>
    <w:rsid w:val="00815392"/>
    <w:rsid w:val="00815482"/>
    <w:rsid w:val="008156A8"/>
    <w:rsid w:val="00815DFA"/>
    <w:rsid w:val="008165FC"/>
    <w:rsid w:val="00816BC8"/>
    <w:rsid w:val="0081767F"/>
    <w:rsid w:val="008178C1"/>
    <w:rsid w:val="00820D3A"/>
    <w:rsid w:val="0082249C"/>
    <w:rsid w:val="0082267E"/>
    <w:rsid w:val="00822801"/>
    <w:rsid w:val="00823125"/>
    <w:rsid w:val="00825325"/>
    <w:rsid w:val="00825B81"/>
    <w:rsid w:val="00825DDB"/>
    <w:rsid w:val="00826293"/>
    <w:rsid w:val="008267CF"/>
    <w:rsid w:val="00827183"/>
    <w:rsid w:val="00827221"/>
    <w:rsid w:val="0082739B"/>
    <w:rsid w:val="00827FA6"/>
    <w:rsid w:val="008306C8"/>
    <w:rsid w:val="008310F5"/>
    <w:rsid w:val="00831A6B"/>
    <w:rsid w:val="00832970"/>
    <w:rsid w:val="00832FB1"/>
    <w:rsid w:val="00833064"/>
    <w:rsid w:val="0083375A"/>
    <w:rsid w:val="00833B72"/>
    <w:rsid w:val="00833CF7"/>
    <w:rsid w:val="008344F7"/>
    <w:rsid w:val="00834B60"/>
    <w:rsid w:val="00834F88"/>
    <w:rsid w:val="00835171"/>
    <w:rsid w:val="00835CCA"/>
    <w:rsid w:val="00836D2C"/>
    <w:rsid w:val="008372CC"/>
    <w:rsid w:val="008374D0"/>
    <w:rsid w:val="00837C3D"/>
    <w:rsid w:val="00837C63"/>
    <w:rsid w:val="00840389"/>
    <w:rsid w:val="008403C8"/>
    <w:rsid w:val="008404F3"/>
    <w:rsid w:val="00841B96"/>
    <w:rsid w:val="00842476"/>
    <w:rsid w:val="0084273F"/>
    <w:rsid w:val="00842F09"/>
    <w:rsid w:val="00842F2A"/>
    <w:rsid w:val="00843662"/>
    <w:rsid w:val="008440B1"/>
    <w:rsid w:val="008441AB"/>
    <w:rsid w:val="00844FD1"/>
    <w:rsid w:val="00845259"/>
    <w:rsid w:val="00847C99"/>
    <w:rsid w:val="00851476"/>
    <w:rsid w:val="00851E19"/>
    <w:rsid w:val="008522BC"/>
    <w:rsid w:val="008527AF"/>
    <w:rsid w:val="00852FAE"/>
    <w:rsid w:val="00853A7A"/>
    <w:rsid w:val="00853FB5"/>
    <w:rsid w:val="008555C7"/>
    <w:rsid w:val="00855E69"/>
    <w:rsid w:val="0085647E"/>
    <w:rsid w:val="00856D5A"/>
    <w:rsid w:val="008574B2"/>
    <w:rsid w:val="008574BA"/>
    <w:rsid w:val="00857AF7"/>
    <w:rsid w:val="0086028D"/>
    <w:rsid w:val="00860EA7"/>
    <w:rsid w:val="00861016"/>
    <w:rsid w:val="00861641"/>
    <w:rsid w:val="008618F4"/>
    <w:rsid w:val="008619FC"/>
    <w:rsid w:val="008627A8"/>
    <w:rsid w:val="00862CF9"/>
    <w:rsid w:val="00862F41"/>
    <w:rsid w:val="00862FB7"/>
    <w:rsid w:val="00863678"/>
    <w:rsid w:val="0086384F"/>
    <w:rsid w:val="00863963"/>
    <w:rsid w:val="0086415A"/>
    <w:rsid w:val="00864A08"/>
    <w:rsid w:val="008653E9"/>
    <w:rsid w:val="00865B2D"/>
    <w:rsid w:val="00866C38"/>
    <w:rsid w:val="008672E4"/>
    <w:rsid w:val="008679B6"/>
    <w:rsid w:val="008708F7"/>
    <w:rsid w:val="00870C22"/>
    <w:rsid w:val="00870C28"/>
    <w:rsid w:val="00870E2F"/>
    <w:rsid w:val="00871E5F"/>
    <w:rsid w:val="00872DFF"/>
    <w:rsid w:val="0087364C"/>
    <w:rsid w:val="0087529F"/>
    <w:rsid w:val="00876685"/>
    <w:rsid w:val="00876AB9"/>
    <w:rsid w:val="00876D3E"/>
    <w:rsid w:val="008771C9"/>
    <w:rsid w:val="008772C3"/>
    <w:rsid w:val="00877406"/>
    <w:rsid w:val="0087780C"/>
    <w:rsid w:val="00877AF4"/>
    <w:rsid w:val="00877D36"/>
    <w:rsid w:val="00877EC6"/>
    <w:rsid w:val="00881414"/>
    <w:rsid w:val="00881DC2"/>
    <w:rsid w:val="00882454"/>
    <w:rsid w:val="0088267A"/>
    <w:rsid w:val="00882EB1"/>
    <w:rsid w:val="00882FAD"/>
    <w:rsid w:val="00884B8F"/>
    <w:rsid w:val="00885802"/>
    <w:rsid w:val="00885B22"/>
    <w:rsid w:val="008870CC"/>
    <w:rsid w:val="00887779"/>
    <w:rsid w:val="008878BC"/>
    <w:rsid w:val="008904F4"/>
    <w:rsid w:val="00890719"/>
    <w:rsid w:val="00891498"/>
    <w:rsid w:val="00891EC3"/>
    <w:rsid w:val="00891FA4"/>
    <w:rsid w:val="00891FE4"/>
    <w:rsid w:val="00892215"/>
    <w:rsid w:val="00892B6E"/>
    <w:rsid w:val="008933D2"/>
    <w:rsid w:val="008948B0"/>
    <w:rsid w:val="00894B34"/>
    <w:rsid w:val="00895655"/>
    <w:rsid w:val="00895AB3"/>
    <w:rsid w:val="00895DD1"/>
    <w:rsid w:val="00896429"/>
    <w:rsid w:val="00896C46"/>
    <w:rsid w:val="00896DFD"/>
    <w:rsid w:val="008970D3"/>
    <w:rsid w:val="00897128"/>
    <w:rsid w:val="008A01EC"/>
    <w:rsid w:val="008A1065"/>
    <w:rsid w:val="008A112D"/>
    <w:rsid w:val="008A13B8"/>
    <w:rsid w:val="008A1F07"/>
    <w:rsid w:val="008A2251"/>
    <w:rsid w:val="008A2420"/>
    <w:rsid w:val="008A3653"/>
    <w:rsid w:val="008A3ACE"/>
    <w:rsid w:val="008A4566"/>
    <w:rsid w:val="008A4B42"/>
    <w:rsid w:val="008A5808"/>
    <w:rsid w:val="008A5DC7"/>
    <w:rsid w:val="008A5E36"/>
    <w:rsid w:val="008A6223"/>
    <w:rsid w:val="008A6451"/>
    <w:rsid w:val="008A672B"/>
    <w:rsid w:val="008A6845"/>
    <w:rsid w:val="008A78FC"/>
    <w:rsid w:val="008A7F88"/>
    <w:rsid w:val="008B1BED"/>
    <w:rsid w:val="008B2433"/>
    <w:rsid w:val="008B293F"/>
    <w:rsid w:val="008B2CE0"/>
    <w:rsid w:val="008B2F16"/>
    <w:rsid w:val="008B33F0"/>
    <w:rsid w:val="008B3513"/>
    <w:rsid w:val="008B51A3"/>
    <w:rsid w:val="008B56D3"/>
    <w:rsid w:val="008B5D49"/>
    <w:rsid w:val="008B64CA"/>
    <w:rsid w:val="008B668E"/>
    <w:rsid w:val="008B7A2F"/>
    <w:rsid w:val="008B7B1E"/>
    <w:rsid w:val="008B7D97"/>
    <w:rsid w:val="008C04BB"/>
    <w:rsid w:val="008C07C1"/>
    <w:rsid w:val="008C0ABE"/>
    <w:rsid w:val="008C0B74"/>
    <w:rsid w:val="008C1B3B"/>
    <w:rsid w:val="008C1CCC"/>
    <w:rsid w:val="008C309B"/>
    <w:rsid w:val="008C3224"/>
    <w:rsid w:val="008C3B21"/>
    <w:rsid w:val="008C4051"/>
    <w:rsid w:val="008C42FC"/>
    <w:rsid w:val="008C443E"/>
    <w:rsid w:val="008C48AB"/>
    <w:rsid w:val="008C4F2A"/>
    <w:rsid w:val="008C4FB1"/>
    <w:rsid w:val="008C58F5"/>
    <w:rsid w:val="008C593D"/>
    <w:rsid w:val="008C5D95"/>
    <w:rsid w:val="008C61E0"/>
    <w:rsid w:val="008C6629"/>
    <w:rsid w:val="008C6CE8"/>
    <w:rsid w:val="008C71F3"/>
    <w:rsid w:val="008C7988"/>
    <w:rsid w:val="008C7BD8"/>
    <w:rsid w:val="008D0A51"/>
    <w:rsid w:val="008D0D8A"/>
    <w:rsid w:val="008D11DE"/>
    <w:rsid w:val="008D225F"/>
    <w:rsid w:val="008D2E80"/>
    <w:rsid w:val="008D3218"/>
    <w:rsid w:val="008D4509"/>
    <w:rsid w:val="008D45EA"/>
    <w:rsid w:val="008D4785"/>
    <w:rsid w:val="008D498D"/>
    <w:rsid w:val="008D5891"/>
    <w:rsid w:val="008D5FDD"/>
    <w:rsid w:val="008D68AB"/>
    <w:rsid w:val="008D6F5A"/>
    <w:rsid w:val="008D7DD5"/>
    <w:rsid w:val="008E1915"/>
    <w:rsid w:val="008E1D31"/>
    <w:rsid w:val="008E279C"/>
    <w:rsid w:val="008E2837"/>
    <w:rsid w:val="008E2EB5"/>
    <w:rsid w:val="008E3166"/>
    <w:rsid w:val="008E381C"/>
    <w:rsid w:val="008E3C10"/>
    <w:rsid w:val="008E3C31"/>
    <w:rsid w:val="008E5E4B"/>
    <w:rsid w:val="008E5EEE"/>
    <w:rsid w:val="008E64BC"/>
    <w:rsid w:val="008E6507"/>
    <w:rsid w:val="008E6883"/>
    <w:rsid w:val="008E6B95"/>
    <w:rsid w:val="008E6F9A"/>
    <w:rsid w:val="008E70D0"/>
    <w:rsid w:val="008E70EB"/>
    <w:rsid w:val="008E731A"/>
    <w:rsid w:val="008E7388"/>
    <w:rsid w:val="008E7585"/>
    <w:rsid w:val="008E79A5"/>
    <w:rsid w:val="008E7CA4"/>
    <w:rsid w:val="008F0106"/>
    <w:rsid w:val="008F09D9"/>
    <w:rsid w:val="008F114B"/>
    <w:rsid w:val="008F1734"/>
    <w:rsid w:val="008F1AAB"/>
    <w:rsid w:val="008F1AD7"/>
    <w:rsid w:val="008F1B90"/>
    <w:rsid w:val="008F2390"/>
    <w:rsid w:val="008F2788"/>
    <w:rsid w:val="008F2A09"/>
    <w:rsid w:val="008F2E37"/>
    <w:rsid w:val="008F35D8"/>
    <w:rsid w:val="008F3A32"/>
    <w:rsid w:val="008F4845"/>
    <w:rsid w:val="008F5492"/>
    <w:rsid w:val="008F6652"/>
    <w:rsid w:val="008F6889"/>
    <w:rsid w:val="008F6F1C"/>
    <w:rsid w:val="008F72ED"/>
    <w:rsid w:val="008F7E65"/>
    <w:rsid w:val="009009A6"/>
    <w:rsid w:val="00900B8E"/>
    <w:rsid w:val="0090145D"/>
    <w:rsid w:val="00902648"/>
    <w:rsid w:val="00902BF6"/>
    <w:rsid w:val="00903094"/>
    <w:rsid w:val="00903913"/>
    <w:rsid w:val="009051AC"/>
    <w:rsid w:val="009059E9"/>
    <w:rsid w:val="00905A88"/>
    <w:rsid w:val="00905B71"/>
    <w:rsid w:val="009064AC"/>
    <w:rsid w:val="009067DF"/>
    <w:rsid w:val="00907320"/>
    <w:rsid w:val="00907436"/>
    <w:rsid w:val="00907D73"/>
    <w:rsid w:val="00910652"/>
    <w:rsid w:val="00910EB9"/>
    <w:rsid w:val="00911C87"/>
    <w:rsid w:val="00911FCE"/>
    <w:rsid w:val="009121FB"/>
    <w:rsid w:val="00913039"/>
    <w:rsid w:val="009139EB"/>
    <w:rsid w:val="00913BB3"/>
    <w:rsid w:val="00913E48"/>
    <w:rsid w:val="00914041"/>
    <w:rsid w:val="009148A9"/>
    <w:rsid w:val="00914C8E"/>
    <w:rsid w:val="0091556D"/>
    <w:rsid w:val="00915C18"/>
    <w:rsid w:val="00915D29"/>
    <w:rsid w:val="00915DB1"/>
    <w:rsid w:val="00916547"/>
    <w:rsid w:val="009167B0"/>
    <w:rsid w:val="00916DCF"/>
    <w:rsid w:val="00916ED8"/>
    <w:rsid w:val="00917329"/>
    <w:rsid w:val="009174C9"/>
    <w:rsid w:val="00920262"/>
    <w:rsid w:val="009213B4"/>
    <w:rsid w:val="009225A4"/>
    <w:rsid w:val="00922B86"/>
    <w:rsid w:val="00923E95"/>
    <w:rsid w:val="009242DD"/>
    <w:rsid w:val="00924A9C"/>
    <w:rsid w:val="00925A0D"/>
    <w:rsid w:val="00925C77"/>
    <w:rsid w:val="0092686A"/>
    <w:rsid w:val="00926BE5"/>
    <w:rsid w:val="009271F7"/>
    <w:rsid w:val="00930651"/>
    <w:rsid w:val="00930E57"/>
    <w:rsid w:val="00931384"/>
    <w:rsid w:val="00931DA6"/>
    <w:rsid w:val="009323FC"/>
    <w:rsid w:val="009325D2"/>
    <w:rsid w:val="009327DE"/>
    <w:rsid w:val="009334BB"/>
    <w:rsid w:val="00934620"/>
    <w:rsid w:val="009350B4"/>
    <w:rsid w:val="009350F5"/>
    <w:rsid w:val="00935382"/>
    <w:rsid w:val="009353B4"/>
    <w:rsid w:val="00935479"/>
    <w:rsid w:val="00935733"/>
    <w:rsid w:val="00935E52"/>
    <w:rsid w:val="00935F86"/>
    <w:rsid w:val="009361F4"/>
    <w:rsid w:val="00936398"/>
    <w:rsid w:val="00936B92"/>
    <w:rsid w:val="00936DE9"/>
    <w:rsid w:val="00940009"/>
    <w:rsid w:val="009401DA"/>
    <w:rsid w:val="00940B25"/>
    <w:rsid w:val="00941287"/>
    <w:rsid w:val="009414F6"/>
    <w:rsid w:val="009416D6"/>
    <w:rsid w:val="00941BB3"/>
    <w:rsid w:val="00942122"/>
    <w:rsid w:val="009423EF"/>
    <w:rsid w:val="00942856"/>
    <w:rsid w:val="009429A7"/>
    <w:rsid w:val="00942B5B"/>
    <w:rsid w:val="00943098"/>
    <w:rsid w:val="00943AE1"/>
    <w:rsid w:val="00943CDB"/>
    <w:rsid w:val="00944431"/>
    <w:rsid w:val="00945033"/>
    <w:rsid w:val="009450FC"/>
    <w:rsid w:val="009451A8"/>
    <w:rsid w:val="00945237"/>
    <w:rsid w:val="00945289"/>
    <w:rsid w:val="00945B3D"/>
    <w:rsid w:val="0094650B"/>
    <w:rsid w:val="0094700A"/>
    <w:rsid w:val="009478D9"/>
    <w:rsid w:val="0095043B"/>
    <w:rsid w:val="0095086C"/>
    <w:rsid w:val="009524FC"/>
    <w:rsid w:val="009525E5"/>
    <w:rsid w:val="00952ADD"/>
    <w:rsid w:val="0095314A"/>
    <w:rsid w:val="00953870"/>
    <w:rsid w:val="00953E75"/>
    <w:rsid w:val="00954927"/>
    <w:rsid w:val="009551C9"/>
    <w:rsid w:val="0095622A"/>
    <w:rsid w:val="00957A23"/>
    <w:rsid w:val="00957FDD"/>
    <w:rsid w:val="0096052E"/>
    <w:rsid w:val="00960CC4"/>
    <w:rsid w:val="00960D98"/>
    <w:rsid w:val="00960DC3"/>
    <w:rsid w:val="00961101"/>
    <w:rsid w:val="00961AAD"/>
    <w:rsid w:val="00962104"/>
    <w:rsid w:val="00962288"/>
    <w:rsid w:val="0096245C"/>
    <w:rsid w:val="00962638"/>
    <w:rsid w:val="00962948"/>
    <w:rsid w:val="00962C76"/>
    <w:rsid w:val="00963824"/>
    <w:rsid w:val="00964059"/>
    <w:rsid w:val="009641F4"/>
    <w:rsid w:val="0096468D"/>
    <w:rsid w:val="009648C5"/>
    <w:rsid w:val="00965187"/>
    <w:rsid w:val="00965E7D"/>
    <w:rsid w:val="00966913"/>
    <w:rsid w:val="009669F2"/>
    <w:rsid w:val="00967100"/>
    <w:rsid w:val="0096776C"/>
    <w:rsid w:val="009702D4"/>
    <w:rsid w:val="00970970"/>
    <w:rsid w:val="00970DD0"/>
    <w:rsid w:val="009710ED"/>
    <w:rsid w:val="00971409"/>
    <w:rsid w:val="00971905"/>
    <w:rsid w:val="00972348"/>
    <w:rsid w:val="0097261C"/>
    <w:rsid w:val="00973400"/>
    <w:rsid w:val="009752C7"/>
    <w:rsid w:val="00976B17"/>
    <w:rsid w:val="00976D44"/>
    <w:rsid w:val="00976EB7"/>
    <w:rsid w:val="0097700A"/>
    <w:rsid w:val="0098085F"/>
    <w:rsid w:val="0098087E"/>
    <w:rsid w:val="00980D99"/>
    <w:rsid w:val="00982395"/>
    <w:rsid w:val="009827AD"/>
    <w:rsid w:val="009830D1"/>
    <w:rsid w:val="009831B5"/>
    <w:rsid w:val="009832EB"/>
    <w:rsid w:val="00984027"/>
    <w:rsid w:val="0098434E"/>
    <w:rsid w:val="009845E0"/>
    <w:rsid w:val="0098478A"/>
    <w:rsid w:val="00985866"/>
    <w:rsid w:val="009858C6"/>
    <w:rsid w:val="009859EE"/>
    <w:rsid w:val="00985D7E"/>
    <w:rsid w:val="0098695D"/>
    <w:rsid w:val="00986D97"/>
    <w:rsid w:val="00987AA1"/>
    <w:rsid w:val="009900E5"/>
    <w:rsid w:val="00990AE3"/>
    <w:rsid w:val="00990EF0"/>
    <w:rsid w:val="00991181"/>
    <w:rsid w:val="00991683"/>
    <w:rsid w:val="00991794"/>
    <w:rsid w:val="00991842"/>
    <w:rsid w:val="009925CF"/>
    <w:rsid w:val="00992908"/>
    <w:rsid w:val="00992BEC"/>
    <w:rsid w:val="00992CC9"/>
    <w:rsid w:val="0099314E"/>
    <w:rsid w:val="009932F5"/>
    <w:rsid w:val="00993B8D"/>
    <w:rsid w:val="00994E56"/>
    <w:rsid w:val="00995129"/>
    <w:rsid w:val="00995B1D"/>
    <w:rsid w:val="00997644"/>
    <w:rsid w:val="009977CA"/>
    <w:rsid w:val="0099783A"/>
    <w:rsid w:val="009A09F2"/>
    <w:rsid w:val="009A153B"/>
    <w:rsid w:val="009A1725"/>
    <w:rsid w:val="009A2459"/>
    <w:rsid w:val="009A28F5"/>
    <w:rsid w:val="009A33D9"/>
    <w:rsid w:val="009A34AE"/>
    <w:rsid w:val="009A367A"/>
    <w:rsid w:val="009A3967"/>
    <w:rsid w:val="009A41B9"/>
    <w:rsid w:val="009A4540"/>
    <w:rsid w:val="009A544A"/>
    <w:rsid w:val="009A549D"/>
    <w:rsid w:val="009A54DF"/>
    <w:rsid w:val="009A58A4"/>
    <w:rsid w:val="009A64AF"/>
    <w:rsid w:val="009A6A97"/>
    <w:rsid w:val="009A6B78"/>
    <w:rsid w:val="009A75B9"/>
    <w:rsid w:val="009A7A33"/>
    <w:rsid w:val="009B0488"/>
    <w:rsid w:val="009B1997"/>
    <w:rsid w:val="009B2F84"/>
    <w:rsid w:val="009B3429"/>
    <w:rsid w:val="009B3702"/>
    <w:rsid w:val="009B3925"/>
    <w:rsid w:val="009B3941"/>
    <w:rsid w:val="009B4510"/>
    <w:rsid w:val="009B4687"/>
    <w:rsid w:val="009B4AA0"/>
    <w:rsid w:val="009B4ABB"/>
    <w:rsid w:val="009B4EA3"/>
    <w:rsid w:val="009B502B"/>
    <w:rsid w:val="009B5B27"/>
    <w:rsid w:val="009B5C4D"/>
    <w:rsid w:val="009B5CAF"/>
    <w:rsid w:val="009B618D"/>
    <w:rsid w:val="009B6966"/>
    <w:rsid w:val="009B6C40"/>
    <w:rsid w:val="009B6E4C"/>
    <w:rsid w:val="009B6F4A"/>
    <w:rsid w:val="009B6FD8"/>
    <w:rsid w:val="009B77D7"/>
    <w:rsid w:val="009B7817"/>
    <w:rsid w:val="009C1452"/>
    <w:rsid w:val="009C217B"/>
    <w:rsid w:val="009C2848"/>
    <w:rsid w:val="009C29BC"/>
    <w:rsid w:val="009C2B3C"/>
    <w:rsid w:val="009C35BA"/>
    <w:rsid w:val="009C3B8F"/>
    <w:rsid w:val="009C3FCE"/>
    <w:rsid w:val="009C4866"/>
    <w:rsid w:val="009C4ABE"/>
    <w:rsid w:val="009C5036"/>
    <w:rsid w:val="009C5335"/>
    <w:rsid w:val="009C5418"/>
    <w:rsid w:val="009C5588"/>
    <w:rsid w:val="009C56CB"/>
    <w:rsid w:val="009C5E94"/>
    <w:rsid w:val="009C6091"/>
    <w:rsid w:val="009C60FC"/>
    <w:rsid w:val="009C615A"/>
    <w:rsid w:val="009C6899"/>
    <w:rsid w:val="009C6D29"/>
    <w:rsid w:val="009C7393"/>
    <w:rsid w:val="009C7AD0"/>
    <w:rsid w:val="009D041E"/>
    <w:rsid w:val="009D076B"/>
    <w:rsid w:val="009D0AE3"/>
    <w:rsid w:val="009D0D68"/>
    <w:rsid w:val="009D1F3F"/>
    <w:rsid w:val="009D275B"/>
    <w:rsid w:val="009D2D70"/>
    <w:rsid w:val="009D31B9"/>
    <w:rsid w:val="009D445C"/>
    <w:rsid w:val="009D4726"/>
    <w:rsid w:val="009D4EFA"/>
    <w:rsid w:val="009D5B3B"/>
    <w:rsid w:val="009D5C3F"/>
    <w:rsid w:val="009D6820"/>
    <w:rsid w:val="009D6A1C"/>
    <w:rsid w:val="009D7113"/>
    <w:rsid w:val="009D7A14"/>
    <w:rsid w:val="009D7E4A"/>
    <w:rsid w:val="009E04C2"/>
    <w:rsid w:val="009E14F7"/>
    <w:rsid w:val="009E1C1D"/>
    <w:rsid w:val="009E1D42"/>
    <w:rsid w:val="009E3FA4"/>
    <w:rsid w:val="009E3FD2"/>
    <w:rsid w:val="009E442E"/>
    <w:rsid w:val="009E4CA3"/>
    <w:rsid w:val="009E5221"/>
    <w:rsid w:val="009E5324"/>
    <w:rsid w:val="009E580D"/>
    <w:rsid w:val="009E5820"/>
    <w:rsid w:val="009E59E2"/>
    <w:rsid w:val="009E5C9B"/>
    <w:rsid w:val="009E6D4D"/>
    <w:rsid w:val="009E75B0"/>
    <w:rsid w:val="009E7B00"/>
    <w:rsid w:val="009F0309"/>
    <w:rsid w:val="009F08EF"/>
    <w:rsid w:val="009F0B55"/>
    <w:rsid w:val="009F180C"/>
    <w:rsid w:val="009F1BFC"/>
    <w:rsid w:val="009F1CCF"/>
    <w:rsid w:val="009F276A"/>
    <w:rsid w:val="009F3665"/>
    <w:rsid w:val="009F40B8"/>
    <w:rsid w:val="009F4326"/>
    <w:rsid w:val="009F4AC9"/>
    <w:rsid w:val="009F4D27"/>
    <w:rsid w:val="009F5B25"/>
    <w:rsid w:val="009F602A"/>
    <w:rsid w:val="009F6307"/>
    <w:rsid w:val="009F79A8"/>
    <w:rsid w:val="009F7E73"/>
    <w:rsid w:val="00A01270"/>
    <w:rsid w:val="00A0224A"/>
    <w:rsid w:val="00A02622"/>
    <w:rsid w:val="00A02BEB"/>
    <w:rsid w:val="00A02BF1"/>
    <w:rsid w:val="00A02D1E"/>
    <w:rsid w:val="00A033FD"/>
    <w:rsid w:val="00A03CC5"/>
    <w:rsid w:val="00A05319"/>
    <w:rsid w:val="00A0552F"/>
    <w:rsid w:val="00A05FC2"/>
    <w:rsid w:val="00A07426"/>
    <w:rsid w:val="00A10069"/>
    <w:rsid w:val="00A10652"/>
    <w:rsid w:val="00A10B2E"/>
    <w:rsid w:val="00A115FE"/>
    <w:rsid w:val="00A11783"/>
    <w:rsid w:val="00A120EC"/>
    <w:rsid w:val="00A12E50"/>
    <w:rsid w:val="00A12FA8"/>
    <w:rsid w:val="00A13FC9"/>
    <w:rsid w:val="00A14376"/>
    <w:rsid w:val="00A15109"/>
    <w:rsid w:val="00A1604A"/>
    <w:rsid w:val="00A163BB"/>
    <w:rsid w:val="00A171C8"/>
    <w:rsid w:val="00A17386"/>
    <w:rsid w:val="00A17F67"/>
    <w:rsid w:val="00A2022C"/>
    <w:rsid w:val="00A20472"/>
    <w:rsid w:val="00A21034"/>
    <w:rsid w:val="00A220B7"/>
    <w:rsid w:val="00A22972"/>
    <w:rsid w:val="00A2394E"/>
    <w:rsid w:val="00A24022"/>
    <w:rsid w:val="00A24FE3"/>
    <w:rsid w:val="00A250EF"/>
    <w:rsid w:val="00A264A5"/>
    <w:rsid w:val="00A276C0"/>
    <w:rsid w:val="00A30B7A"/>
    <w:rsid w:val="00A30ED6"/>
    <w:rsid w:val="00A318B3"/>
    <w:rsid w:val="00A31F6D"/>
    <w:rsid w:val="00A322CA"/>
    <w:rsid w:val="00A323C3"/>
    <w:rsid w:val="00A33397"/>
    <w:rsid w:val="00A33838"/>
    <w:rsid w:val="00A33CA3"/>
    <w:rsid w:val="00A34A8A"/>
    <w:rsid w:val="00A34C93"/>
    <w:rsid w:val="00A34DE3"/>
    <w:rsid w:val="00A35988"/>
    <w:rsid w:val="00A35D73"/>
    <w:rsid w:val="00A36415"/>
    <w:rsid w:val="00A36DB1"/>
    <w:rsid w:val="00A37C3E"/>
    <w:rsid w:val="00A4012B"/>
    <w:rsid w:val="00A405AE"/>
    <w:rsid w:val="00A40951"/>
    <w:rsid w:val="00A4104B"/>
    <w:rsid w:val="00A41136"/>
    <w:rsid w:val="00A41D8E"/>
    <w:rsid w:val="00A4211C"/>
    <w:rsid w:val="00A421E8"/>
    <w:rsid w:val="00A42344"/>
    <w:rsid w:val="00A42598"/>
    <w:rsid w:val="00A42BB4"/>
    <w:rsid w:val="00A43593"/>
    <w:rsid w:val="00A43988"/>
    <w:rsid w:val="00A44181"/>
    <w:rsid w:val="00A44450"/>
    <w:rsid w:val="00A44FAC"/>
    <w:rsid w:val="00A45613"/>
    <w:rsid w:val="00A4587C"/>
    <w:rsid w:val="00A45AB3"/>
    <w:rsid w:val="00A45D34"/>
    <w:rsid w:val="00A46069"/>
    <w:rsid w:val="00A4637B"/>
    <w:rsid w:val="00A466A8"/>
    <w:rsid w:val="00A467ED"/>
    <w:rsid w:val="00A468B1"/>
    <w:rsid w:val="00A469C6"/>
    <w:rsid w:val="00A46C53"/>
    <w:rsid w:val="00A4731D"/>
    <w:rsid w:val="00A47BB6"/>
    <w:rsid w:val="00A504FD"/>
    <w:rsid w:val="00A50AA5"/>
    <w:rsid w:val="00A50CC0"/>
    <w:rsid w:val="00A5255C"/>
    <w:rsid w:val="00A52CB3"/>
    <w:rsid w:val="00A52F3D"/>
    <w:rsid w:val="00A5359D"/>
    <w:rsid w:val="00A540AE"/>
    <w:rsid w:val="00A541FB"/>
    <w:rsid w:val="00A543DD"/>
    <w:rsid w:val="00A5451A"/>
    <w:rsid w:val="00A56210"/>
    <w:rsid w:val="00A5650D"/>
    <w:rsid w:val="00A56749"/>
    <w:rsid w:val="00A575FA"/>
    <w:rsid w:val="00A577CD"/>
    <w:rsid w:val="00A57913"/>
    <w:rsid w:val="00A57A7F"/>
    <w:rsid w:val="00A604E6"/>
    <w:rsid w:val="00A60CAD"/>
    <w:rsid w:val="00A60F7E"/>
    <w:rsid w:val="00A615A6"/>
    <w:rsid w:val="00A621C5"/>
    <w:rsid w:val="00A62282"/>
    <w:rsid w:val="00A62D36"/>
    <w:rsid w:val="00A6365B"/>
    <w:rsid w:val="00A64517"/>
    <w:rsid w:val="00A651D1"/>
    <w:rsid w:val="00A6588E"/>
    <w:rsid w:val="00A6600B"/>
    <w:rsid w:val="00A66183"/>
    <w:rsid w:val="00A66C81"/>
    <w:rsid w:val="00A701EC"/>
    <w:rsid w:val="00A70290"/>
    <w:rsid w:val="00A70647"/>
    <w:rsid w:val="00A709C2"/>
    <w:rsid w:val="00A709F6"/>
    <w:rsid w:val="00A713AA"/>
    <w:rsid w:val="00A71772"/>
    <w:rsid w:val="00A718F8"/>
    <w:rsid w:val="00A71C80"/>
    <w:rsid w:val="00A71CA0"/>
    <w:rsid w:val="00A71DF2"/>
    <w:rsid w:val="00A72697"/>
    <w:rsid w:val="00A72F8F"/>
    <w:rsid w:val="00A731BB"/>
    <w:rsid w:val="00A73364"/>
    <w:rsid w:val="00A74204"/>
    <w:rsid w:val="00A7422D"/>
    <w:rsid w:val="00A7470A"/>
    <w:rsid w:val="00A751E4"/>
    <w:rsid w:val="00A75D87"/>
    <w:rsid w:val="00A76287"/>
    <w:rsid w:val="00A76FCD"/>
    <w:rsid w:val="00A77176"/>
    <w:rsid w:val="00A772DB"/>
    <w:rsid w:val="00A777EF"/>
    <w:rsid w:val="00A77853"/>
    <w:rsid w:val="00A800F6"/>
    <w:rsid w:val="00A806EC"/>
    <w:rsid w:val="00A80C6C"/>
    <w:rsid w:val="00A80CB3"/>
    <w:rsid w:val="00A81950"/>
    <w:rsid w:val="00A81FFD"/>
    <w:rsid w:val="00A8266A"/>
    <w:rsid w:val="00A83BFD"/>
    <w:rsid w:val="00A8408F"/>
    <w:rsid w:val="00A843E0"/>
    <w:rsid w:val="00A84F5C"/>
    <w:rsid w:val="00A85A22"/>
    <w:rsid w:val="00A85D16"/>
    <w:rsid w:val="00A8679A"/>
    <w:rsid w:val="00A8730E"/>
    <w:rsid w:val="00A8786A"/>
    <w:rsid w:val="00A87870"/>
    <w:rsid w:val="00A87BB4"/>
    <w:rsid w:val="00A9042A"/>
    <w:rsid w:val="00A90DDB"/>
    <w:rsid w:val="00A91117"/>
    <w:rsid w:val="00A91B07"/>
    <w:rsid w:val="00A9284A"/>
    <w:rsid w:val="00A92F31"/>
    <w:rsid w:val="00A9349B"/>
    <w:rsid w:val="00A93704"/>
    <w:rsid w:val="00A947B5"/>
    <w:rsid w:val="00A9510B"/>
    <w:rsid w:val="00A95FB9"/>
    <w:rsid w:val="00A965E6"/>
    <w:rsid w:val="00A968D9"/>
    <w:rsid w:val="00A974DD"/>
    <w:rsid w:val="00A97B07"/>
    <w:rsid w:val="00AA0DEF"/>
    <w:rsid w:val="00AA1B8B"/>
    <w:rsid w:val="00AA333B"/>
    <w:rsid w:val="00AA33E3"/>
    <w:rsid w:val="00AA388A"/>
    <w:rsid w:val="00AA38A9"/>
    <w:rsid w:val="00AA3B1F"/>
    <w:rsid w:val="00AA3E43"/>
    <w:rsid w:val="00AA3FF9"/>
    <w:rsid w:val="00AA4AA9"/>
    <w:rsid w:val="00AA5432"/>
    <w:rsid w:val="00AA5892"/>
    <w:rsid w:val="00AA5D40"/>
    <w:rsid w:val="00AA5D66"/>
    <w:rsid w:val="00AA6711"/>
    <w:rsid w:val="00AA6821"/>
    <w:rsid w:val="00AA6B93"/>
    <w:rsid w:val="00AA740C"/>
    <w:rsid w:val="00AA7658"/>
    <w:rsid w:val="00AA7962"/>
    <w:rsid w:val="00AA7AC1"/>
    <w:rsid w:val="00AB063D"/>
    <w:rsid w:val="00AB0BD6"/>
    <w:rsid w:val="00AB0D86"/>
    <w:rsid w:val="00AB1CCC"/>
    <w:rsid w:val="00AB1EFD"/>
    <w:rsid w:val="00AB1F0C"/>
    <w:rsid w:val="00AB238C"/>
    <w:rsid w:val="00AB2433"/>
    <w:rsid w:val="00AB27A3"/>
    <w:rsid w:val="00AB2DBC"/>
    <w:rsid w:val="00AB32E8"/>
    <w:rsid w:val="00AB3E72"/>
    <w:rsid w:val="00AB454D"/>
    <w:rsid w:val="00AB4A58"/>
    <w:rsid w:val="00AB4D46"/>
    <w:rsid w:val="00AB5182"/>
    <w:rsid w:val="00AB56BB"/>
    <w:rsid w:val="00AB5DE9"/>
    <w:rsid w:val="00AB777D"/>
    <w:rsid w:val="00AB79A9"/>
    <w:rsid w:val="00AC000E"/>
    <w:rsid w:val="00AC093D"/>
    <w:rsid w:val="00AC1D61"/>
    <w:rsid w:val="00AC2733"/>
    <w:rsid w:val="00AC32AC"/>
    <w:rsid w:val="00AC32FF"/>
    <w:rsid w:val="00AC3506"/>
    <w:rsid w:val="00AC3768"/>
    <w:rsid w:val="00AC383E"/>
    <w:rsid w:val="00AC38D3"/>
    <w:rsid w:val="00AC3BA1"/>
    <w:rsid w:val="00AC3C66"/>
    <w:rsid w:val="00AC4820"/>
    <w:rsid w:val="00AC4EF5"/>
    <w:rsid w:val="00AC6310"/>
    <w:rsid w:val="00AC662F"/>
    <w:rsid w:val="00AC6713"/>
    <w:rsid w:val="00AC7007"/>
    <w:rsid w:val="00AC758A"/>
    <w:rsid w:val="00AD0274"/>
    <w:rsid w:val="00AD0284"/>
    <w:rsid w:val="00AD0B0A"/>
    <w:rsid w:val="00AD0D45"/>
    <w:rsid w:val="00AD0D99"/>
    <w:rsid w:val="00AD22BA"/>
    <w:rsid w:val="00AD277E"/>
    <w:rsid w:val="00AD3213"/>
    <w:rsid w:val="00AD323E"/>
    <w:rsid w:val="00AD3760"/>
    <w:rsid w:val="00AD428F"/>
    <w:rsid w:val="00AD44BF"/>
    <w:rsid w:val="00AD463C"/>
    <w:rsid w:val="00AD473E"/>
    <w:rsid w:val="00AD4CBF"/>
    <w:rsid w:val="00AD58A1"/>
    <w:rsid w:val="00AD667B"/>
    <w:rsid w:val="00AD6D37"/>
    <w:rsid w:val="00AD770B"/>
    <w:rsid w:val="00AD77AA"/>
    <w:rsid w:val="00AD798C"/>
    <w:rsid w:val="00AE04CB"/>
    <w:rsid w:val="00AE052A"/>
    <w:rsid w:val="00AE081C"/>
    <w:rsid w:val="00AE0E89"/>
    <w:rsid w:val="00AE1145"/>
    <w:rsid w:val="00AE16C7"/>
    <w:rsid w:val="00AE1738"/>
    <w:rsid w:val="00AE1B54"/>
    <w:rsid w:val="00AE1E70"/>
    <w:rsid w:val="00AE4A0B"/>
    <w:rsid w:val="00AE4A1A"/>
    <w:rsid w:val="00AE5729"/>
    <w:rsid w:val="00AE58B6"/>
    <w:rsid w:val="00AE5B38"/>
    <w:rsid w:val="00AE62EF"/>
    <w:rsid w:val="00AE6B46"/>
    <w:rsid w:val="00AE6B54"/>
    <w:rsid w:val="00AE6D03"/>
    <w:rsid w:val="00AE79BD"/>
    <w:rsid w:val="00AE7D56"/>
    <w:rsid w:val="00AF048F"/>
    <w:rsid w:val="00AF1A71"/>
    <w:rsid w:val="00AF1CF6"/>
    <w:rsid w:val="00AF1FCE"/>
    <w:rsid w:val="00AF21BB"/>
    <w:rsid w:val="00AF2434"/>
    <w:rsid w:val="00AF25E7"/>
    <w:rsid w:val="00AF2D3D"/>
    <w:rsid w:val="00AF3A0F"/>
    <w:rsid w:val="00AF3DE3"/>
    <w:rsid w:val="00AF492E"/>
    <w:rsid w:val="00AF51F5"/>
    <w:rsid w:val="00AF57BB"/>
    <w:rsid w:val="00AF59F0"/>
    <w:rsid w:val="00AF6085"/>
    <w:rsid w:val="00AF62AC"/>
    <w:rsid w:val="00AF631E"/>
    <w:rsid w:val="00AF63B7"/>
    <w:rsid w:val="00AF69BC"/>
    <w:rsid w:val="00AF6D10"/>
    <w:rsid w:val="00AF6F67"/>
    <w:rsid w:val="00AF7D1C"/>
    <w:rsid w:val="00B00D2E"/>
    <w:rsid w:val="00B0242D"/>
    <w:rsid w:val="00B02823"/>
    <w:rsid w:val="00B02A93"/>
    <w:rsid w:val="00B03293"/>
    <w:rsid w:val="00B03C96"/>
    <w:rsid w:val="00B03DF5"/>
    <w:rsid w:val="00B04303"/>
    <w:rsid w:val="00B04ECF"/>
    <w:rsid w:val="00B05077"/>
    <w:rsid w:val="00B05B87"/>
    <w:rsid w:val="00B07973"/>
    <w:rsid w:val="00B1002B"/>
    <w:rsid w:val="00B10316"/>
    <w:rsid w:val="00B103A0"/>
    <w:rsid w:val="00B103C9"/>
    <w:rsid w:val="00B108D8"/>
    <w:rsid w:val="00B10FB3"/>
    <w:rsid w:val="00B10FEA"/>
    <w:rsid w:val="00B11176"/>
    <w:rsid w:val="00B118DC"/>
    <w:rsid w:val="00B12C1A"/>
    <w:rsid w:val="00B12C9F"/>
    <w:rsid w:val="00B12E57"/>
    <w:rsid w:val="00B13F37"/>
    <w:rsid w:val="00B13F3C"/>
    <w:rsid w:val="00B14C86"/>
    <w:rsid w:val="00B1519F"/>
    <w:rsid w:val="00B156BD"/>
    <w:rsid w:val="00B15824"/>
    <w:rsid w:val="00B15C01"/>
    <w:rsid w:val="00B16B96"/>
    <w:rsid w:val="00B20194"/>
    <w:rsid w:val="00B20490"/>
    <w:rsid w:val="00B2077B"/>
    <w:rsid w:val="00B20AA4"/>
    <w:rsid w:val="00B20D35"/>
    <w:rsid w:val="00B20EC6"/>
    <w:rsid w:val="00B215B4"/>
    <w:rsid w:val="00B22301"/>
    <w:rsid w:val="00B22BDA"/>
    <w:rsid w:val="00B22EDB"/>
    <w:rsid w:val="00B2389F"/>
    <w:rsid w:val="00B251DB"/>
    <w:rsid w:val="00B25A19"/>
    <w:rsid w:val="00B2640F"/>
    <w:rsid w:val="00B264E1"/>
    <w:rsid w:val="00B26C25"/>
    <w:rsid w:val="00B26C39"/>
    <w:rsid w:val="00B26D06"/>
    <w:rsid w:val="00B26D46"/>
    <w:rsid w:val="00B2752B"/>
    <w:rsid w:val="00B300BC"/>
    <w:rsid w:val="00B3048A"/>
    <w:rsid w:val="00B30523"/>
    <w:rsid w:val="00B3057B"/>
    <w:rsid w:val="00B3191E"/>
    <w:rsid w:val="00B31C02"/>
    <w:rsid w:val="00B32446"/>
    <w:rsid w:val="00B32475"/>
    <w:rsid w:val="00B3251E"/>
    <w:rsid w:val="00B3276C"/>
    <w:rsid w:val="00B32BB8"/>
    <w:rsid w:val="00B32CF0"/>
    <w:rsid w:val="00B32DAA"/>
    <w:rsid w:val="00B32F43"/>
    <w:rsid w:val="00B33260"/>
    <w:rsid w:val="00B3373E"/>
    <w:rsid w:val="00B34557"/>
    <w:rsid w:val="00B35C0C"/>
    <w:rsid w:val="00B35D81"/>
    <w:rsid w:val="00B35D8A"/>
    <w:rsid w:val="00B3669C"/>
    <w:rsid w:val="00B376E0"/>
    <w:rsid w:val="00B37AC6"/>
    <w:rsid w:val="00B37EDF"/>
    <w:rsid w:val="00B40373"/>
    <w:rsid w:val="00B404A4"/>
    <w:rsid w:val="00B40739"/>
    <w:rsid w:val="00B4168A"/>
    <w:rsid w:val="00B41D10"/>
    <w:rsid w:val="00B41D19"/>
    <w:rsid w:val="00B41D88"/>
    <w:rsid w:val="00B4215D"/>
    <w:rsid w:val="00B430A2"/>
    <w:rsid w:val="00B439BE"/>
    <w:rsid w:val="00B43E9C"/>
    <w:rsid w:val="00B44B35"/>
    <w:rsid w:val="00B459CA"/>
    <w:rsid w:val="00B45A7B"/>
    <w:rsid w:val="00B45D68"/>
    <w:rsid w:val="00B460E5"/>
    <w:rsid w:val="00B46552"/>
    <w:rsid w:val="00B46BE0"/>
    <w:rsid w:val="00B47A66"/>
    <w:rsid w:val="00B47FCD"/>
    <w:rsid w:val="00B507BB"/>
    <w:rsid w:val="00B50BE9"/>
    <w:rsid w:val="00B51F73"/>
    <w:rsid w:val="00B523F9"/>
    <w:rsid w:val="00B52B4F"/>
    <w:rsid w:val="00B531F4"/>
    <w:rsid w:val="00B5337A"/>
    <w:rsid w:val="00B53712"/>
    <w:rsid w:val="00B54621"/>
    <w:rsid w:val="00B54EDF"/>
    <w:rsid w:val="00B554B7"/>
    <w:rsid w:val="00B55A1F"/>
    <w:rsid w:val="00B56798"/>
    <w:rsid w:val="00B56A09"/>
    <w:rsid w:val="00B56AF0"/>
    <w:rsid w:val="00B56BDF"/>
    <w:rsid w:val="00B57983"/>
    <w:rsid w:val="00B60237"/>
    <w:rsid w:val="00B605C0"/>
    <w:rsid w:val="00B6138E"/>
    <w:rsid w:val="00B61BBC"/>
    <w:rsid w:val="00B62938"/>
    <w:rsid w:val="00B63941"/>
    <w:rsid w:val="00B648A0"/>
    <w:rsid w:val="00B64970"/>
    <w:rsid w:val="00B65410"/>
    <w:rsid w:val="00B6616C"/>
    <w:rsid w:val="00B6622D"/>
    <w:rsid w:val="00B66426"/>
    <w:rsid w:val="00B6682F"/>
    <w:rsid w:val="00B707BE"/>
    <w:rsid w:val="00B707C6"/>
    <w:rsid w:val="00B711A9"/>
    <w:rsid w:val="00B71C7E"/>
    <w:rsid w:val="00B72D7B"/>
    <w:rsid w:val="00B731A1"/>
    <w:rsid w:val="00B73E46"/>
    <w:rsid w:val="00B74400"/>
    <w:rsid w:val="00B74603"/>
    <w:rsid w:val="00B7465D"/>
    <w:rsid w:val="00B7489E"/>
    <w:rsid w:val="00B74B32"/>
    <w:rsid w:val="00B75025"/>
    <w:rsid w:val="00B751DA"/>
    <w:rsid w:val="00B75FC3"/>
    <w:rsid w:val="00B7602D"/>
    <w:rsid w:val="00B76A49"/>
    <w:rsid w:val="00B77586"/>
    <w:rsid w:val="00B77877"/>
    <w:rsid w:val="00B80D8C"/>
    <w:rsid w:val="00B81149"/>
    <w:rsid w:val="00B81C11"/>
    <w:rsid w:val="00B81F1E"/>
    <w:rsid w:val="00B82D24"/>
    <w:rsid w:val="00B830E5"/>
    <w:rsid w:val="00B83312"/>
    <w:rsid w:val="00B83981"/>
    <w:rsid w:val="00B8439B"/>
    <w:rsid w:val="00B845DC"/>
    <w:rsid w:val="00B84886"/>
    <w:rsid w:val="00B84C23"/>
    <w:rsid w:val="00B8544B"/>
    <w:rsid w:val="00B8596F"/>
    <w:rsid w:val="00B859DE"/>
    <w:rsid w:val="00B85C75"/>
    <w:rsid w:val="00B85D32"/>
    <w:rsid w:val="00B867C7"/>
    <w:rsid w:val="00B87C07"/>
    <w:rsid w:val="00B90383"/>
    <w:rsid w:val="00B9091C"/>
    <w:rsid w:val="00B90D26"/>
    <w:rsid w:val="00B910B8"/>
    <w:rsid w:val="00B910C8"/>
    <w:rsid w:val="00B91273"/>
    <w:rsid w:val="00B915A3"/>
    <w:rsid w:val="00B91627"/>
    <w:rsid w:val="00B91745"/>
    <w:rsid w:val="00B92A4B"/>
    <w:rsid w:val="00B92F24"/>
    <w:rsid w:val="00B935D1"/>
    <w:rsid w:val="00B93D67"/>
    <w:rsid w:val="00B95451"/>
    <w:rsid w:val="00B96B2F"/>
    <w:rsid w:val="00B96D9A"/>
    <w:rsid w:val="00B97DC9"/>
    <w:rsid w:val="00B97E79"/>
    <w:rsid w:val="00BA065A"/>
    <w:rsid w:val="00BA08BE"/>
    <w:rsid w:val="00BA0B22"/>
    <w:rsid w:val="00BA0CD7"/>
    <w:rsid w:val="00BA0EF5"/>
    <w:rsid w:val="00BA19B2"/>
    <w:rsid w:val="00BA1BB9"/>
    <w:rsid w:val="00BA1D42"/>
    <w:rsid w:val="00BA23D0"/>
    <w:rsid w:val="00BA30D5"/>
    <w:rsid w:val="00BA3122"/>
    <w:rsid w:val="00BA3B03"/>
    <w:rsid w:val="00BA3E56"/>
    <w:rsid w:val="00BA4013"/>
    <w:rsid w:val="00BA4606"/>
    <w:rsid w:val="00BA4A16"/>
    <w:rsid w:val="00BA4F04"/>
    <w:rsid w:val="00BA5ADF"/>
    <w:rsid w:val="00BA69D0"/>
    <w:rsid w:val="00BA6ACC"/>
    <w:rsid w:val="00BA6CC1"/>
    <w:rsid w:val="00BB02BB"/>
    <w:rsid w:val="00BB0F5A"/>
    <w:rsid w:val="00BB1911"/>
    <w:rsid w:val="00BB2200"/>
    <w:rsid w:val="00BB2814"/>
    <w:rsid w:val="00BB2B42"/>
    <w:rsid w:val="00BB34A7"/>
    <w:rsid w:val="00BB350F"/>
    <w:rsid w:val="00BB3B9C"/>
    <w:rsid w:val="00BB3C8F"/>
    <w:rsid w:val="00BB425D"/>
    <w:rsid w:val="00BB47C8"/>
    <w:rsid w:val="00BB533D"/>
    <w:rsid w:val="00BB58E8"/>
    <w:rsid w:val="00BB5E52"/>
    <w:rsid w:val="00BB6476"/>
    <w:rsid w:val="00BB6620"/>
    <w:rsid w:val="00BB6736"/>
    <w:rsid w:val="00BB6C4C"/>
    <w:rsid w:val="00BB75D0"/>
    <w:rsid w:val="00BB76F1"/>
    <w:rsid w:val="00BB7967"/>
    <w:rsid w:val="00BB7DA9"/>
    <w:rsid w:val="00BB7F61"/>
    <w:rsid w:val="00BC01E8"/>
    <w:rsid w:val="00BC0F4A"/>
    <w:rsid w:val="00BC1BC0"/>
    <w:rsid w:val="00BC2119"/>
    <w:rsid w:val="00BC258B"/>
    <w:rsid w:val="00BC25EB"/>
    <w:rsid w:val="00BC2683"/>
    <w:rsid w:val="00BC40AE"/>
    <w:rsid w:val="00BC4774"/>
    <w:rsid w:val="00BC4D7E"/>
    <w:rsid w:val="00BC4F28"/>
    <w:rsid w:val="00BC526C"/>
    <w:rsid w:val="00BC6957"/>
    <w:rsid w:val="00BC6B5C"/>
    <w:rsid w:val="00BC72E4"/>
    <w:rsid w:val="00BC75A6"/>
    <w:rsid w:val="00BD06C5"/>
    <w:rsid w:val="00BD07BC"/>
    <w:rsid w:val="00BD0DBC"/>
    <w:rsid w:val="00BD0F8A"/>
    <w:rsid w:val="00BD1011"/>
    <w:rsid w:val="00BD167A"/>
    <w:rsid w:val="00BD21BE"/>
    <w:rsid w:val="00BD2244"/>
    <w:rsid w:val="00BD238D"/>
    <w:rsid w:val="00BD2D32"/>
    <w:rsid w:val="00BD4339"/>
    <w:rsid w:val="00BD47A7"/>
    <w:rsid w:val="00BD57F0"/>
    <w:rsid w:val="00BD5F88"/>
    <w:rsid w:val="00BD617E"/>
    <w:rsid w:val="00BD6A02"/>
    <w:rsid w:val="00BD6CD4"/>
    <w:rsid w:val="00BD71A8"/>
    <w:rsid w:val="00BD7AD7"/>
    <w:rsid w:val="00BD7F0C"/>
    <w:rsid w:val="00BD7F4A"/>
    <w:rsid w:val="00BE0069"/>
    <w:rsid w:val="00BE03A5"/>
    <w:rsid w:val="00BE0508"/>
    <w:rsid w:val="00BE0A17"/>
    <w:rsid w:val="00BE1060"/>
    <w:rsid w:val="00BE1CB4"/>
    <w:rsid w:val="00BE1FA3"/>
    <w:rsid w:val="00BE208D"/>
    <w:rsid w:val="00BE2D93"/>
    <w:rsid w:val="00BE31A1"/>
    <w:rsid w:val="00BE36FE"/>
    <w:rsid w:val="00BE39DF"/>
    <w:rsid w:val="00BE3A73"/>
    <w:rsid w:val="00BE3C34"/>
    <w:rsid w:val="00BE4190"/>
    <w:rsid w:val="00BE4D39"/>
    <w:rsid w:val="00BE4E75"/>
    <w:rsid w:val="00BE53C7"/>
    <w:rsid w:val="00BE54BE"/>
    <w:rsid w:val="00BE5D19"/>
    <w:rsid w:val="00BE63F1"/>
    <w:rsid w:val="00BE6B0A"/>
    <w:rsid w:val="00BE6EEA"/>
    <w:rsid w:val="00BE7601"/>
    <w:rsid w:val="00BE7A45"/>
    <w:rsid w:val="00BE7E85"/>
    <w:rsid w:val="00BE7EE1"/>
    <w:rsid w:val="00BF0669"/>
    <w:rsid w:val="00BF0E54"/>
    <w:rsid w:val="00BF1145"/>
    <w:rsid w:val="00BF14E9"/>
    <w:rsid w:val="00BF1E0A"/>
    <w:rsid w:val="00BF1EC7"/>
    <w:rsid w:val="00BF2E26"/>
    <w:rsid w:val="00BF3032"/>
    <w:rsid w:val="00BF3085"/>
    <w:rsid w:val="00BF4F73"/>
    <w:rsid w:val="00BF5A50"/>
    <w:rsid w:val="00BF5D29"/>
    <w:rsid w:val="00BF6ADB"/>
    <w:rsid w:val="00BF79EB"/>
    <w:rsid w:val="00BF7D2B"/>
    <w:rsid w:val="00C00DD8"/>
    <w:rsid w:val="00C01277"/>
    <w:rsid w:val="00C0172E"/>
    <w:rsid w:val="00C017AB"/>
    <w:rsid w:val="00C01F96"/>
    <w:rsid w:val="00C022A9"/>
    <w:rsid w:val="00C02A40"/>
    <w:rsid w:val="00C034AE"/>
    <w:rsid w:val="00C03EDC"/>
    <w:rsid w:val="00C0417E"/>
    <w:rsid w:val="00C04C2F"/>
    <w:rsid w:val="00C04E9A"/>
    <w:rsid w:val="00C05D28"/>
    <w:rsid w:val="00C05EFA"/>
    <w:rsid w:val="00C061DF"/>
    <w:rsid w:val="00C06A44"/>
    <w:rsid w:val="00C06BD8"/>
    <w:rsid w:val="00C06FC0"/>
    <w:rsid w:val="00C078CF"/>
    <w:rsid w:val="00C10FE0"/>
    <w:rsid w:val="00C1113C"/>
    <w:rsid w:val="00C11A33"/>
    <w:rsid w:val="00C11F85"/>
    <w:rsid w:val="00C1261D"/>
    <w:rsid w:val="00C12B99"/>
    <w:rsid w:val="00C140EE"/>
    <w:rsid w:val="00C149D0"/>
    <w:rsid w:val="00C1540C"/>
    <w:rsid w:val="00C157DC"/>
    <w:rsid w:val="00C15B28"/>
    <w:rsid w:val="00C15F04"/>
    <w:rsid w:val="00C163D9"/>
    <w:rsid w:val="00C16426"/>
    <w:rsid w:val="00C16B02"/>
    <w:rsid w:val="00C170F9"/>
    <w:rsid w:val="00C17642"/>
    <w:rsid w:val="00C17729"/>
    <w:rsid w:val="00C20101"/>
    <w:rsid w:val="00C203ED"/>
    <w:rsid w:val="00C2198B"/>
    <w:rsid w:val="00C21E34"/>
    <w:rsid w:val="00C22238"/>
    <w:rsid w:val="00C22488"/>
    <w:rsid w:val="00C230BD"/>
    <w:rsid w:val="00C239D6"/>
    <w:rsid w:val="00C240CC"/>
    <w:rsid w:val="00C242A5"/>
    <w:rsid w:val="00C24A5A"/>
    <w:rsid w:val="00C24B46"/>
    <w:rsid w:val="00C25E5E"/>
    <w:rsid w:val="00C2674F"/>
    <w:rsid w:val="00C2694B"/>
    <w:rsid w:val="00C26F8C"/>
    <w:rsid w:val="00C27BF5"/>
    <w:rsid w:val="00C27CAF"/>
    <w:rsid w:val="00C30644"/>
    <w:rsid w:val="00C308D5"/>
    <w:rsid w:val="00C30E11"/>
    <w:rsid w:val="00C31062"/>
    <w:rsid w:val="00C31C06"/>
    <w:rsid w:val="00C32075"/>
    <w:rsid w:val="00C3208E"/>
    <w:rsid w:val="00C32887"/>
    <w:rsid w:val="00C33846"/>
    <w:rsid w:val="00C33C31"/>
    <w:rsid w:val="00C33F3F"/>
    <w:rsid w:val="00C341F1"/>
    <w:rsid w:val="00C34D45"/>
    <w:rsid w:val="00C3516F"/>
    <w:rsid w:val="00C35189"/>
    <w:rsid w:val="00C35F1A"/>
    <w:rsid w:val="00C3672F"/>
    <w:rsid w:val="00C368E6"/>
    <w:rsid w:val="00C36E43"/>
    <w:rsid w:val="00C371D5"/>
    <w:rsid w:val="00C372B4"/>
    <w:rsid w:val="00C37958"/>
    <w:rsid w:val="00C37CC8"/>
    <w:rsid w:val="00C37D77"/>
    <w:rsid w:val="00C40035"/>
    <w:rsid w:val="00C40053"/>
    <w:rsid w:val="00C42FEC"/>
    <w:rsid w:val="00C43099"/>
    <w:rsid w:val="00C437A0"/>
    <w:rsid w:val="00C43A4D"/>
    <w:rsid w:val="00C43D48"/>
    <w:rsid w:val="00C45170"/>
    <w:rsid w:val="00C46589"/>
    <w:rsid w:val="00C466EB"/>
    <w:rsid w:val="00C469EA"/>
    <w:rsid w:val="00C47554"/>
    <w:rsid w:val="00C47CDE"/>
    <w:rsid w:val="00C50378"/>
    <w:rsid w:val="00C50A1D"/>
    <w:rsid w:val="00C50A9A"/>
    <w:rsid w:val="00C51340"/>
    <w:rsid w:val="00C517E3"/>
    <w:rsid w:val="00C51D40"/>
    <w:rsid w:val="00C51FD6"/>
    <w:rsid w:val="00C529D7"/>
    <w:rsid w:val="00C52C22"/>
    <w:rsid w:val="00C530E6"/>
    <w:rsid w:val="00C532E3"/>
    <w:rsid w:val="00C53427"/>
    <w:rsid w:val="00C53536"/>
    <w:rsid w:val="00C5394A"/>
    <w:rsid w:val="00C54229"/>
    <w:rsid w:val="00C557ED"/>
    <w:rsid w:val="00C55C18"/>
    <w:rsid w:val="00C55E10"/>
    <w:rsid w:val="00C560D7"/>
    <w:rsid w:val="00C5643E"/>
    <w:rsid w:val="00C577D0"/>
    <w:rsid w:val="00C57A15"/>
    <w:rsid w:val="00C57C72"/>
    <w:rsid w:val="00C6074B"/>
    <w:rsid w:val="00C6134C"/>
    <w:rsid w:val="00C613AE"/>
    <w:rsid w:val="00C62440"/>
    <w:rsid w:val="00C62696"/>
    <w:rsid w:val="00C62AD2"/>
    <w:rsid w:val="00C631D4"/>
    <w:rsid w:val="00C64C54"/>
    <w:rsid w:val="00C64D77"/>
    <w:rsid w:val="00C65E4E"/>
    <w:rsid w:val="00C66984"/>
    <w:rsid w:val="00C6768D"/>
    <w:rsid w:val="00C679AC"/>
    <w:rsid w:val="00C71E25"/>
    <w:rsid w:val="00C72742"/>
    <w:rsid w:val="00C72C1D"/>
    <w:rsid w:val="00C72CCE"/>
    <w:rsid w:val="00C734CA"/>
    <w:rsid w:val="00C748F5"/>
    <w:rsid w:val="00C75E45"/>
    <w:rsid w:val="00C75FDE"/>
    <w:rsid w:val="00C764A0"/>
    <w:rsid w:val="00C7678C"/>
    <w:rsid w:val="00C76844"/>
    <w:rsid w:val="00C77D5C"/>
    <w:rsid w:val="00C77DA0"/>
    <w:rsid w:val="00C80E0E"/>
    <w:rsid w:val="00C8103E"/>
    <w:rsid w:val="00C81135"/>
    <w:rsid w:val="00C81392"/>
    <w:rsid w:val="00C81B0E"/>
    <w:rsid w:val="00C82500"/>
    <w:rsid w:val="00C830A1"/>
    <w:rsid w:val="00C84276"/>
    <w:rsid w:val="00C84429"/>
    <w:rsid w:val="00C845C6"/>
    <w:rsid w:val="00C84A0E"/>
    <w:rsid w:val="00C85ABB"/>
    <w:rsid w:val="00C85B8F"/>
    <w:rsid w:val="00C85F2E"/>
    <w:rsid w:val="00C86597"/>
    <w:rsid w:val="00C86680"/>
    <w:rsid w:val="00C86BDC"/>
    <w:rsid w:val="00C9118F"/>
    <w:rsid w:val="00C916FF"/>
    <w:rsid w:val="00C9228D"/>
    <w:rsid w:val="00C92550"/>
    <w:rsid w:val="00C9287B"/>
    <w:rsid w:val="00C92ACA"/>
    <w:rsid w:val="00C9343C"/>
    <w:rsid w:val="00C93448"/>
    <w:rsid w:val="00C93E3F"/>
    <w:rsid w:val="00C9435D"/>
    <w:rsid w:val="00C944B0"/>
    <w:rsid w:val="00C94743"/>
    <w:rsid w:val="00C95BF3"/>
    <w:rsid w:val="00C95C38"/>
    <w:rsid w:val="00C97172"/>
    <w:rsid w:val="00C97350"/>
    <w:rsid w:val="00C97573"/>
    <w:rsid w:val="00C97674"/>
    <w:rsid w:val="00CA0949"/>
    <w:rsid w:val="00CA0C2F"/>
    <w:rsid w:val="00CA12C7"/>
    <w:rsid w:val="00CA2E44"/>
    <w:rsid w:val="00CA342B"/>
    <w:rsid w:val="00CA3473"/>
    <w:rsid w:val="00CA3B5C"/>
    <w:rsid w:val="00CA3DCC"/>
    <w:rsid w:val="00CA46B2"/>
    <w:rsid w:val="00CA4A7A"/>
    <w:rsid w:val="00CA5B8E"/>
    <w:rsid w:val="00CA5C62"/>
    <w:rsid w:val="00CA6B83"/>
    <w:rsid w:val="00CA741D"/>
    <w:rsid w:val="00CA7A86"/>
    <w:rsid w:val="00CA7A90"/>
    <w:rsid w:val="00CA7BE8"/>
    <w:rsid w:val="00CA7DE4"/>
    <w:rsid w:val="00CB02B2"/>
    <w:rsid w:val="00CB0C98"/>
    <w:rsid w:val="00CB1271"/>
    <w:rsid w:val="00CB1AB8"/>
    <w:rsid w:val="00CB1DBB"/>
    <w:rsid w:val="00CB20E4"/>
    <w:rsid w:val="00CB2801"/>
    <w:rsid w:val="00CB2D5A"/>
    <w:rsid w:val="00CB2DE1"/>
    <w:rsid w:val="00CB3133"/>
    <w:rsid w:val="00CB3234"/>
    <w:rsid w:val="00CB3362"/>
    <w:rsid w:val="00CB3551"/>
    <w:rsid w:val="00CB410E"/>
    <w:rsid w:val="00CB41B1"/>
    <w:rsid w:val="00CB50F2"/>
    <w:rsid w:val="00CB6713"/>
    <w:rsid w:val="00CB6955"/>
    <w:rsid w:val="00CB6BD3"/>
    <w:rsid w:val="00CB7499"/>
    <w:rsid w:val="00CC05C6"/>
    <w:rsid w:val="00CC1D4E"/>
    <w:rsid w:val="00CC1F8A"/>
    <w:rsid w:val="00CC2432"/>
    <w:rsid w:val="00CC2610"/>
    <w:rsid w:val="00CC2C20"/>
    <w:rsid w:val="00CC2EFC"/>
    <w:rsid w:val="00CC3584"/>
    <w:rsid w:val="00CC3D50"/>
    <w:rsid w:val="00CC3E77"/>
    <w:rsid w:val="00CC41B9"/>
    <w:rsid w:val="00CC4693"/>
    <w:rsid w:val="00CC4876"/>
    <w:rsid w:val="00CC49D3"/>
    <w:rsid w:val="00CC4DDE"/>
    <w:rsid w:val="00CC5740"/>
    <w:rsid w:val="00CC580D"/>
    <w:rsid w:val="00CC5D23"/>
    <w:rsid w:val="00CC5F48"/>
    <w:rsid w:val="00CC6024"/>
    <w:rsid w:val="00CC6A18"/>
    <w:rsid w:val="00CC6A95"/>
    <w:rsid w:val="00CC752E"/>
    <w:rsid w:val="00CC7A8E"/>
    <w:rsid w:val="00CC7C63"/>
    <w:rsid w:val="00CC7D69"/>
    <w:rsid w:val="00CD17B9"/>
    <w:rsid w:val="00CD1E62"/>
    <w:rsid w:val="00CD2343"/>
    <w:rsid w:val="00CD2919"/>
    <w:rsid w:val="00CD2927"/>
    <w:rsid w:val="00CD2942"/>
    <w:rsid w:val="00CD3814"/>
    <w:rsid w:val="00CD3A30"/>
    <w:rsid w:val="00CD3AD9"/>
    <w:rsid w:val="00CD52AC"/>
    <w:rsid w:val="00CD5B82"/>
    <w:rsid w:val="00CD6048"/>
    <w:rsid w:val="00CD6A1C"/>
    <w:rsid w:val="00CD7687"/>
    <w:rsid w:val="00CD7B3A"/>
    <w:rsid w:val="00CE02B7"/>
    <w:rsid w:val="00CE0A32"/>
    <w:rsid w:val="00CE1143"/>
    <w:rsid w:val="00CE1C5D"/>
    <w:rsid w:val="00CE2001"/>
    <w:rsid w:val="00CE2D07"/>
    <w:rsid w:val="00CE3E09"/>
    <w:rsid w:val="00CE445E"/>
    <w:rsid w:val="00CE46D1"/>
    <w:rsid w:val="00CE4789"/>
    <w:rsid w:val="00CE4D87"/>
    <w:rsid w:val="00CE4EF2"/>
    <w:rsid w:val="00CE6069"/>
    <w:rsid w:val="00CE6292"/>
    <w:rsid w:val="00CE6BBD"/>
    <w:rsid w:val="00CE7F17"/>
    <w:rsid w:val="00CF0E51"/>
    <w:rsid w:val="00CF1D47"/>
    <w:rsid w:val="00CF276F"/>
    <w:rsid w:val="00CF2AFC"/>
    <w:rsid w:val="00CF2EEA"/>
    <w:rsid w:val="00CF36E2"/>
    <w:rsid w:val="00CF3D2D"/>
    <w:rsid w:val="00CF48E8"/>
    <w:rsid w:val="00CF49CF"/>
    <w:rsid w:val="00CF4B5C"/>
    <w:rsid w:val="00CF5365"/>
    <w:rsid w:val="00CF553B"/>
    <w:rsid w:val="00CF5A68"/>
    <w:rsid w:val="00CF5BC0"/>
    <w:rsid w:val="00CF5F4D"/>
    <w:rsid w:val="00CF6200"/>
    <w:rsid w:val="00CF6589"/>
    <w:rsid w:val="00CF6B77"/>
    <w:rsid w:val="00CF6BB0"/>
    <w:rsid w:val="00D002FA"/>
    <w:rsid w:val="00D005E6"/>
    <w:rsid w:val="00D00E27"/>
    <w:rsid w:val="00D0170A"/>
    <w:rsid w:val="00D02290"/>
    <w:rsid w:val="00D02E27"/>
    <w:rsid w:val="00D03676"/>
    <w:rsid w:val="00D05B5B"/>
    <w:rsid w:val="00D06742"/>
    <w:rsid w:val="00D06EAF"/>
    <w:rsid w:val="00D07894"/>
    <w:rsid w:val="00D0794E"/>
    <w:rsid w:val="00D07D91"/>
    <w:rsid w:val="00D10486"/>
    <w:rsid w:val="00D10678"/>
    <w:rsid w:val="00D10FE8"/>
    <w:rsid w:val="00D11134"/>
    <w:rsid w:val="00D12C7B"/>
    <w:rsid w:val="00D13041"/>
    <w:rsid w:val="00D1307C"/>
    <w:rsid w:val="00D130BC"/>
    <w:rsid w:val="00D137F5"/>
    <w:rsid w:val="00D13B87"/>
    <w:rsid w:val="00D1514B"/>
    <w:rsid w:val="00D15CF2"/>
    <w:rsid w:val="00D160D8"/>
    <w:rsid w:val="00D1661F"/>
    <w:rsid w:val="00D16648"/>
    <w:rsid w:val="00D16979"/>
    <w:rsid w:val="00D16E27"/>
    <w:rsid w:val="00D2094A"/>
    <w:rsid w:val="00D2097F"/>
    <w:rsid w:val="00D220CF"/>
    <w:rsid w:val="00D22117"/>
    <w:rsid w:val="00D22853"/>
    <w:rsid w:val="00D23216"/>
    <w:rsid w:val="00D232A1"/>
    <w:rsid w:val="00D23365"/>
    <w:rsid w:val="00D23E04"/>
    <w:rsid w:val="00D2464B"/>
    <w:rsid w:val="00D250F2"/>
    <w:rsid w:val="00D25710"/>
    <w:rsid w:val="00D2623C"/>
    <w:rsid w:val="00D26A6F"/>
    <w:rsid w:val="00D26CDE"/>
    <w:rsid w:val="00D27580"/>
    <w:rsid w:val="00D2768E"/>
    <w:rsid w:val="00D277DD"/>
    <w:rsid w:val="00D27A55"/>
    <w:rsid w:val="00D27B99"/>
    <w:rsid w:val="00D304BB"/>
    <w:rsid w:val="00D304F3"/>
    <w:rsid w:val="00D3054B"/>
    <w:rsid w:val="00D3088B"/>
    <w:rsid w:val="00D30EED"/>
    <w:rsid w:val="00D30FD9"/>
    <w:rsid w:val="00D31F12"/>
    <w:rsid w:val="00D329E0"/>
    <w:rsid w:val="00D32CCC"/>
    <w:rsid w:val="00D33533"/>
    <w:rsid w:val="00D33B8E"/>
    <w:rsid w:val="00D33BF7"/>
    <w:rsid w:val="00D33E05"/>
    <w:rsid w:val="00D34049"/>
    <w:rsid w:val="00D34980"/>
    <w:rsid w:val="00D34D01"/>
    <w:rsid w:val="00D351C7"/>
    <w:rsid w:val="00D365AF"/>
    <w:rsid w:val="00D369B8"/>
    <w:rsid w:val="00D36EFD"/>
    <w:rsid w:val="00D37CD8"/>
    <w:rsid w:val="00D37D22"/>
    <w:rsid w:val="00D37DB6"/>
    <w:rsid w:val="00D37F8F"/>
    <w:rsid w:val="00D40BFE"/>
    <w:rsid w:val="00D417D3"/>
    <w:rsid w:val="00D419C2"/>
    <w:rsid w:val="00D4255B"/>
    <w:rsid w:val="00D427A2"/>
    <w:rsid w:val="00D42950"/>
    <w:rsid w:val="00D42D13"/>
    <w:rsid w:val="00D434DF"/>
    <w:rsid w:val="00D43767"/>
    <w:rsid w:val="00D43E25"/>
    <w:rsid w:val="00D445EF"/>
    <w:rsid w:val="00D44666"/>
    <w:rsid w:val="00D446D7"/>
    <w:rsid w:val="00D45189"/>
    <w:rsid w:val="00D465D7"/>
    <w:rsid w:val="00D467BE"/>
    <w:rsid w:val="00D46A46"/>
    <w:rsid w:val="00D4710F"/>
    <w:rsid w:val="00D47261"/>
    <w:rsid w:val="00D52399"/>
    <w:rsid w:val="00D536D6"/>
    <w:rsid w:val="00D5473E"/>
    <w:rsid w:val="00D54ABC"/>
    <w:rsid w:val="00D54C99"/>
    <w:rsid w:val="00D553F3"/>
    <w:rsid w:val="00D56B10"/>
    <w:rsid w:val="00D574F7"/>
    <w:rsid w:val="00D61EFB"/>
    <w:rsid w:val="00D6207B"/>
    <w:rsid w:val="00D623DF"/>
    <w:rsid w:val="00D62D49"/>
    <w:rsid w:val="00D62F9C"/>
    <w:rsid w:val="00D63114"/>
    <w:rsid w:val="00D638EF"/>
    <w:rsid w:val="00D6392D"/>
    <w:rsid w:val="00D63D62"/>
    <w:rsid w:val="00D640E3"/>
    <w:rsid w:val="00D6431B"/>
    <w:rsid w:val="00D64481"/>
    <w:rsid w:val="00D64904"/>
    <w:rsid w:val="00D64BFA"/>
    <w:rsid w:val="00D65DBA"/>
    <w:rsid w:val="00D66AAC"/>
    <w:rsid w:val="00D66DD0"/>
    <w:rsid w:val="00D67D25"/>
    <w:rsid w:val="00D70050"/>
    <w:rsid w:val="00D70266"/>
    <w:rsid w:val="00D70B15"/>
    <w:rsid w:val="00D71D85"/>
    <w:rsid w:val="00D72139"/>
    <w:rsid w:val="00D72247"/>
    <w:rsid w:val="00D72670"/>
    <w:rsid w:val="00D72F03"/>
    <w:rsid w:val="00D73241"/>
    <w:rsid w:val="00D73406"/>
    <w:rsid w:val="00D74183"/>
    <w:rsid w:val="00D74571"/>
    <w:rsid w:val="00D746D9"/>
    <w:rsid w:val="00D7493B"/>
    <w:rsid w:val="00D74C50"/>
    <w:rsid w:val="00D74CF1"/>
    <w:rsid w:val="00D753CD"/>
    <w:rsid w:val="00D75483"/>
    <w:rsid w:val="00D75564"/>
    <w:rsid w:val="00D76597"/>
    <w:rsid w:val="00D776E2"/>
    <w:rsid w:val="00D77C58"/>
    <w:rsid w:val="00D8068C"/>
    <w:rsid w:val="00D80825"/>
    <w:rsid w:val="00D81489"/>
    <w:rsid w:val="00D820CB"/>
    <w:rsid w:val="00D82B43"/>
    <w:rsid w:val="00D82B9D"/>
    <w:rsid w:val="00D82D8C"/>
    <w:rsid w:val="00D82E0E"/>
    <w:rsid w:val="00D835E8"/>
    <w:rsid w:val="00D83E39"/>
    <w:rsid w:val="00D841E9"/>
    <w:rsid w:val="00D8463D"/>
    <w:rsid w:val="00D84920"/>
    <w:rsid w:val="00D84CFF"/>
    <w:rsid w:val="00D84E85"/>
    <w:rsid w:val="00D85932"/>
    <w:rsid w:val="00D85F8A"/>
    <w:rsid w:val="00D864B4"/>
    <w:rsid w:val="00D868A7"/>
    <w:rsid w:val="00D868CC"/>
    <w:rsid w:val="00D87683"/>
    <w:rsid w:val="00D87D05"/>
    <w:rsid w:val="00D87D8F"/>
    <w:rsid w:val="00D87E9E"/>
    <w:rsid w:val="00D909C2"/>
    <w:rsid w:val="00D90DE8"/>
    <w:rsid w:val="00D9122B"/>
    <w:rsid w:val="00D9127F"/>
    <w:rsid w:val="00D914AA"/>
    <w:rsid w:val="00D917A4"/>
    <w:rsid w:val="00D9211D"/>
    <w:rsid w:val="00D92425"/>
    <w:rsid w:val="00D93E80"/>
    <w:rsid w:val="00D94277"/>
    <w:rsid w:val="00D94FDE"/>
    <w:rsid w:val="00D957B6"/>
    <w:rsid w:val="00D958D8"/>
    <w:rsid w:val="00D95F2F"/>
    <w:rsid w:val="00D96F15"/>
    <w:rsid w:val="00DA0260"/>
    <w:rsid w:val="00DA06A9"/>
    <w:rsid w:val="00DA0960"/>
    <w:rsid w:val="00DA0B35"/>
    <w:rsid w:val="00DA1345"/>
    <w:rsid w:val="00DA16F9"/>
    <w:rsid w:val="00DA1F13"/>
    <w:rsid w:val="00DA208C"/>
    <w:rsid w:val="00DA22C6"/>
    <w:rsid w:val="00DA40B4"/>
    <w:rsid w:val="00DA530D"/>
    <w:rsid w:val="00DA5358"/>
    <w:rsid w:val="00DA5DC2"/>
    <w:rsid w:val="00DA6124"/>
    <w:rsid w:val="00DA6413"/>
    <w:rsid w:val="00DA6797"/>
    <w:rsid w:val="00DA7C47"/>
    <w:rsid w:val="00DB050D"/>
    <w:rsid w:val="00DB13F3"/>
    <w:rsid w:val="00DB1666"/>
    <w:rsid w:val="00DB1714"/>
    <w:rsid w:val="00DB17B0"/>
    <w:rsid w:val="00DB1F98"/>
    <w:rsid w:val="00DB23CB"/>
    <w:rsid w:val="00DB2485"/>
    <w:rsid w:val="00DB3C9F"/>
    <w:rsid w:val="00DB40AA"/>
    <w:rsid w:val="00DB4155"/>
    <w:rsid w:val="00DB4B21"/>
    <w:rsid w:val="00DB58DA"/>
    <w:rsid w:val="00DB5B31"/>
    <w:rsid w:val="00DB5CCA"/>
    <w:rsid w:val="00DB6133"/>
    <w:rsid w:val="00DB672A"/>
    <w:rsid w:val="00DB676D"/>
    <w:rsid w:val="00DB709A"/>
    <w:rsid w:val="00DB7548"/>
    <w:rsid w:val="00DB7868"/>
    <w:rsid w:val="00DB7A50"/>
    <w:rsid w:val="00DC09B5"/>
    <w:rsid w:val="00DC0B53"/>
    <w:rsid w:val="00DC18F9"/>
    <w:rsid w:val="00DC194D"/>
    <w:rsid w:val="00DC2463"/>
    <w:rsid w:val="00DC2B16"/>
    <w:rsid w:val="00DC2E25"/>
    <w:rsid w:val="00DC2FF9"/>
    <w:rsid w:val="00DC36AD"/>
    <w:rsid w:val="00DC372B"/>
    <w:rsid w:val="00DC45D6"/>
    <w:rsid w:val="00DC4BCE"/>
    <w:rsid w:val="00DC4E1B"/>
    <w:rsid w:val="00DC5399"/>
    <w:rsid w:val="00DC568A"/>
    <w:rsid w:val="00DC570E"/>
    <w:rsid w:val="00DC60BC"/>
    <w:rsid w:val="00DC617A"/>
    <w:rsid w:val="00DC6186"/>
    <w:rsid w:val="00DC68B8"/>
    <w:rsid w:val="00DC6F85"/>
    <w:rsid w:val="00DC74C5"/>
    <w:rsid w:val="00DC7D5A"/>
    <w:rsid w:val="00DD03A5"/>
    <w:rsid w:val="00DD0457"/>
    <w:rsid w:val="00DD0533"/>
    <w:rsid w:val="00DD0716"/>
    <w:rsid w:val="00DD0A00"/>
    <w:rsid w:val="00DD0ABF"/>
    <w:rsid w:val="00DD25BA"/>
    <w:rsid w:val="00DD2D98"/>
    <w:rsid w:val="00DD2E81"/>
    <w:rsid w:val="00DD3299"/>
    <w:rsid w:val="00DD35F6"/>
    <w:rsid w:val="00DD3971"/>
    <w:rsid w:val="00DD3ACC"/>
    <w:rsid w:val="00DD3DA2"/>
    <w:rsid w:val="00DD41C7"/>
    <w:rsid w:val="00DD44F2"/>
    <w:rsid w:val="00DD4C02"/>
    <w:rsid w:val="00DD4F25"/>
    <w:rsid w:val="00DD4FB5"/>
    <w:rsid w:val="00DD5E14"/>
    <w:rsid w:val="00DD5E22"/>
    <w:rsid w:val="00DD699D"/>
    <w:rsid w:val="00DD7282"/>
    <w:rsid w:val="00DD758C"/>
    <w:rsid w:val="00DD7DF8"/>
    <w:rsid w:val="00DE04A8"/>
    <w:rsid w:val="00DE0598"/>
    <w:rsid w:val="00DE075C"/>
    <w:rsid w:val="00DE0924"/>
    <w:rsid w:val="00DE1060"/>
    <w:rsid w:val="00DE119C"/>
    <w:rsid w:val="00DE1C21"/>
    <w:rsid w:val="00DE20D0"/>
    <w:rsid w:val="00DE2204"/>
    <w:rsid w:val="00DE29BC"/>
    <w:rsid w:val="00DE2F76"/>
    <w:rsid w:val="00DE39DD"/>
    <w:rsid w:val="00DE3F64"/>
    <w:rsid w:val="00DE405A"/>
    <w:rsid w:val="00DE5CCA"/>
    <w:rsid w:val="00DE6278"/>
    <w:rsid w:val="00DE66AA"/>
    <w:rsid w:val="00DE6793"/>
    <w:rsid w:val="00DE6FE8"/>
    <w:rsid w:val="00DE7761"/>
    <w:rsid w:val="00DF0FF9"/>
    <w:rsid w:val="00DF1236"/>
    <w:rsid w:val="00DF12C5"/>
    <w:rsid w:val="00DF1570"/>
    <w:rsid w:val="00DF19C0"/>
    <w:rsid w:val="00DF1CDD"/>
    <w:rsid w:val="00DF22BA"/>
    <w:rsid w:val="00DF2897"/>
    <w:rsid w:val="00DF3024"/>
    <w:rsid w:val="00DF3076"/>
    <w:rsid w:val="00DF44A4"/>
    <w:rsid w:val="00DF4548"/>
    <w:rsid w:val="00DF486D"/>
    <w:rsid w:val="00DF5C43"/>
    <w:rsid w:val="00E0056E"/>
    <w:rsid w:val="00E0157F"/>
    <w:rsid w:val="00E01D7D"/>
    <w:rsid w:val="00E01F5E"/>
    <w:rsid w:val="00E01FFE"/>
    <w:rsid w:val="00E0244D"/>
    <w:rsid w:val="00E03271"/>
    <w:rsid w:val="00E032C1"/>
    <w:rsid w:val="00E0372B"/>
    <w:rsid w:val="00E03D91"/>
    <w:rsid w:val="00E03FAC"/>
    <w:rsid w:val="00E04AE4"/>
    <w:rsid w:val="00E04DA0"/>
    <w:rsid w:val="00E05BAC"/>
    <w:rsid w:val="00E05DFE"/>
    <w:rsid w:val="00E05F77"/>
    <w:rsid w:val="00E05F7F"/>
    <w:rsid w:val="00E0693C"/>
    <w:rsid w:val="00E06A43"/>
    <w:rsid w:val="00E10904"/>
    <w:rsid w:val="00E110CF"/>
    <w:rsid w:val="00E1195F"/>
    <w:rsid w:val="00E11B00"/>
    <w:rsid w:val="00E12331"/>
    <w:rsid w:val="00E13180"/>
    <w:rsid w:val="00E13217"/>
    <w:rsid w:val="00E133C7"/>
    <w:rsid w:val="00E13943"/>
    <w:rsid w:val="00E1456B"/>
    <w:rsid w:val="00E14A26"/>
    <w:rsid w:val="00E14F58"/>
    <w:rsid w:val="00E1581D"/>
    <w:rsid w:val="00E15F7A"/>
    <w:rsid w:val="00E16491"/>
    <w:rsid w:val="00E2042C"/>
    <w:rsid w:val="00E21C7F"/>
    <w:rsid w:val="00E222B4"/>
    <w:rsid w:val="00E228CC"/>
    <w:rsid w:val="00E230A1"/>
    <w:rsid w:val="00E23696"/>
    <w:rsid w:val="00E23BC3"/>
    <w:rsid w:val="00E24A9B"/>
    <w:rsid w:val="00E24F47"/>
    <w:rsid w:val="00E24F5E"/>
    <w:rsid w:val="00E2558B"/>
    <w:rsid w:val="00E258D8"/>
    <w:rsid w:val="00E25C4B"/>
    <w:rsid w:val="00E25C77"/>
    <w:rsid w:val="00E25C96"/>
    <w:rsid w:val="00E26847"/>
    <w:rsid w:val="00E2692E"/>
    <w:rsid w:val="00E26D11"/>
    <w:rsid w:val="00E27B20"/>
    <w:rsid w:val="00E300ED"/>
    <w:rsid w:val="00E3027E"/>
    <w:rsid w:val="00E308D9"/>
    <w:rsid w:val="00E31441"/>
    <w:rsid w:val="00E3186C"/>
    <w:rsid w:val="00E326FB"/>
    <w:rsid w:val="00E32D4A"/>
    <w:rsid w:val="00E33A4A"/>
    <w:rsid w:val="00E3478D"/>
    <w:rsid w:val="00E34CBF"/>
    <w:rsid w:val="00E351F4"/>
    <w:rsid w:val="00E353A6"/>
    <w:rsid w:val="00E353C8"/>
    <w:rsid w:val="00E35D25"/>
    <w:rsid w:val="00E35F1C"/>
    <w:rsid w:val="00E363F5"/>
    <w:rsid w:val="00E36AC0"/>
    <w:rsid w:val="00E37443"/>
    <w:rsid w:val="00E375BE"/>
    <w:rsid w:val="00E3760D"/>
    <w:rsid w:val="00E377AA"/>
    <w:rsid w:val="00E37C7D"/>
    <w:rsid w:val="00E37E33"/>
    <w:rsid w:val="00E40A5E"/>
    <w:rsid w:val="00E41634"/>
    <w:rsid w:val="00E41D24"/>
    <w:rsid w:val="00E42922"/>
    <w:rsid w:val="00E429CC"/>
    <w:rsid w:val="00E42BC4"/>
    <w:rsid w:val="00E433BF"/>
    <w:rsid w:val="00E43809"/>
    <w:rsid w:val="00E43A8E"/>
    <w:rsid w:val="00E44707"/>
    <w:rsid w:val="00E46487"/>
    <w:rsid w:val="00E46DD6"/>
    <w:rsid w:val="00E471A2"/>
    <w:rsid w:val="00E472E8"/>
    <w:rsid w:val="00E474D6"/>
    <w:rsid w:val="00E479A2"/>
    <w:rsid w:val="00E47B4D"/>
    <w:rsid w:val="00E47DA1"/>
    <w:rsid w:val="00E516ED"/>
    <w:rsid w:val="00E5185C"/>
    <w:rsid w:val="00E51EC5"/>
    <w:rsid w:val="00E52841"/>
    <w:rsid w:val="00E53795"/>
    <w:rsid w:val="00E5486F"/>
    <w:rsid w:val="00E55D1B"/>
    <w:rsid w:val="00E55DA6"/>
    <w:rsid w:val="00E56957"/>
    <w:rsid w:val="00E56DA1"/>
    <w:rsid w:val="00E57335"/>
    <w:rsid w:val="00E5740E"/>
    <w:rsid w:val="00E57FC9"/>
    <w:rsid w:val="00E6039B"/>
    <w:rsid w:val="00E60BFA"/>
    <w:rsid w:val="00E6143E"/>
    <w:rsid w:val="00E61AE9"/>
    <w:rsid w:val="00E61EC7"/>
    <w:rsid w:val="00E62BC2"/>
    <w:rsid w:val="00E6411D"/>
    <w:rsid w:val="00E6426E"/>
    <w:rsid w:val="00E64458"/>
    <w:rsid w:val="00E64EC8"/>
    <w:rsid w:val="00E64F2F"/>
    <w:rsid w:val="00E64FE4"/>
    <w:rsid w:val="00E6523F"/>
    <w:rsid w:val="00E65574"/>
    <w:rsid w:val="00E66021"/>
    <w:rsid w:val="00E6791B"/>
    <w:rsid w:val="00E70015"/>
    <w:rsid w:val="00E70290"/>
    <w:rsid w:val="00E702FC"/>
    <w:rsid w:val="00E7169E"/>
    <w:rsid w:val="00E71BD1"/>
    <w:rsid w:val="00E71C10"/>
    <w:rsid w:val="00E71C1B"/>
    <w:rsid w:val="00E71FB1"/>
    <w:rsid w:val="00E72671"/>
    <w:rsid w:val="00E7344D"/>
    <w:rsid w:val="00E73469"/>
    <w:rsid w:val="00E752DD"/>
    <w:rsid w:val="00E761D0"/>
    <w:rsid w:val="00E76563"/>
    <w:rsid w:val="00E76A60"/>
    <w:rsid w:val="00E76E71"/>
    <w:rsid w:val="00E771BA"/>
    <w:rsid w:val="00E77CE5"/>
    <w:rsid w:val="00E77E70"/>
    <w:rsid w:val="00E809B8"/>
    <w:rsid w:val="00E81228"/>
    <w:rsid w:val="00E824CD"/>
    <w:rsid w:val="00E829BE"/>
    <w:rsid w:val="00E83D09"/>
    <w:rsid w:val="00E83ECB"/>
    <w:rsid w:val="00E843AA"/>
    <w:rsid w:val="00E843B7"/>
    <w:rsid w:val="00E85899"/>
    <w:rsid w:val="00E866C2"/>
    <w:rsid w:val="00E87DCE"/>
    <w:rsid w:val="00E9020B"/>
    <w:rsid w:val="00E9027F"/>
    <w:rsid w:val="00E9054C"/>
    <w:rsid w:val="00E9068F"/>
    <w:rsid w:val="00E9168D"/>
    <w:rsid w:val="00E91A47"/>
    <w:rsid w:val="00E91B04"/>
    <w:rsid w:val="00E91EB2"/>
    <w:rsid w:val="00E92861"/>
    <w:rsid w:val="00E929D9"/>
    <w:rsid w:val="00E93198"/>
    <w:rsid w:val="00E93FB6"/>
    <w:rsid w:val="00E948AA"/>
    <w:rsid w:val="00E94E9A"/>
    <w:rsid w:val="00E95062"/>
    <w:rsid w:val="00E95106"/>
    <w:rsid w:val="00E95372"/>
    <w:rsid w:val="00E95579"/>
    <w:rsid w:val="00E956C2"/>
    <w:rsid w:val="00E95BE5"/>
    <w:rsid w:val="00E95CCC"/>
    <w:rsid w:val="00E95F7F"/>
    <w:rsid w:val="00E96644"/>
    <w:rsid w:val="00E966DC"/>
    <w:rsid w:val="00E978E8"/>
    <w:rsid w:val="00EA04F0"/>
    <w:rsid w:val="00EA06A3"/>
    <w:rsid w:val="00EA0739"/>
    <w:rsid w:val="00EA1247"/>
    <w:rsid w:val="00EA152A"/>
    <w:rsid w:val="00EA189A"/>
    <w:rsid w:val="00EA1B06"/>
    <w:rsid w:val="00EA1EDB"/>
    <w:rsid w:val="00EA20E0"/>
    <w:rsid w:val="00EA2671"/>
    <w:rsid w:val="00EA2F03"/>
    <w:rsid w:val="00EA31AA"/>
    <w:rsid w:val="00EA327D"/>
    <w:rsid w:val="00EA35BA"/>
    <w:rsid w:val="00EA3772"/>
    <w:rsid w:val="00EA40BC"/>
    <w:rsid w:val="00EA4F03"/>
    <w:rsid w:val="00EA5040"/>
    <w:rsid w:val="00EA55F3"/>
    <w:rsid w:val="00EA584A"/>
    <w:rsid w:val="00EA74E6"/>
    <w:rsid w:val="00EA78CF"/>
    <w:rsid w:val="00EB04C5"/>
    <w:rsid w:val="00EB158E"/>
    <w:rsid w:val="00EB1856"/>
    <w:rsid w:val="00EB1BA7"/>
    <w:rsid w:val="00EB1D58"/>
    <w:rsid w:val="00EB25D1"/>
    <w:rsid w:val="00EB2A69"/>
    <w:rsid w:val="00EB2C40"/>
    <w:rsid w:val="00EB3EB2"/>
    <w:rsid w:val="00EB454B"/>
    <w:rsid w:val="00EB459C"/>
    <w:rsid w:val="00EB47A0"/>
    <w:rsid w:val="00EB4909"/>
    <w:rsid w:val="00EB4A42"/>
    <w:rsid w:val="00EB4B44"/>
    <w:rsid w:val="00EB5474"/>
    <w:rsid w:val="00EB556E"/>
    <w:rsid w:val="00EB5F68"/>
    <w:rsid w:val="00EB6109"/>
    <w:rsid w:val="00EB6362"/>
    <w:rsid w:val="00EB66BF"/>
    <w:rsid w:val="00EB6701"/>
    <w:rsid w:val="00EB74C0"/>
    <w:rsid w:val="00EB7C0F"/>
    <w:rsid w:val="00EC06D6"/>
    <w:rsid w:val="00EC09C0"/>
    <w:rsid w:val="00EC0A69"/>
    <w:rsid w:val="00EC0B0B"/>
    <w:rsid w:val="00EC0C19"/>
    <w:rsid w:val="00EC15DD"/>
    <w:rsid w:val="00EC1EB2"/>
    <w:rsid w:val="00EC22DB"/>
    <w:rsid w:val="00EC283D"/>
    <w:rsid w:val="00EC2B43"/>
    <w:rsid w:val="00EC30BF"/>
    <w:rsid w:val="00EC314C"/>
    <w:rsid w:val="00EC32DF"/>
    <w:rsid w:val="00EC407D"/>
    <w:rsid w:val="00EC411E"/>
    <w:rsid w:val="00EC525B"/>
    <w:rsid w:val="00EC5280"/>
    <w:rsid w:val="00EC6BAA"/>
    <w:rsid w:val="00EC794C"/>
    <w:rsid w:val="00ED00C5"/>
    <w:rsid w:val="00ED0841"/>
    <w:rsid w:val="00ED0900"/>
    <w:rsid w:val="00ED16C4"/>
    <w:rsid w:val="00ED20E4"/>
    <w:rsid w:val="00ED256B"/>
    <w:rsid w:val="00ED2661"/>
    <w:rsid w:val="00ED2D1D"/>
    <w:rsid w:val="00ED2E67"/>
    <w:rsid w:val="00ED4773"/>
    <w:rsid w:val="00ED47C2"/>
    <w:rsid w:val="00ED4FE6"/>
    <w:rsid w:val="00ED5446"/>
    <w:rsid w:val="00ED5FC9"/>
    <w:rsid w:val="00ED73B3"/>
    <w:rsid w:val="00ED75A7"/>
    <w:rsid w:val="00ED7884"/>
    <w:rsid w:val="00ED7EFE"/>
    <w:rsid w:val="00ED7F68"/>
    <w:rsid w:val="00EE022D"/>
    <w:rsid w:val="00EE03E4"/>
    <w:rsid w:val="00EE0B11"/>
    <w:rsid w:val="00EE0CCA"/>
    <w:rsid w:val="00EE0D8C"/>
    <w:rsid w:val="00EE15FA"/>
    <w:rsid w:val="00EE189E"/>
    <w:rsid w:val="00EE1CAE"/>
    <w:rsid w:val="00EE1F4B"/>
    <w:rsid w:val="00EE213D"/>
    <w:rsid w:val="00EE34DA"/>
    <w:rsid w:val="00EE37C2"/>
    <w:rsid w:val="00EE3F04"/>
    <w:rsid w:val="00EE4120"/>
    <w:rsid w:val="00EE417D"/>
    <w:rsid w:val="00EE565A"/>
    <w:rsid w:val="00EE67C8"/>
    <w:rsid w:val="00EE6ABE"/>
    <w:rsid w:val="00EE7028"/>
    <w:rsid w:val="00EE76F7"/>
    <w:rsid w:val="00EE7B6E"/>
    <w:rsid w:val="00EE7DB5"/>
    <w:rsid w:val="00EE7FB3"/>
    <w:rsid w:val="00EF004C"/>
    <w:rsid w:val="00EF0325"/>
    <w:rsid w:val="00EF039E"/>
    <w:rsid w:val="00EF1A39"/>
    <w:rsid w:val="00EF1B5D"/>
    <w:rsid w:val="00EF1CCF"/>
    <w:rsid w:val="00EF20CC"/>
    <w:rsid w:val="00EF248F"/>
    <w:rsid w:val="00EF2657"/>
    <w:rsid w:val="00EF2751"/>
    <w:rsid w:val="00EF2C6E"/>
    <w:rsid w:val="00EF33A0"/>
    <w:rsid w:val="00EF49E3"/>
    <w:rsid w:val="00EF52CD"/>
    <w:rsid w:val="00EF5350"/>
    <w:rsid w:val="00EF552A"/>
    <w:rsid w:val="00EF55A7"/>
    <w:rsid w:val="00EF5964"/>
    <w:rsid w:val="00EF5EDF"/>
    <w:rsid w:val="00EF6964"/>
    <w:rsid w:val="00EF6E09"/>
    <w:rsid w:val="00EF7729"/>
    <w:rsid w:val="00F00066"/>
    <w:rsid w:val="00F00C2E"/>
    <w:rsid w:val="00F00E77"/>
    <w:rsid w:val="00F00F30"/>
    <w:rsid w:val="00F01BB1"/>
    <w:rsid w:val="00F027CD"/>
    <w:rsid w:val="00F03BBD"/>
    <w:rsid w:val="00F04DB1"/>
    <w:rsid w:val="00F05D6B"/>
    <w:rsid w:val="00F074E8"/>
    <w:rsid w:val="00F079D8"/>
    <w:rsid w:val="00F1081A"/>
    <w:rsid w:val="00F10E21"/>
    <w:rsid w:val="00F10E39"/>
    <w:rsid w:val="00F1124F"/>
    <w:rsid w:val="00F12155"/>
    <w:rsid w:val="00F12E1A"/>
    <w:rsid w:val="00F13156"/>
    <w:rsid w:val="00F13578"/>
    <w:rsid w:val="00F13983"/>
    <w:rsid w:val="00F13EEA"/>
    <w:rsid w:val="00F15422"/>
    <w:rsid w:val="00F15444"/>
    <w:rsid w:val="00F15D86"/>
    <w:rsid w:val="00F15F5C"/>
    <w:rsid w:val="00F1611A"/>
    <w:rsid w:val="00F16EE1"/>
    <w:rsid w:val="00F16FE0"/>
    <w:rsid w:val="00F1751A"/>
    <w:rsid w:val="00F17E83"/>
    <w:rsid w:val="00F203D0"/>
    <w:rsid w:val="00F20EE3"/>
    <w:rsid w:val="00F21346"/>
    <w:rsid w:val="00F226C8"/>
    <w:rsid w:val="00F22750"/>
    <w:rsid w:val="00F22BB9"/>
    <w:rsid w:val="00F22CC4"/>
    <w:rsid w:val="00F2379B"/>
    <w:rsid w:val="00F237C7"/>
    <w:rsid w:val="00F25255"/>
    <w:rsid w:val="00F2577F"/>
    <w:rsid w:val="00F259AC"/>
    <w:rsid w:val="00F25B0B"/>
    <w:rsid w:val="00F25DEA"/>
    <w:rsid w:val="00F262C0"/>
    <w:rsid w:val="00F2648C"/>
    <w:rsid w:val="00F26AE0"/>
    <w:rsid w:val="00F3000D"/>
    <w:rsid w:val="00F30084"/>
    <w:rsid w:val="00F302D3"/>
    <w:rsid w:val="00F30427"/>
    <w:rsid w:val="00F30757"/>
    <w:rsid w:val="00F30BDD"/>
    <w:rsid w:val="00F314DA"/>
    <w:rsid w:val="00F31A35"/>
    <w:rsid w:val="00F3245C"/>
    <w:rsid w:val="00F32757"/>
    <w:rsid w:val="00F33188"/>
    <w:rsid w:val="00F3389B"/>
    <w:rsid w:val="00F34E7B"/>
    <w:rsid w:val="00F34FBF"/>
    <w:rsid w:val="00F35764"/>
    <w:rsid w:val="00F36ABF"/>
    <w:rsid w:val="00F3741A"/>
    <w:rsid w:val="00F377A9"/>
    <w:rsid w:val="00F407FD"/>
    <w:rsid w:val="00F40DE7"/>
    <w:rsid w:val="00F41506"/>
    <w:rsid w:val="00F420CC"/>
    <w:rsid w:val="00F42495"/>
    <w:rsid w:val="00F4262A"/>
    <w:rsid w:val="00F42D27"/>
    <w:rsid w:val="00F43B8D"/>
    <w:rsid w:val="00F442F9"/>
    <w:rsid w:val="00F444DE"/>
    <w:rsid w:val="00F444E2"/>
    <w:rsid w:val="00F4478D"/>
    <w:rsid w:val="00F44F4D"/>
    <w:rsid w:val="00F450FD"/>
    <w:rsid w:val="00F451F9"/>
    <w:rsid w:val="00F473A7"/>
    <w:rsid w:val="00F476B5"/>
    <w:rsid w:val="00F47C9C"/>
    <w:rsid w:val="00F47CC4"/>
    <w:rsid w:val="00F47F6A"/>
    <w:rsid w:val="00F50FA6"/>
    <w:rsid w:val="00F51B1E"/>
    <w:rsid w:val="00F51EA6"/>
    <w:rsid w:val="00F52D2D"/>
    <w:rsid w:val="00F53BB7"/>
    <w:rsid w:val="00F541DF"/>
    <w:rsid w:val="00F54758"/>
    <w:rsid w:val="00F54A4F"/>
    <w:rsid w:val="00F552A7"/>
    <w:rsid w:val="00F556F3"/>
    <w:rsid w:val="00F55874"/>
    <w:rsid w:val="00F55AB7"/>
    <w:rsid w:val="00F56D88"/>
    <w:rsid w:val="00F57078"/>
    <w:rsid w:val="00F57773"/>
    <w:rsid w:val="00F60261"/>
    <w:rsid w:val="00F602ED"/>
    <w:rsid w:val="00F6049C"/>
    <w:rsid w:val="00F60688"/>
    <w:rsid w:val="00F60795"/>
    <w:rsid w:val="00F61925"/>
    <w:rsid w:val="00F61985"/>
    <w:rsid w:val="00F61AC0"/>
    <w:rsid w:val="00F61D41"/>
    <w:rsid w:val="00F62B4E"/>
    <w:rsid w:val="00F63477"/>
    <w:rsid w:val="00F6374C"/>
    <w:rsid w:val="00F64242"/>
    <w:rsid w:val="00F64D66"/>
    <w:rsid w:val="00F65A8B"/>
    <w:rsid w:val="00F65F1A"/>
    <w:rsid w:val="00F66096"/>
    <w:rsid w:val="00F6612A"/>
    <w:rsid w:val="00F663AE"/>
    <w:rsid w:val="00F666DF"/>
    <w:rsid w:val="00F66A4B"/>
    <w:rsid w:val="00F66AD5"/>
    <w:rsid w:val="00F66AD7"/>
    <w:rsid w:val="00F66B7F"/>
    <w:rsid w:val="00F670E8"/>
    <w:rsid w:val="00F6778E"/>
    <w:rsid w:val="00F70158"/>
    <w:rsid w:val="00F70DBE"/>
    <w:rsid w:val="00F71921"/>
    <w:rsid w:val="00F71EC9"/>
    <w:rsid w:val="00F7218A"/>
    <w:rsid w:val="00F728EB"/>
    <w:rsid w:val="00F72EE6"/>
    <w:rsid w:val="00F731E8"/>
    <w:rsid w:val="00F73736"/>
    <w:rsid w:val="00F73DB5"/>
    <w:rsid w:val="00F74095"/>
    <w:rsid w:val="00F74FD2"/>
    <w:rsid w:val="00F7512D"/>
    <w:rsid w:val="00F75E1E"/>
    <w:rsid w:val="00F76082"/>
    <w:rsid w:val="00F76406"/>
    <w:rsid w:val="00F77191"/>
    <w:rsid w:val="00F7741F"/>
    <w:rsid w:val="00F80869"/>
    <w:rsid w:val="00F80F4E"/>
    <w:rsid w:val="00F84418"/>
    <w:rsid w:val="00F845AC"/>
    <w:rsid w:val="00F84665"/>
    <w:rsid w:val="00F84A64"/>
    <w:rsid w:val="00F859E0"/>
    <w:rsid w:val="00F85C8E"/>
    <w:rsid w:val="00F86315"/>
    <w:rsid w:val="00F86ADC"/>
    <w:rsid w:val="00F8714A"/>
    <w:rsid w:val="00F87276"/>
    <w:rsid w:val="00F87B87"/>
    <w:rsid w:val="00F87C99"/>
    <w:rsid w:val="00F90B0F"/>
    <w:rsid w:val="00F91A1D"/>
    <w:rsid w:val="00F91A58"/>
    <w:rsid w:val="00F91BCF"/>
    <w:rsid w:val="00F92582"/>
    <w:rsid w:val="00F92BD1"/>
    <w:rsid w:val="00F94B77"/>
    <w:rsid w:val="00F94FFA"/>
    <w:rsid w:val="00F95006"/>
    <w:rsid w:val="00F95547"/>
    <w:rsid w:val="00F96E29"/>
    <w:rsid w:val="00F97115"/>
    <w:rsid w:val="00F973FE"/>
    <w:rsid w:val="00F9781E"/>
    <w:rsid w:val="00F97A07"/>
    <w:rsid w:val="00F97B6E"/>
    <w:rsid w:val="00FA0AD8"/>
    <w:rsid w:val="00FA154C"/>
    <w:rsid w:val="00FA1AF9"/>
    <w:rsid w:val="00FA1C84"/>
    <w:rsid w:val="00FA290E"/>
    <w:rsid w:val="00FA3323"/>
    <w:rsid w:val="00FA3394"/>
    <w:rsid w:val="00FA3854"/>
    <w:rsid w:val="00FA414F"/>
    <w:rsid w:val="00FA4C32"/>
    <w:rsid w:val="00FA4E30"/>
    <w:rsid w:val="00FA533A"/>
    <w:rsid w:val="00FA544A"/>
    <w:rsid w:val="00FA60DD"/>
    <w:rsid w:val="00FA650C"/>
    <w:rsid w:val="00FA65E0"/>
    <w:rsid w:val="00FA6CEB"/>
    <w:rsid w:val="00FA6D30"/>
    <w:rsid w:val="00FA7E30"/>
    <w:rsid w:val="00FB00D1"/>
    <w:rsid w:val="00FB0521"/>
    <w:rsid w:val="00FB0BA4"/>
    <w:rsid w:val="00FB0F4D"/>
    <w:rsid w:val="00FB121A"/>
    <w:rsid w:val="00FB2302"/>
    <w:rsid w:val="00FB2A09"/>
    <w:rsid w:val="00FB2E52"/>
    <w:rsid w:val="00FB31B1"/>
    <w:rsid w:val="00FB354C"/>
    <w:rsid w:val="00FB3562"/>
    <w:rsid w:val="00FB3987"/>
    <w:rsid w:val="00FB3AA5"/>
    <w:rsid w:val="00FB3C6E"/>
    <w:rsid w:val="00FB3D12"/>
    <w:rsid w:val="00FB3E7E"/>
    <w:rsid w:val="00FB50DB"/>
    <w:rsid w:val="00FB5428"/>
    <w:rsid w:val="00FB54D6"/>
    <w:rsid w:val="00FB55F6"/>
    <w:rsid w:val="00FB574F"/>
    <w:rsid w:val="00FB575B"/>
    <w:rsid w:val="00FB5DA0"/>
    <w:rsid w:val="00FB5E68"/>
    <w:rsid w:val="00FB6199"/>
    <w:rsid w:val="00FB75CE"/>
    <w:rsid w:val="00FC02B1"/>
    <w:rsid w:val="00FC0C2F"/>
    <w:rsid w:val="00FC15DC"/>
    <w:rsid w:val="00FC1880"/>
    <w:rsid w:val="00FC1BEA"/>
    <w:rsid w:val="00FC21D3"/>
    <w:rsid w:val="00FC39F3"/>
    <w:rsid w:val="00FC3FC8"/>
    <w:rsid w:val="00FC4CEA"/>
    <w:rsid w:val="00FC5882"/>
    <w:rsid w:val="00FC5FF7"/>
    <w:rsid w:val="00FC662D"/>
    <w:rsid w:val="00FC6ED9"/>
    <w:rsid w:val="00FC7213"/>
    <w:rsid w:val="00FC770E"/>
    <w:rsid w:val="00FD149E"/>
    <w:rsid w:val="00FD1B3C"/>
    <w:rsid w:val="00FD264D"/>
    <w:rsid w:val="00FD2855"/>
    <w:rsid w:val="00FD2AE2"/>
    <w:rsid w:val="00FD2C09"/>
    <w:rsid w:val="00FD3699"/>
    <w:rsid w:val="00FD3E86"/>
    <w:rsid w:val="00FD4580"/>
    <w:rsid w:val="00FD4A08"/>
    <w:rsid w:val="00FD4DAD"/>
    <w:rsid w:val="00FD4EB2"/>
    <w:rsid w:val="00FD521C"/>
    <w:rsid w:val="00FD5497"/>
    <w:rsid w:val="00FD5C18"/>
    <w:rsid w:val="00FD5F45"/>
    <w:rsid w:val="00FD65FB"/>
    <w:rsid w:val="00FD68AA"/>
    <w:rsid w:val="00FD6B56"/>
    <w:rsid w:val="00FD6D52"/>
    <w:rsid w:val="00FD6E6C"/>
    <w:rsid w:val="00FD6EC9"/>
    <w:rsid w:val="00FD6FB6"/>
    <w:rsid w:val="00FD7701"/>
    <w:rsid w:val="00FD7746"/>
    <w:rsid w:val="00FE05D3"/>
    <w:rsid w:val="00FE13A9"/>
    <w:rsid w:val="00FE2586"/>
    <w:rsid w:val="00FE2A05"/>
    <w:rsid w:val="00FE2B37"/>
    <w:rsid w:val="00FE2F8E"/>
    <w:rsid w:val="00FE320D"/>
    <w:rsid w:val="00FE3DE9"/>
    <w:rsid w:val="00FE4569"/>
    <w:rsid w:val="00FE49B5"/>
    <w:rsid w:val="00FE4D7A"/>
    <w:rsid w:val="00FE4FF9"/>
    <w:rsid w:val="00FE5491"/>
    <w:rsid w:val="00FE59A4"/>
    <w:rsid w:val="00FE7A23"/>
    <w:rsid w:val="00FE7AAD"/>
    <w:rsid w:val="00FE7DB2"/>
    <w:rsid w:val="00FF0E31"/>
    <w:rsid w:val="00FF1B6B"/>
    <w:rsid w:val="00FF1D50"/>
    <w:rsid w:val="00FF1F8E"/>
    <w:rsid w:val="00FF3832"/>
    <w:rsid w:val="00FF3A15"/>
    <w:rsid w:val="00FF3AB2"/>
    <w:rsid w:val="00FF4107"/>
    <w:rsid w:val="00FF4111"/>
    <w:rsid w:val="00FF434B"/>
    <w:rsid w:val="00FF59E1"/>
    <w:rsid w:val="00FF600C"/>
    <w:rsid w:val="00FF74BC"/>
    <w:rsid w:val="01D724D1"/>
    <w:rsid w:val="01F6DD18"/>
    <w:rsid w:val="04933578"/>
    <w:rsid w:val="0713C4BA"/>
    <w:rsid w:val="0982713D"/>
    <w:rsid w:val="122B96DA"/>
    <w:rsid w:val="1315E805"/>
    <w:rsid w:val="137A5E0C"/>
    <w:rsid w:val="15244AD8"/>
    <w:rsid w:val="1631A7D9"/>
    <w:rsid w:val="1E044300"/>
    <w:rsid w:val="1E1604EB"/>
    <w:rsid w:val="20D603B0"/>
    <w:rsid w:val="2859D124"/>
    <w:rsid w:val="28A09936"/>
    <w:rsid w:val="2DAC430A"/>
    <w:rsid w:val="3300D824"/>
    <w:rsid w:val="335335C6"/>
    <w:rsid w:val="3552D43D"/>
    <w:rsid w:val="360CCC5C"/>
    <w:rsid w:val="37B0F065"/>
    <w:rsid w:val="393D97B8"/>
    <w:rsid w:val="3D5568F7"/>
    <w:rsid w:val="3FB01300"/>
    <w:rsid w:val="3FF3D062"/>
    <w:rsid w:val="41D1095F"/>
    <w:rsid w:val="452253EA"/>
    <w:rsid w:val="45D1CDA6"/>
    <w:rsid w:val="470432CF"/>
    <w:rsid w:val="4A061BB1"/>
    <w:rsid w:val="4A6BCD2B"/>
    <w:rsid w:val="4D072DA9"/>
    <w:rsid w:val="4D86BD9B"/>
    <w:rsid w:val="4D87A8FB"/>
    <w:rsid w:val="625A7536"/>
    <w:rsid w:val="62B6DC91"/>
    <w:rsid w:val="666DBA8D"/>
    <w:rsid w:val="671CFB50"/>
    <w:rsid w:val="67A72899"/>
    <w:rsid w:val="69F6F448"/>
    <w:rsid w:val="6D20F0FC"/>
    <w:rsid w:val="6D31F935"/>
    <w:rsid w:val="6F4FB77F"/>
    <w:rsid w:val="717554B9"/>
    <w:rsid w:val="7237D992"/>
    <w:rsid w:val="76C9052B"/>
    <w:rsid w:val="78B7DE42"/>
    <w:rsid w:val="7C075DE9"/>
    <w:rsid w:val="7DBDB3C1"/>
    <w:rsid w:val="7DF6B7DC"/>
    <w:rsid w:val="7FE8FA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B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A6F"/>
    <w:pPr>
      <w:spacing w:before="120" w:after="120"/>
    </w:pPr>
    <w:rPr>
      <w:szCs w:val="22"/>
      <w:lang w:eastAsia="en-US"/>
    </w:rPr>
  </w:style>
  <w:style w:type="paragraph" w:styleId="Heading1">
    <w:name w:val="heading 1"/>
    <w:basedOn w:val="Normal"/>
    <w:next w:val="Normal"/>
    <w:link w:val="Heading1Char"/>
    <w:uiPriority w:val="9"/>
    <w:qFormat/>
    <w:rsid w:val="00917329"/>
    <w:pPr>
      <w:keepNext/>
      <w:keepLines/>
      <w:contextualSpacing/>
      <w:outlineLvl w:val="0"/>
    </w:pPr>
    <w:rPr>
      <w:rFonts w:ascii="Aptos SemiBold" w:eastAsia="MS Gothic" w:hAnsi="Aptos SemiBold"/>
      <w:color w:val="001B35"/>
      <w:sz w:val="72"/>
      <w:szCs w:val="32"/>
    </w:rPr>
  </w:style>
  <w:style w:type="paragraph" w:styleId="Heading2">
    <w:name w:val="heading 2"/>
    <w:basedOn w:val="Normal"/>
    <w:next w:val="Normal"/>
    <w:link w:val="Heading2Char"/>
    <w:uiPriority w:val="9"/>
    <w:unhideWhenUsed/>
    <w:qFormat/>
    <w:rsid w:val="005E3B92"/>
    <w:pPr>
      <w:keepNext/>
      <w:keepLines/>
      <w:pageBreakBefore/>
      <w:spacing w:before="360"/>
      <w:outlineLvl w:val="1"/>
    </w:pPr>
    <w:rPr>
      <w:rFonts w:ascii="Aptos SemiBold" w:eastAsia="MS Gothic" w:hAnsi="Aptos SemiBold"/>
      <w:color w:val="15659B"/>
      <w:sz w:val="48"/>
      <w:szCs w:val="48"/>
    </w:rPr>
  </w:style>
  <w:style w:type="paragraph" w:styleId="Heading3">
    <w:name w:val="heading 3"/>
    <w:basedOn w:val="Normal"/>
    <w:next w:val="Normal"/>
    <w:link w:val="Heading3Char"/>
    <w:uiPriority w:val="9"/>
    <w:unhideWhenUsed/>
    <w:qFormat/>
    <w:rsid w:val="00E04DA0"/>
    <w:pPr>
      <w:keepNext/>
      <w:keepLines/>
      <w:spacing w:before="240"/>
      <w:outlineLvl w:val="2"/>
    </w:pPr>
    <w:rPr>
      <w:rFonts w:ascii="Aptos SemiBold" w:eastAsia="MS Gothic" w:hAnsi="Aptos SemiBold"/>
      <w:color w:val="15659B"/>
      <w:sz w:val="40"/>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Aptos SemiBold" w:eastAsia="MS Gothic" w:hAnsi="Aptos SemiBold"/>
      <w:iCs/>
      <w:color w:val="15659B"/>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Aptos SemiBold" w:eastAsia="MS Gothic" w:hAnsi="Aptos SemiBold"/>
      <w:color w:val="15659B"/>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Aptos SemiBold" w:eastAsia="MS Gothic" w:hAnsi="Aptos SemiBold"/>
      <w:color w:val="000000"/>
      <w:sz w:val="24"/>
    </w:rPr>
  </w:style>
  <w:style w:type="paragraph" w:styleId="Heading7">
    <w:name w:val="heading 7"/>
    <w:basedOn w:val="Normal"/>
    <w:next w:val="Normal"/>
    <w:link w:val="Heading7Char"/>
    <w:unhideWhenUsed/>
    <w:qFormat/>
    <w:rsid w:val="00C50A9A"/>
    <w:pPr>
      <w:keepNext/>
      <w:keepLines/>
      <w:spacing w:before="240"/>
      <w:outlineLvl w:val="6"/>
    </w:pPr>
    <w:rPr>
      <w:rFonts w:ascii="Aptos SemiBold" w:eastAsia="MS Gothic" w:hAnsi="Aptos SemiBold"/>
      <w:b/>
      <w:iCs/>
      <w:color w:val="001B35"/>
      <w:sz w:val="22"/>
    </w:rPr>
  </w:style>
  <w:style w:type="paragraph" w:styleId="Heading8">
    <w:name w:val="heading 8"/>
    <w:basedOn w:val="Normal"/>
    <w:next w:val="Normal"/>
    <w:link w:val="Heading8Char"/>
    <w:unhideWhenUsed/>
    <w:qFormat/>
    <w:rsid w:val="00C50A9A"/>
    <w:pPr>
      <w:keepNext/>
      <w:keepLines/>
      <w:spacing w:before="240"/>
      <w:outlineLvl w:val="7"/>
    </w:pPr>
    <w:rPr>
      <w:rFonts w:ascii="Aptos SemiBold" w:eastAsia="MS Gothic" w:hAnsi="Aptos SemiBold"/>
      <w:color w:val="272727"/>
      <w:szCs w:val="21"/>
    </w:rPr>
  </w:style>
  <w:style w:type="paragraph" w:styleId="Heading9">
    <w:name w:val="heading 9"/>
    <w:basedOn w:val="Normal"/>
    <w:next w:val="Normal"/>
    <w:link w:val="Heading9Char"/>
    <w:semiHidden/>
    <w:unhideWhenUsed/>
    <w:qFormat/>
    <w:rsid w:val="00903913"/>
    <w:pPr>
      <w:keepNext/>
      <w:keepLines/>
      <w:spacing w:before="40" w:after="160" w:line="259" w:lineRule="auto"/>
      <w:outlineLvl w:val="8"/>
    </w:pPr>
    <w:rPr>
      <w:rFonts w:ascii="Aptos SemiBold" w:eastAsia="MS Gothic" w:hAnsi="Aptos SemiBold"/>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link w:val="Heading1"/>
    <w:uiPriority w:val="9"/>
    <w:rsid w:val="00917329"/>
    <w:rPr>
      <w:rFonts w:ascii="Aptos SemiBold" w:eastAsia="MS Gothic" w:hAnsi="Aptos SemiBold" w:cs="Times New Roman"/>
      <w:color w:val="001B35"/>
      <w:sz w:val="72"/>
      <w:szCs w:val="32"/>
    </w:rPr>
  </w:style>
  <w:style w:type="table" w:customStyle="1" w:styleId="Verticaltable">
    <w:name w:val="Vertical table"/>
    <w:basedOn w:val="TableNormal"/>
    <w:uiPriority w:val="99"/>
    <w:rsid w:val="00AD22BA"/>
    <w:tblPr>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lastRow">
      <w:rPr>
        <w:b w:val="0"/>
      </w:rPr>
    </w:tblStylePr>
    <w:tblStylePr w:type="firstCol">
      <w:rPr>
        <w:b/>
        <w:color w:val="FFFFFF"/>
      </w:rPr>
      <w:tblPr/>
      <w:tcPr>
        <w:shd w:val="clear" w:color="auto" w:fill="15659B"/>
      </w:tcPr>
    </w:tblStylePr>
  </w:style>
  <w:style w:type="character" w:styleId="FollowedHyperlink">
    <w:name w:val="FollowedHyperlink"/>
    <w:uiPriority w:val="99"/>
    <w:semiHidden/>
    <w:unhideWhenUsed/>
    <w:rsid w:val="00872DFF"/>
    <w:rPr>
      <w:color w:val="954F72"/>
      <w:u w:val="single"/>
    </w:rPr>
  </w:style>
  <w:style w:type="paragraph" w:styleId="Subtitle">
    <w:name w:val="Subtitle"/>
    <w:basedOn w:val="Normal"/>
    <w:next w:val="Normal"/>
    <w:link w:val="SubtitleChar"/>
    <w:uiPriority w:val="11"/>
    <w:qFormat/>
    <w:rsid w:val="00960D98"/>
    <w:pPr>
      <w:numPr>
        <w:ilvl w:val="1"/>
      </w:numPr>
    </w:pPr>
    <w:rPr>
      <w:rFonts w:eastAsia="MS Mincho"/>
      <w:color w:val="15659B"/>
      <w:sz w:val="40"/>
    </w:rPr>
  </w:style>
  <w:style w:type="character" w:customStyle="1" w:styleId="SubtitleChar">
    <w:name w:val="Subtitle Char"/>
    <w:link w:val="Subtitle"/>
    <w:uiPriority w:val="11"/>
    <w:rsid w:val="00960D98"/>
    <w:rPr>
      <w:rFonts w:eastAsia="MS Mincho"/>
      <w:color w:val="15659B"/>
      <w:sz w:val="40"/>
    </w:rPr>
  </w:style>
  <w:style w:type="character" w:customStyle="1" w:styleId="Heading2Char">
    <w:name w:val="Heading 2 Char"/>
    <w:link w:val="Heading2"/>
    <w:uiPriority w:val="9"/>
    <w:rsid w:val="005E3B92"/>
    <w:rPr>
      <w:rFonts w:ascii="Aptos SemiBold" w:eastAsia="MS Gothic" w:hAnsi="Aptos SemiBold" w:cs="Times New Roman"/>
      <w:color w:val="15659B"/>
      <w:sz w:val="48"/>
      <w:szCs w:val="48"/>
    </w:rPr>
  </w:style>
  <w:style w:type="character" w:customStyle="1" w:styleId="Heading3Char">
    <w:name w:val="Heading 3 Char"/>
    <w:link w:val="Heading3"/>
    <w:uiPriority w:val="9"/>
    <w:rsid w:val="00E04DA0"/>
    <w:rPr>
      <w:rFonts w:ascii="Aptos SemiBold" w:eastAsia="MS Gothic" w:hAnsi="Aptos SemiBold" w:cs="Times New Roman"/>
      <w:color w:val="15659B"/>
      <w:sz w:val="40"/>
      <w:szCs w:val="40"/>
    </w:rPr>
  </w:style>
  <w:style w:type="character" w:customStyle="1" w:styleId="Heading4Char">
    <w:name w:val="Heading 4 Char"/>
    <w:link w:val="Heading4"/>
    <w:uiPriority w:val="9"/>
    <w:rsid w:val="00E04DA0"/>
    <w:rPr>
      <w:rFonts w:ascii="Aptos SemiBold" w:eastAsia="MS Gothic" w:hAnsi="Aptos SemiBold" w:cs="Times New Roman"/>
      <w:iCs/>
      <w:color w:val="15659B"/>
      <w:sz w:val="32"/>
      <w:szCs w:val="28"/>
    </w:rPr>
  </w:style>
  <w:style w:type="character" w:customStyle="1" w:styleId="Heading5Char">
    <w:name w:val="Heading 5 Char"/>
    <w:link w:val="Heading5"/>
    <w:uiPriority w:val="9"/>
    <w:rsid w:val="000E5C60"/>
    <w:rPr>
      <w:rFonts w:ascii="Aptos SemiBold" w:eastAsia="MS Gothic" w:hAnsi="Aptos SemiBold" w:cs="Times New Roman"/>
      <w:color w:val="15659B"/>
      <w:sz w:val="26"/>
      <w:szCs w:val="26"/>
    </w:rPr>
  </w:style>
  <w:style w:type="paragraph" w:styleId="Quote">
    <w:name w:val="Quote"/>
    <w:basedOn w:val="Normal"/>
    <w:next w:val="Normal"/>
    <w:link w:val="QuoteChar"/>
    <w:uiPriority w:val="29"/>
    <w:qFormat/>
    <w:rsid w:val="00171757"/>
    <w:pPr>
      <w:pBdr>
        <w:top w:val="single" w:sz="4" w:space="6" w:color="15659B"/>
        <w:bottom w:val="single" w:sz="4" w:space="6" w:color="15659B"/>
      </w:pBdr>
      <w:spacing w:before="240" w:after="240"/>
      <w:ind w:right="2835"/>
    </w:pPr>
    <w:rPr>
      <w:iCs/>
      <w:color w:val="000000"/>
      <w:sz w:val="22"/>
      <w:szCs w:val="24"/>
    </w:rPr>
  </w:style>
  <w:style w:type="character" w:customStyle="1" w:styleId="QuoteChar">
    <w:name w:val="Quote Char"/>
    <w:link w:val="Quote"/>
    <w:uiPriority w:val="29"/>
    <w:rsid w:val="00171757"/>
    <w:rPr>
      <w:iCs/>
      <w:color w:val="000000"/>
      <w:szCs w:val="24"/>
    </w:rPr>
  </w:style>
  <w:style w:type="character" w:styleId="Strong">
    <w:name w:val="Strong"/>
    <w:uiPriority w:val="22"/>
    <w:qFormat/>
    <w:rsid w:val="00B251DB"/>
    <w:rPr>
      <w:b/>
      <w:bCs/>
    </w:rPr>
  </w:style>
  <w:style w:type="character" w:styleId="Emphasis">
    <w:name w:val="Emphasis"/>
    <w:uiPriority w:val="20"/>
    <w:qFormat/>
    <w:rsid w:val="00B251DB"/>
    <w:rPr>
      <w:i/>
      <w:iCs/>
    </w:rPr>
  </w:style>
  <w:style w:type="paragraph" w:styleId="ListParagraph">
    <w:name w:val="List Paragraph"/>
    <w:aliases w:val="L,List Paragraph1,List Paragraph11,Recommendation,bullet point list,Bulleted Para,CV text,Dot pt,F5 List Paragraph,FooterText,List Paragraph111,List Paragraph2,Medium Grid 1 - Accent 21,NFP GP Bulleted List,Numbered Paragraph,Table text,l"/>
    <w:basedOn w:val="Normal"/>
    <w:link w:val="ListParagraphChar"/>
    <w:uiPriority w:val="34"/>
    <w:qFormat/>
    <w:rsid w:val="00090DDB"/>
    <w:pPr>
      <w:spacing w:before="0"/>
    </w:pPr>
  </w:style>
  <w:style w:type="character" w:styleId="Hyperlink">
    <w:name w:val="Hyperlink"/>
    <w:uiPriority w:val="99"/>
    <w:unhideWhenUsed/>
    <w:rsid w:val="0031654A"/>
    <w:rPr>
      <w:color w:val="15659B"/>
      <w:u w:val="single"/>
    </w:rPr>
  </w:style>
  <w:style w:type="table" w:styleId="TableGrid">
    <w:name w:val="Table Grid"/>
    <w:aliases w:val="DISR plain Table 1"/>
    <w:basedOn w:val="TableNormal"/>
    <w:uiPriority w:val="39"/>
    <w:rsid w:val="00577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1Light">
    <w:name w:val="Grid Table 1 Light"/>
    <w:basedOn w:val="TableNormal"/>
    <w:uiPriority w:val="46"/>
    <w:rsid w:val="00711349"/>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uiPriority w:val="99"/>
    <w:semiHidden/>
    <w:rsid w:val="00BD0F8A"/>
    <w:rPr>
      <w:color w:val="808080"/>
    </w:rPr>
  </w:style>
  <w:style w:type="paragraph" w:styleId="NoSpacing">
    <w:name w:val="No Spacing"/>
    <w:link w:val="NoSpacingChar"/>
    <w:uiPriority w:val="1"/>
    <w:qFormat/>
    <w:rsid w:val="00671D1D"/>
    <w:rPr>
      <w:rFonts w:eastAsia="MS Mincho"/>
      <w:sz w:val="22"/>
      <w:szCs w:val="22"/>
      <w:lang w:val="en-US" w:eastAsia="en-US"/>
    </w:rPr>
  </w:style>
  <w:style w:type="character" w:customStyle="1" w:styleId="NoSpacingChar">
    <w:name w:val="No Spacing Char"/>
    <w:link w:val="NoSpacing"/>
    <w:uiPriority w:val="1"/>
    <w:rsid w:val="00671D1D"/>
    <w:rPr>
      <w:rFonts w:eastAsia="MS Mincho"/>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7B10EE"/>
    <w:pPr>
      <w:tabs>
        <w:tab w:val="right" w:leader="dot" w:pos="9016"/>
      </w:tabs>
      <w:spacing w:after="100"/>
    </w:pPr>
  </w:style>
  <w:style w:type="paragraph" w:styleId="TOC2">
    <w:name w:val="toc 2"/>
    <w:basedOn w:val="Normal"/>
    <w:next w:val="Normal"/>
    <w:autoRedefine/>
    <w:uiPriority w:val="39"/>
    <w:unhideWhenUsed/>
    <w:rsid w:val="00941287"/>
    <w:pPr>
      <w:tabs>
        <w:tab w:val="left" w:pos="600"/>
        <w:tab w:val="right" w:leader="dot" w:pos="9015"/>
      </w:tabs>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tblPr>
      <w:tblStyleRowBandSize w:val="1"/>
      <w:tblStyleColBandSize w:val="1"/>
      <w:tblBorders>
        <w:top w:val="single" w:sz="4" w:space="0" w:color="993533"/>
        <w:left w:val="single" w:sz="4" w:space="0" w:color="993533"/>
        <w:bottom w:val="single" w:sz="4" w:space="0" w:color="993533"/>
        <w:right w:val="single" w:sz="4" w:space="0" w:color="993533"/>
      </w:tblBorders>
    </w:tblPr>
    <w:tblStylePr w:type="firstRow">
      <w:rPr>
        <w:b/>
        <w:bCs/>
        <w:color w:val="FFFFFF"/>
      </w:rPr>
      <w:tblPr/>
      <w:tcPr>
        <w:shd w:val="clear" w:color="auto" w:fill="993533"/>
      </w:tcPr>
    </w:tblStylePr>
    <w:tblStylePr w:type="lastRow">
      <w:rPr>
        <w:b/>
        <w:bCs/>
      </w:rPr>
      <w:tblPr/>
      <w:tcPr>
        <w:tcBorders>
          <w:top w:val="double" w:sz="4" w:space="0" w:color="99353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93533"/>
          <w:right w:val="single" w:sz="4" w:space="0" w:color="993533"/>
        </w:tcBorders>
      </w:tcPr>
    </w:tblStylePr>
    <w:tblStylePr w:type="band1Horz">
      <w:tblPr/>
      <w:tcPr>
        <w:tcBorders>
          <w:top w:val="single" w:sz="4" w:space="0" w:color="993533"/>
          <w:bottom w:val="single" w:sz="4" w:space="0" w:color="99353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left w:val="nil"/>
        </w:tcBorders>
      </w:tcPr>
    </w:tblStylePr>
    <w:tblStylePr w:type="swCell">
      <w:tblPr/>
      <w:tcPr>
        <w:tcBorders>
          <w:top w:val="double" w:sz="4" w:space="0" w:color="993533"/>
          <w:right w:val="nil"/>
        </w:tcBorders>
      </w:tcPr>
    </w:tblStylePr>
  </w:style>
  <w:style w:type="table" w:styleId="ListTable3-Accent3">
    <w:name w:val="List Table 3 Accent 3"/>
    <w:basedOn w:val="TableNormal"/>
    <w:uiPriority w:val="48"/>
    <w:rsid w:val="00153C15"/>
    <w:tblPr>
      <w:tblStyleRowBandSize w:val="1"/>
      <w:tblStyleColBandSize w:val="1"/>
      <w:tblBorders>
        <w:top w:val="single" w:sz="4" w:space="0" w:color="00D3D1"/>
        <w:left w:val="single" w:sz="4" w:space="0" w:color="00D3D1"/>
        <w:bottom w:val="single" w:sz="4" w:space="0" w:color="00D3D1"/>
        <w:right w:val="single" w:sz="4" w:space="0" w:color="00D3D1"/>
      </w:tblBorders>
    </w:tblPr>
    <w:tblStylePr w:type="firstRow">
      <w:rPr>
        <w:b/>
        <w:bCs/>
        <w:color w:val="FFFFFF"/>
      </w:rPr>
      <w:tblPr/>
      <w:tcPr>
        <w:shd w:val="clear" w:color="auto" w:fill="00D3D1"/>
      </w:tcPr>
    </w:tblStylePr>
    <w:tblStylePr w:type="lastRow">
      <w:rPr>
        <w:b/>
        <w:bCs/>
      </w:rPr>
      <w:tblPr/>
      <w:tcPr>
        <w:tcBorders>
          <w:top w:val="double" w:sz="4" w:space="0" w:color="00D3D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D3D1"/>
          <w:right w:val="single" w:sz="4" w:space="0" w:color="00D3D1"/>
        </w:tcBorders>
      </w:tcPr>
    </w:tblStylePr>
    <w:tblStylePr w:type="band1Horz">
      <w:tblPr/>
      <w:tcPr>
        <w:tcBorders>
          <w:top w:val="single" w:sz="4" w:space="0" w:color="00D3D1"/>
          <w:bottom w:val="single" w:sz="4" w:space="0" w:color="00D3D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left w:val="nil"/>
        </w:tcBorders>
      </w:tcPr>
    </w:tblStylePr>
    <w:tblStylePr w:type="swCell">
      <w:tblPr/>
      <w:tcPr>
        <w:tcBorders>
          <w:top w:val="double" w:sz="4" w:space="0" w:color="00D3D1"/>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bottom w:val="single" w:sz="4" w:space="6" w:color="15659B"/>
      </w:pBdr>
      <w:spacing w:before="360" w:after="360"/>
      <w:ind w:right="2835"/>
      <w:jc w:val="center"/>
    </w:pPr>
    <w:rPr>
      <w:b/>
      <w:iCs/>
      <w:sz w:val="24"/>
    </w:rPr>
  </w:style>
  <w:style w:type="character" w:customStyle="1" w:styleId="IntenseQuoteChar">
    <w:name w:val="Intense Quote Char"/>
    <w:link w:val="IntenseQuote"/>
    <w:uiPriority w:val="30"/>
    <w:rsid w:val="000A75CB"/>
    <w:rPr>
      <w:b/>
      <w:iCs/>
      <w:sz w:val="24"/>
    </w:rPr>
  </w:style>
  <w:style w:type="paragraph" w:customStyle="1" w:styleId="Calloutbox">
    <w:name w:val="Call out box"/>
    <w:basedOn w:val="Normal"/>
    <w:qFormat/>
    <w:rsid w:val="00266F7C"/>
    <w:pPr>
      <w:pBdr>
        <w:top w:val="single" w:sz="4" w:space="6" w:color="E7E6E6"/>
        <w:left w:val="single" w:sz="4" w:space="4" w:color="E7E6E6"/>
        <w:bottom w:val="single" w:sz="4" w:space="6" w:color="E7E6E6"/>
        <w:right w:val="single" w:sz="4" w:space="4" w:color="E7E6E6"/>
      </w:pBdr>
      <w:shd w:val="clear" w:color="auto" w:fill="E7E6E6"/>
    </w:pPr>
  </w:style>
  <w:style w:type="character" w:customStyle="1" w:styleId="Heading6Char">
    <w:name w:val="Heading 6 Char"/>
    <w:link w:val="Heading6"/>
    <w:uiPriority w:val="9"/>
    <w:rsid w:val="00C50A9A"/>
    <w:rPr>
      <w:rFonts w:ascii="Aptos SemiBold" w:eastAsia="MS Gothic" w:hAnsi="Aptos SemiBold" w:cs="Times New Roman"/>
      <w:color w:val="000000"/>
      <w:sz w:val="24"/>
    </w:rPr>
  </w:style>
  <w:style w:type="table" w:styleId="GridTable4-Accent2">
    <w:name w:val="Grid Table 4 Accent 2"/>
    <w:basedOn w:val="TableNormal"/>
    <w:uiPriority w:val="49"/>
    <w:rsid w:val="004D3B0F"/>
    <w:tblPr>
      <w:tblStyleRowBandSize w:val="1"/>
      <w:tblStyleColBandSize w:val="1"/>
      <w:tblBorders>
        <w:top w:val="single" w:sz="4" w:space="0" w:color="D17675"/>
        <w:left w:val="single" w:sz="4" w:space="0" w:color="D17675"/>
        <w:bottom w:val="single" w:sz="4" w:space="0" w:color="D17675"/>
        <w:right w:val="single" w:sz="4" w:space="0" w:color="D17675"/>
        <w:insideH w:val="single" w:sz="4" w:space="0" w:color="D17675"/>
        <w:insideV w:val="single" w:sz="4" w:space="0" w:color="D17675"/>
      </w:tblBorders>
    </w:tblPr>
    <w:tblStylePr w:type="firstRow">
      <w:rPr>
        <w:b/>
        <w:bCs/>
        <w:color w:val="FFFFFF"/>
      </w:rPr>
      <w:tblPr/>
      <w:tcPr>
        <w:tcBorders>
          <w:top w:val="single" w:sz="4" w:space="0" w:color="993533"/>
          <w:left w:val="single" w:sz="4" w:space="0" w:color="993533"/>
          <w:bottom w:val="single" w:sz="4" w:space="0" w:color="993533"/>
          <w:right w:val="single" w:sz="4" w:space="0" w:color="993533"/>
          <w:insideH w:val="nil"/>
          <w:insideV w:val="nil"/>
        </w:tcBorders>
        <w:shd w:val="clear" w:color="auto" w:fill="993533"/>
      </w:tcPr>
    </w:tblStylePr>
    <w:tblStylePr w:type="lastRow">
      <w:rPr>
        <w:b/>
        <w:bCs/>
      </w:rPr>
      <w:tblPr/>
      <w:tcPr>
        <w:tcBorders>
          <w:top w:val="double" w:sz="4" w:space="0" w:color="993533"/>
        </w:tcBorders>
      </w:tcPr>
    </w:tblStylePr>
    <w:tblStylePr w:type="firstCol">
      <w:rPr>
        <w:b/>
        <w:bCs/>
      </w:rPr>
    </w:tblStylePr>
    <w:tblStylePr w:type="lastCol">
      <w:rPr>
        <w:b/>
        <w:bCs/>
      </w:rPr>
    </w:tblStylePr>
    <w:tblStylePr w:type="band1Vert">
      <w:tblPr/>
      <w:tcPr>
        <w:shd w:val="clear" w:color="auto" w:fill="EFD1D1"/>
      </w:tcPr>
    </w:tblStylePr>
    <w:tblStylePr w:type="band1Horz">
      <w:tblPr/>
      <w:tcPr>
        <w:shd w:val="clear" w:color="auto" w:fill="EFD1D1"/>
      </w:tcPr>
    </w:tblStylePr>
  </w:style>
  <w:style w:type="table" w:styleId="GridTable1Light-Accent2">
    <w:name w:val="Grid Table 1 Light Accent 2"/>
    <w:basedOn w:val="TableNormal"/>
    <w:uiPriority w:val="46"/>
    <w:rsid w:val="004D3B0F"/>
    <w:tblPr>
      <w:tblStyleRowBandSize w:val="1"/>
      <w:tblStyleColBandSize w:val="1"/>
      <w:tblBorders>
        <w:top w:val="single" w:sz="4" w:space="0" w:color="E0A4A3"/>
        <w:left w:val="single" w:sz="4" w:space="0" w:color="E0A4A3"/>
        <w:bottom w:val="single" w:sz="4" w:space="0" w:color="E0A4A3"/>
        <w:right w:val="single" w:sz="4" w:space="0" w:color="E0A4A3"/>
        <w:insideH w:val="single" w:sz="4" w:space="0" w:color="E0A4A3"/>
        <w:insideV w:val="single" w:sz="4" w:space="0" w:color="E0A4A3"/>
      </w:tblBorders>
    </w:tblPr>
    <w:tblStylePr w:type="firstRow">
      <w:rPr>
        <w:b/>
        <w:bCs/>
      </w:rPr>
      <w:tblPr/>
      <w:tcPr>
        <w:tcBorders>
          <w:bottom w:val="single" w:sz="12" w:space="0" w:color="D17675"/>
        </w:tcBorders>
      </w:tcPr>
    </w:tblStylePr>
    <w:tblStylePr w:type="lastRow">
      <w:rPr>
        <w:b/>
        <w:bCs/>
      </w:rPr>
      <w:tblPr/>
      <w:tcPr>
        <w:tcBorders>
          <w:top w:val="double" w:sz="2" w:space="0" w:color="D1767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3D1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1B3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1B3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1B3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1B35"/>
      </w:tcPr>
    </w:tblStylePr>
    <w:tblStylePr w:type="band1Vert">
      <w:tblPr/>
      <w:tcPr>
        <w:shd w:val="clear" w:color="auto" w:fill="48A4FF"/>
      </w:tcPr>
    </w:tblStylePr>
    <w:tblStylePr w:type="band1Horz">
      <w:tblPr/>
      <w:tcPr>
        <w:shd w:val="clear" w:color="auto" w:fill="48A4FF"/>
      </w:tcPr>
    </w:tblStylePr>
  </w:style>
  <w:style w:type="table" w:styleId="GridTable4-Accent1">
    <w:name w:val="Grid Table 4 Accent 1"/>
    <w:basedOn w:val="TableNormal"/>
    <w:uiPriority w:val="49"/>
    <w:rsid w:val="00F32757"/>
    <w:tblPr>
      <w:tblStyleRowBandSize w:val="1"/>
      <w:tblStyleColBandSize w:val="1"/>
      <w:tblBorders>
        <w:top w:val="single" w:sz="4" w:space="0" w:color="0077EB"/>
        <w:left w:val="single" w:sz="4" w:space="0" w:color="0077EB"/>
        <w:bottom w:val="single" w:sz="4" w:space="0" w:color="0077EB"/>
        <w:right w:val="single" w:sz="4" w:space="0" w:color="0077EB"/>
        <w:insideH w:val="single" w:sz="4" w:space="0" w:color="0077EB"/>
        <w:insideV w:val="single" w:sz="4" w:space="0" w:color="0077EB"/>
      </w:tblBorders>
    </w:tblPr>
    <w:tblStylePr w:type="firstRow">
      <w:rPr>
        <w:b/>
        <w:bCs/>
        <w:color w:val="FFFFFF"/>
      </w:rPr>
      <w:tblPr/>
      <w:tcPr>
        <w:shd w:val="clear" w:color="auto" w:fill="001427"/>
      </w:tcPr>
    </w:tblStylePr>
    <w:tblStylePr w:type="lastRow">
      <w:rPr>
        <w:b/>
        <w:bCs/>
      </w:rPr>
      <w:tblPr/>
      <w:tcPr>
        <w:tcBorders>
          <w:top w:val="double" w:sz="4" w:space="0" w:color="001B35"/>
        </w:tcBorders>
      </w:tcPr>
    </w:tblStylePr>
    <w:tblStylePr w:type="firstCol">
      <w:rPr>
        <w:b/>
        <w:bCs/>
      </w:rPr>
    </w:tblStylePr>
    <w:tblStylePr w:type="lastCol">
      <w:rPr>
        <w:b/>
        <w:bCs/>
      </w:rPr>
    </w:tblStylePr>
    <w:tblStylePr w:type="band1Vert">
      <w:tblPr/>
      <w:tcPr>
        <w:shd w:val="clear" w:color="auto" w:fill="A3D1FF"/>
      </w:tcPr>
    </w:tblStylePr>
    <w:tblStylePr w:type="band1Horz">
      <w:tblPr/>
      <w:tcPr>
        <w:shd w:val="clear" w:color="auto" w:fill="A3D1FF"/>
      </w:tcPr>
    </w:tblStylePr>
  </w:style>
  <w:style w:type="table" w:styleId="GridTable4-Accent5">
    <w:name w:val="Grid Table 4 Accent 5"/>
    <w:basedOn w:val="TableNormal"/>
    <w:uiPriority w:val="49"/>
    <w:rsid w:val="004D3B0F"/>
    <w:tblPr>
      <w:tblStyleRowBandSize w:val="1"/>
      <w:tblStyleColBandSize w:val="1"/>
      <w:tblBorders>
        <w:top w:val="single" w:sz="4" w:space="0" w:color="EFFDB9"/>
        <w:left w:val="single" w:sz="4" w:space="0" w:color="EFFDB9"/>
        <w:bottom w:val="single" w:sz="4" w:space="0" w:color="EFFDB9"/>
        <w:right w:val="single" w:sz="4" w:space="0" w:color="EFFDB9"/>
        <w:insideH w:val="single" w:sz="4" w:space="0" w:color="EFFDB9"/>
        <w:insideV w:val="single" w:sz="4" w:space="0" w:color="EFFDB9"/>
      </w:tblBorders>
    </w:tblPr>
    <w:tblStylePr w:type="firstRow">
      <w:rPr>
        <w:b/>
        <w:bCs/>
        <w:color w:val="FFFFFF"/>
      </w:rPr>
      <w:tblPr/>
      <w:tcPr>
        <w:tcBorders>
          <w:top w:val="single" w:sz="4" w:space="0" w:color="E5FD8C"/>
          <w:left w:val="single" w:sz="4" w:space="0" w:color="E5FD8C"/>
          <w:bottom w:val="single" w:sz="4" w:space="0" w:color="E5FD8C"/>
          <w:right w:val="single" w:sz="4" w:space="0" w:color="E5FD8C"/>
          <w:insideH w:val="nil"/>
          <w:insideV w:val="nil"/>
        </w:tcBorders>
        <w:shd w:val="clear" w:color="auto" w:fill="E5FD8C"/>
      </w:tcPr>
    </w:tblStylePr>
    <w:tblStylePr w:type="lastRow">
      <w:rPr>
        <w:b/>
        <w:bCs/>
      </w:rPr>
      <w:tblPr/>
      <w:tcPr>
        <w:tcBorders>
          <w:top w:val="double" w:sz="4" w:space="0" w:color="E5FD8C"/>
        </w:tcBorders>
      </w:tcPr>
    </w:tblStylePr>
    <w:tblStylePr w:type="firstCol">
      <w:rPr>
        <w:b/>
        <w:bCs/>
      </w:rPr>
    </w:tblStylePr>
    <w:tblStylePr w:type="lastCol">
      <w:rPr>
        <w:b/>
        <w:bCs/>
      </w:rPr>
    </w:tblStylePr>
    <w:tblStylePr w:type="band1Vert">
      <w:tblPr/>
      <w:tcPr>
        <w:shd w:val="clear" w:color="auto" w:fill="F9FEE7"/>
      </w:tcPr>
    </w:tblStylePr>
    <w:tblStylePr w:type="band1Horz">
      <w:tblPr/>
      <w:tcPr>
        <w:shd w:val="clear" w:color="auto" w:fill="F9FEE7"/>
      </w:tcPr>
    </w:tblStylePr>
  </w:style>
  <w:style w:type="table" w:styleId="GridTable4-Accent4">
    <w:name w:val="Grid Table 4 Accent 4"/>
    <w:aliases w:val="DISR banded - Table 2"/>
    <w:basedOn w:val="TableNormal"/>
    <w:uiPriority w:val="49"/>
    <w:rsid w:val="005777BC"/>
    <w:tblPr>
      <w:tblStyleRowBandSize w:val="1"/>
      <w:tblStyleColBandSize w:val="1"/>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rPr>
        <w:b/>
        <w:bCs/>
        <w:color w:val="FFFFFF"/>
      </w:rPr>
      <w:tblPr/>
      <w:tcPr>
        <w:tcBorders>
          <w:top w:val="single" w:sz="4" w:space="0" w:color="15659B"/>
          <w:left w:val="single" w:sz="4" w:space="0" w:color="15659B"/>
          <w:bottom w:val="single" w:sz="4" w:space="0" w:color="15659B"/>
          <w:right w:val="single" w:sz="4" w:space="0" w:color="15659B"/>
          <w:insideH w:val="nil"/>
          <w:insideV w:val="nil"/>
        </w:tcBorders>
        <w:shd w:val="clear" w:color="auto" w:fill="15659B"/>
      </w:tcPr>
    </w:tblStylePr>
    <w:tblStylePr w:type="lastRow">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tblPr/>
      <w:tcPr>
        <w:shd w:val="clear" w:color="auto" w:fill="E7E6E6"/>
      </w:tcPr>
    </w:tblStylePr>
  </w:style>
  <w:style w:type="table" w:styleId="GridTable4-Accent3">
    <w:name w:val="Grid Table 4 Accent 3"/>
    <w:basedOn w:val="TableNormal"/>
    <w:uiPriority w:val="49"/>
    <w:rsid w:val="004D3B0F"/>
    <w:tblPr>
      <w:tblStyleRowBandSize w:val="1"/>
      <w:tblStyleColBandSize w:val="1"/>
      <w:tblBorders>
        <w:top w:val="single" w:sz="4" w:space="0" w:color="4BFFFC"/>
        <w:left w:val="single" w:sz="4" w:space="0" w:color="4BFFFC"/>
        <w:bottom w:val="single" w:sz="4" w:space="0" w:color="4BFFFC"/>
        <w:right w:val="single" w:sz="4" w:space="0" w:color="4BFFFC"/>
        <w:insideH w:val="single" w:sz="4" w:space="0" w:color="4BFFFC"/>
        <w:insideV w:val="single" w:sz="4" w:space="0" w:color="4BFFFC"/>
      </w:tblBorders>
    </w:tblPr>
    <w:tblStylePr w:type="firstRow">
      <w:rPr>
        <w:b/>
        <w:bCs/>
        <w:color w:val="FFFFFF"/>
      </w:rPr>
      <w:tblPr/>
      <w:tcPr>
        <w:tcBorders>
          <w:top w:val="single" w:sz="4" w:space="0" w:color="00D3D1"/>
          <w:left w:val="single" w:sz="4" w:space="0" w:color="00D3D1"/>
          <w:bottom w:val="single" w:sz="4" w:space="0" w:color="00D3D1"/>
          <w:right w:val="single" w:sz="4" w:space="0" w:color="00D3D1"/>
          <w:insideH w:val="nil"/>
          <w:insideV w:val="nil"/>
        </w:tcBorders>
        <w:shd w:val="clear" w:color="auto" w:fill="00D3D1"/>
      </w:tcPr>
    </w:tblStylePr>
    <w:tblStylePr w:type="lastRow">
      <w:rPr>
        <w:b/>
        <w:bCs/>
      </w:rPr>
      <w:tblPr/>
      <w:tcPr>
        <w:tcBorders>
          <w:top w:val="double" w:sz="4" w:space="0" w:color="00D3D1"/>
        </w:tcBorders>
      </w:tcPr>
    </w:tblStylePr>
    <w:tblStylePr w:type="firstCol">
      <w:rPr>
        <w:b/>
        <w:bCs/>
      </w:rPr>
    </w:tblStylePr>
    <w:tblStylePr w:type="lastCol">
      <w:rPr>
        <w:b/>
        <w:bCs/>
      </w:rPr>
    </w:tblStylePr>
    <w:tblStylePr w:type="band1Vert">
      <w:tblPr/>
      <w:tcPr>
        <w:shd w:val="clear" w:color="auto" w:fill="C3FFFE"/>
      </w:tcPr>
    </w:tblStylePr>
    <w:tblStylePr w:type="band1Horz">
      <w:tblPr/>
      <w:tcPr>
        <w:shd w:val="clear" w:color="auto" w:fill="C3FFFE"/>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link w:val="Authoranddate"/>
    <w:rsid w:val="001D51DA"/>
    <w:rPr>
      <w:rFonts w:eastAsia="MS Mincho"/>
      <w:color w:val="E7E6E6"/>
      <w:sz w:val="40"/>
      <w:szCs w:val="40"/>
    </w:rPr>
  </w:style>
  <w:style w:type="character" w:customStyle="1" w:styleId="Heading7Char">
    <w:name w:val="Heading 7 Char"/>
    <w:link w:val="Heading7"/>
    <w:rsid w:val="00C50A9A"/>
    <w:rPr>
      <w:rFonts w:ascii="Aptos SemiBold" w:eastAsia="MS Gothic" w:hAnsi="Aptos SemiBold" w:cs="Times New Roman"/>
      <w:b/>
      <w:iCs/>
      <w:color w:val="001B35"/>
    </w:rPr>
  </w:style>
  <w:style w:type="character" w:styleId="UnresolvedMention">
    <w:name w:val="Unresolved Mention"/>
    <w:uiPriority w:val="99"/>
    <w:semiHidden/>
    <w:unhideWhenUsed/>
    <w:rsid w:val="00282ED3"/>
    <w:rPr>
      <w:color w:val="605E5C"/>
      <w:shd w:val="clear" w:color="auto" w:fill="E1DFDD"/>
    </w:rPr>
  </w:style>
  <w:style w:type="table" w:styleId="GridTable4">
    <w:name w:val="Grid Table 4"/>
    <w:basedOn w:val="TableNormal"/>
    <w:uiPriority w:val="49"/>
    <w:rsid w:val="0040603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4">
    <w:name w:val="List Table 3 Accent 4"/>
    <w:basedOn w:val="TableNormal"/>
    <w:uiPriority w:val="48"/>
    <w:rsid w:val="0031654A"/>
    <w:tblPr>
      <w:tblStyleRowBandSize w:val="1"/>
      <w:tblStyleColBandSize w:val="1"/>
      <w:tblBorders>
        <w:top w:val="single" w:sz="4" w:space="0" w:color="15659B"/>
        <w:left w:val="single" w:sz="4" w:space="0" w:color="15659B"/>
        <w:bottom w:val="single" w:sz="4" w:space="0" w:color="15659B"/>
        <w:right w:val="single" w:sz="4" w:space="0" w:color="15659B"/>
      </w:tblBorders>
    </w:tblPr>
    <w:tblStylePr w:type="firstRow">
      <w:rPr>
        <w:b/>
        <w:bCs/>
        <w:color w:val="FFFFFF"/>
      </w:rPr>
      <w:tblPr/>
      <w:tcPr>
        <w:shd w:val="clear" w:color="auto" w:fill="15659B"/>
      </w:tcPr>
    </w:tblStylePr>
    <w:tblStylePr w:type="lastRow">
      <w:rPr>
        <w:b/>
        <w:bCs/>
      </w:rPr>
      <w:tblPr/>
      <w:tcPr>
        <w:tcBorders>
          <w:top w:val="double" w:sz="4" w:space="0" w:color="1565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659B"/>
          <w:right w:val="single" w:sz="4" w:space="0" w:color="15659B"/>
        </w:tcBorders>
      </w:tcPr>
    </w:tblStylePr>
    <w:tblStylePr w:type="band1Horz">
      <w:tblPr/>
      <w:tcPr>
        <w:tcBorders>
          <w:top w:val="single" w:sz="4" w:space="0" w:color="15659B"/>
          <w:bottom w:val="single" w:sz="4" w:space="0" w:color="1565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left w:val="nil"/>
        </w:tcBorders>
      </w:tcPr>
    </w:tblStylePr>
    <w:tblStylePr w:type="swCell">
      <w:tblPr/>
      <w:tcPr>
        <w:tcBorders>
          <w:top w:val="double" w:sz="4" w:space="0" w:color="15659B"/>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link w:val="Heading8"/>
    <w:rsid w:val="00C50A9A"/>
    <w:rPr>
      <w:rFonts w:ascii="Aptos SemiBold" w:eastAsia="MS Gothic" w:hAnsi="Aptos SemiBold" w:cs="Times New Roman"/>
      <w:color w:val="272727"/>
      <w:sz w:val="20"/>
      <w:szCs w:val="21"/>
    </w:rPr>
  </w:style>
  <w:style w:type="character" w:styleId="CommentReference">
    <w:name w:val="annotation reference"/>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link w:val="CommentSubject"/>
    <w:uiPriority w:val="99"/>
    <w:semiHidden/>
    <w:rsid w:val="00FE4569"/>
    <w:rPr>
      <w:b/>
      <w:bCs/>
      <w:sz w:val="20"/>
      <w:szCs w:val="20"/>
    </w:rPr>
  </w:style>
  <w:style w:type="paragraph" w:styleId="Title">
    <w:name w:val="Title"/>
    <w:basedOn w:val="Normal"/>
    <w:next w:val="Normal"/>
    <w:link w:val="TitleChar"/>
    <w:uiPriority w:val="10"/>
    <w:qFormat/>
    <w:rsid w:val="0066416C"/>
    <w:pPr>
      <w:contextualSpacing/>
      <w:outlineLvl w:val="0"/>
    </w:pPr>
    <w:rPr>
      <w:rFonts w:ascii="Aptos SemiBold" w:eastAsia="MS Gothic" w:hAnsi="Aptos SemiBold"/>
      <w:color w:val="001B35"/>
      <w:spacing w:val="-10"/>
      <w:kern w:val="28"/>
      <w:sz w:val="72"/>
      <w:szCs w:val="72"/>
    </w:rPr>
  </w:style>
  <w:style w:type="character" w:customStyle="1" w:styleId="TitleChar">
    <w:name w:val="Title Char"/>
    <w:link w:val="Title"/>
    <w:uiPriority w:val="10"/>
    <w:rsid w:val="0066416C"/>
    <w:rPr>
      <w:rFonts w:ascii="Aptos SemiBold" w:eastAsia="MS Gothic" w:hAnsi="Aptos SemiBold" w:cs="Times New Roman"/>
      <w:color w:val="001B35"/>
      <w:spacing w:val="-10"/>
      <w:kern w:val="28"/>
      <w:sz w:val="72"/>
      <w:szCs w:val="72"/>
    </w:rPr>
  </w:style>
  <w:style w:type="paragraph" w:styleId="NormalWeb">
    <w:name w:val="Normal (Web)"/>
    <w:basedOn w:val="Normal"/>
    <w:uiPriority w:val="99"/>
    <w:semiHidden/>
    <w:unhideWhenUsed/>
    <w:rsid w:val="00BA0B22"/>
    <w:pPr>
      <w:spacing w:before="100" w:beforeAutospacing="1" w:after="100" w:afterAutospacing="1"/>
    </w:pPr>
    <w:rPr>
      <w:rFonts w:ascii="Times New Roman" w:eastAsia="Times New Roman" w:hAnsi="Times New Roman"/>
      <w:sz w:val="24"/>
      <w:szCs w:val="24"/>
      <w:lang w:eastAsia="en-AU"/>
    </w:rPr>
  </w:style>
  <w:style w:type="paragraph" w:styleId="Revision">
    <w:name w:val="Revision"/>
    <w:hidden/>
    <w:uiPriority w:val="99"/>
    <w:semiHidden/>
    <w:rsid w:val="00AD473E"/>
    <w:rPr>
      <w:szCs w:val="22"/>
      <w:lang w:eastAsia="en-US"/>
    </w:rPr>
  </w:style>
  <w:style w:type="character" w:customStyle="1" w:styleId="Heading9Char">
    <w:name w:val="Heading 9 Char"/>
    <w:link w:val="Heading9"/>
    <w:semiHidden/>
    <w:rsid w:val="00903913"/>
    <w:rPr>
      <w:rFonts w:ascii="Aptos SemiBold" w:eastAsia="MS Gothic" w:hAnsi="Aptos SemiBold" w:cs="Times New Roman"/>
      <w:i/>
      <w:iCs/>
      <w:color w:val="272727"/>
      <w:sz w:val="21"/>
      <w:szCs w:val="21"/>
    </w:rPr>
  </w:style>
  <w:style w:type="character" w:styleId="PageNumber">
    <w:name w:val="page number"/>
    <w:basedOn w:val="DefaultParagraphFont"/>
    <w:rsid w:val="00903913"/>
  </w:style>
  <w:style w:type="paragraph" w:customStyle="1" w:styleId="Default">
    <w:name w:val="Default"/>
    <w:rsid w:val="00903913"/>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903913"/>
    <w:pPr>
      <w:spacing w:before="0" w:line="259" w:lineRule="auto"/>
    </w:pPr>
    <w:rPr>
      <w:sz w:val="22"/>
    </w:rPr>
  </w:style>
  <w:style w:type="numbering" w:customStyle="1" w:styleId="Style1">
    <w:name w:val="Style1"/>
    <w:rsid w:val="00903913"/>
    <w:pPr>
      <w:numPr>
        <w:numId w:val="3"/>
      </w:numPr>
    </w:pPr>
  </w:style>
  <w:style w:type="paragraph" w:customStyle="1" w:styleId="tabletext">
    <w:name w:val="tabletext"/>
    <w:basedOn w:val="Normal"/>
    <w:rsid w:val="00903913"/>
    <w:pPr>
      <w:spacing w:before="100" w:beforeAutospacing="1" w:after="100" w:afterAutospacing="1" w:line="259" w:lineRule="auto"/>
    </w:pPr>
    <w:rPr>
      <w:sz w:val="22"/>
    </w:rPr>
  </w:style>
  <w:style w:type="character" w:styleId="LineNumber">
    <w:name w:val="line number"/>
    <w:basedOn w:val="DefaultParagraphFont"/>
    <w:uiPriority w:val="99"/>
    <w:semiHidden/>
    <w:unhideWhenUsed/>
    <w:rsid w:val="00903913"/>
  </w:style>
  <w:style w:type="paragraph" w:styleId="FootnoteText">
    <w:name w:val="footnote text"/>
    <w:basedOn w:val="Normal"/>
    <w:link w:val="FootnoteTextChar"/>
    <w:uiPriority w:val="99"/>
    <w:unhideWhenUsed/>
    <w:rsid w:val="00903913"/>
    <w:pPr>
      <w:spacing w:before="0" w:after="160" w:line="259" w:lineRule="auto"/>
    </w:pPr>
    <w:rPr>
      <w:szCs w:val="20"/>
    </w:rPr>
  </w:style>
  <w:style w:type="character" w:customStyle="1" w:styleId="FootnoteTextChar">
    <w:name w:val="Footnote Text Char"/>
    <w:link w:val="FootnoteText"/>
    <w:uiPriority w:val="99"/>
    <w:rsid w:val="00903913"/>
    <w:rPr>
      <w:sz w:val="20"/>
      <w:szCs w:val="20"/>
    </w:rPr>
  </w:style>
  <w:style w:type="character" w:styleId="FootnoteReference">
    <w:name w:val="footnote reference"/>
    <w:uiPriority w:val="99"/>
    <w:semiHidden/>
    <w:unhideWhenUsed/>
    <w:rsid w:val="00903913"/>
    <w:rPr>
      <w:vertAlign w:val="superscript"/>
    </w:rPr>
  </w:style>
  <w:style w:type="character" w:customStyle="1" w:styleId="UnresolvedMention1">
    <w:name w:val="Unresolved Mention1"/>
    <w:uiPriority w:val="99"/>
    <w:semiHidden/>
    <w:unhideWhenUsed/>
    <w:rsid w:val="00903913"/>
    <w:rPr>
      <w:color w:val="605E5C"/>
      <w:shd w:val="clear" w:color="auto" w:fill="E1DFDD"/>
    </w:rPr>
  </w:style>
  <w:style w:type="paragraph" w:customStyle="1" w:styleId="paragraph">
    <w:name w:val="paragraph"/>
    <w:aliases w:val="a"/>
    <w:basedOn w:val="Normal"/>
    <w:link w:val="paragraphChar"/>
    <w:rsid w:val="00903913"/>
    <w:pPr>
      <w:tabs>
        <w:tab w:val="right" w:pos="1531"/>
      </w:tabs>
      <w:spacing w:before="40" w:after="160" w:line="259" w:lineRule="auto"/>
      <w:ind w:left="1644" w:hanging="1644"/>
    </w:pPr>
    <w:rPr>
      <w:sz w:val="22"/>
      <w:szCs w:val="20"/>
    </w:rPr>
  </w:style>
  <w:style w:type="character" w:customStyle="1" w:styleId="paragraphChar">
    <w:name w:val="paragraph Char"/>
    <w:aliases w:val="a Char"/>
    <w:link w:val="paragraph"/>
    <w:locked/>
    <w:rsid w:val="00903913"/>
    <w:rPr>
      <w:szCs w:val="20"/>
    </w:rPr>
  </w:style>
  <w:style w:type="paragraph" w:customStyle="1" w:styleId="paragraphsub">
    <w:name w:val="paragraph(sub)"/>
    <w:aliases w:val="aa"/>
    <w:basedOn w:val="Normal"/>
    <w:rsid w:val="00903913"/>
    <w:pPr>
      <w:tabs>
        <w:tab w:val="right" w:pos="1985"/>
      </w:tabs>
      <w:spacing w:before="40" w:after="160" w:line="259" w:lineRule="auto"/>
      <w:ind w:left="2098" w:hanging="2098"/>
    </w:pPr>
    <w:rPr>
      <w:sz w:val="22"/>
      <w:szCs w:val="20"/>
    </w:rPr>
  </w:style>
  <w:style w:type="numbering" w:styleId="1ai">
    <w:name w:val="Outline List 1"/>
    <w:basedOn w:val="NoList"/>
    <w:semiHidden/>
    <w:unhideWhenUsed/>
    <w:rsid w:val="00903913"/>
    <w:pPr>
      <w:numPr>
        <w:numId w:val="5"/>
      </w:numPr>
    </w:pPr>
  </w:style>
  <w:style w:type="paragraph" w:customStyle="1" w:styleId="ShortT">
    <w:name w:val="ShortT"/>
    <w:basedOn w:val="Normal"/>
    <w:next w:val="Normal"/>
    <w:qFormat/>
    <w:rsid w:val="00903913"/>
    <w:pPr>
      <w:spacing w:before="0" w:after="160" w:line="259" w:lineRule="auto"/>
    </w:pPr>
    <w:rPr>
      <w:b/>
      <w:sz w:val="40"/>
      <w:szCs w:val="20"/>
    </w:rPr>
  </w:style>
  <w:style w:type="paragraph" w:customStyle="1" w:styleId="acthead5">
    <w:name w:val="acthead5"/>
    <w:basedOn w:val="Normal"/>
    <w:rsid w:val="00903913"/>
    <w:pPr>
      <w:spacing w:before="100" w:beforeAutospacing="1" w:after="100" w:afterAutospacing="1"/>
    </w:pPr>
    <w:rPr>
      <w:rFonts w:ascii="Times New Roman" w:eastAsia="Times New Roman" w:hAnsi="Times New Roman"/>
      <w:sz w:val="24"/>
      <w:szCs w:val="24"/>
      <w:lang w:eastAsia="en-AU"/>
    </w:rPr>
  </w:style>
  <w:style w:type="numbering" w:customStyle="1" w:styleId="Style2">
    <w:name w:val="Style2"/>
    <w:uiPriority w:val="99"/>
    <w:rsid w:val="00903913"/>
    <w:pPr>
      <w:numPr>
        <w:numId w:val="6"/>
      </w:numPr>
    </w:pPr>
  </w:style>
  <w:style w:type="numbering" w:customStyle="1" w:styleId="Style3">
    <w:name w:val="Style3"/>
    <w:uiPriority w:val="99"/>
    <w:rsid w:val="00903913"/>
    <w:pPr>
      <w:numPr>
        <w:numId w:val="7"/>
      </w:numPr>
    </w:pPr>
  </w:style>
  <w:style w:type="numbering" w:customStyle="1" w:styleId="Style4">
    <w:name w:val="Style4"/>
    <w:uiPriority w:val="99"/>
    <w:rsid w:val="00903913"/>
    <w:pPr>
      <w:numPr>
        <w:numId w:val="8"/>
      </w:numPr>
    </w:pPr>
  </w:style>
  <w:style w:type="character" w:customStyle="1" w:styleId="ListParagraphChar">
    <w:name w:val="List Paragraph Char"/>
    <w:aliases w:val="L Char,List Paragraph1 Char,List Paragraph11 Char,Recommendation Char,bullet point list Char,Bulleted Para Char,CV text Char,Dot pt Char,F5 List Paragraph Char,FooterText Char,List Paragraph111 Char,List Paragraph2 Char,l Char"/>
    <w:link w:val="ListParagraph"/>
    <w:uiPriority w:val="34"/>
    <w:qFormat/>
    <w:locked/>
    <w:rsid w:val="00903913"/>
    <w:rPr>
      <w:sz w:val="20"/>
    </w:rPr>
  </w:style>
  <w:style w:type="paragraph" w:styleId="PlainText">
    <w:name w:val="Plain Text"/>
    <w:basedOn w:val="Normal"/>
    <w:link w:val="PlainTextChar"/>
    <w:uiPriority w:val="99"/>
    <w:unhideWhenUsed/>
    <w:rsid w:val="00903913"/>
    <w:pPr>
      <w:spacing w:before="0" w:after="0"/>
    </w:pPr>
    <w:rPr>
      <w:rFonts w:ascii="Calibri" w:hAnsi="Calibri"/>
      <w:sz w:val="22"/>
      <w:szCs w:val="21"/>
    </w:rPr>
  </w:style>
  <w:style w:type="character" w:customStyle="1" w:styleId="PlainTextChar">
    <w:name w:val="Plain Text Char"/>
    <w:link w:val="PlainText"/>
    <w:uiPriority w:val="99"/>
    <w:rsid w:val="00903913"/>
    <w:rPr>
      <w:rFonts w:ascii="Calibri" w:hAnsi="Calibri"/>
      <w:szCs w:val="21"/>
    </w:rPr>
  </w:style>
  <w:style w:type="numbering" w:customStyle="1" w:styleId="Style5">
    <w:name w:val="Style5"/>
    <w:uiPriority w:val="99"/>
    <w:rsid w:val="00903913"/>
    <w:pPr>
      <w:numPr>
        <w:numId w:val="10"/>
      </w:numPr>
    </w:pPr>
  </w:style>
  <w:style w:type="numbering" w:customStyle="1" w:styleId="DISR">
    <w:name w:val="DISR"/>
    <w:uiPriority w:val="99"/>
    <w:rsid w:val="00ED0841"/>
    <w:pPr>
      <w:numPr>
        <w:numId w:val="11"/>
      </w:numPr>
    </w:pPr>
  </w:style>
  <w:style w:type="character" w:styleId="SubtleReference">
    <w:name w:val="Subtle Reference"/>
    <w:uiPriority w:val="31"/>
    <w:qFormat/>
    <w:rsid w:val="0028017D"/>
    <w:rPr>
      <w:smallCaps/>
      <w:color w:val="5A5A5A"/>
    </w:rPr>
  </w:style>
  <w:style w:type="character" w:styleId="Mention">
    <w:name w:val="Mention"/>
    <w:uiPriority w:val="99"/>
    <w:unhideWhenUsed/>
    <w:rsid w:val="008C4051"/>
    <w:rPr>
      <w:color w:val="2B579A"/>
      <w:shd w:val="clear" w:color="auto" w:fill="E1DFDD"/>
    </w:rPr>
  </w:style>
  <w:style w:type="table" w:styleId="ListTable3-Accent1">
    <w:name w:val="List Table 3 Accent 1"/>
    <w:basedOn w:val="TableNormal"/>
    <w:uiPriority w:val="48"/>
    <w:rsid w:val="00CF5A68"/>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1Light-Accent1">
    <w:name w:val="Grid Table 1 Light Accent 1"/>
    <w:basedOn w:val="TableNormal"/>
    <w:uiPriority w:val="46"/>
    <w:rsid w:val="00A540A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D6311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ubtleEmphasis">
    <w:name w:val="Subtle Emphasis"/>
    <w:basedOn w:val="DefaultParagraphFont"/>
    <w:uiPriority w:val="19"/>
    <w:qFormat/>
    <w:rsid w:val="004D60B1"/>
    <w:rPr>
      <w:i/>
      <w:iCs/>
      <w:color w:val="404040" w:themeColor="text1" w:themeTint="BF"/>
    </w:rPr>
  </w:style>
  <w:style w:type="table" w:styleId="ListTable3">
    <w:name w:val="List Table 3"/>
    <w:basedOn w:val="TableNormal"/>
    <w:uiPriority w:val="48"/>
    <w:rsid w:val="009C48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paragraphsub0">
    <w:name w:val="paragraphsub"/>
    <w:basedOn w:val="Normal"/>
    <w:rsid w:val="00D957B6"/>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EB04C5"/>
  </w:style>
  <w:style w:type="character" w:customStyle="1" w:styleId="eop">
    <w:name w:val="eop"/>
    <w:basedOn w:val="DefaultParagraphFont"/>
    <w:rsid w:val="00EB0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818889168">
      <w:bodyDiv w:val="1"/>
      <w:marLeft w:val="0"/>
      <w:marRight w:val="0"/>
      <w:marTop w:val="0"/>
      <w:marBottom w:val="0"/>
      <w:divBdr>
        <w:top w:val="none" w:sz="0" w:space="0" w:color="auto"/>
        <w:left w:val="none" w:sz="0" w:space="0" w:color="auto"/>
        <w:bottom w:val="none" w:sz="0" w:space="0" w:color="auto"/>
        <w:right w:val="none" w:sz="0" w:space="0" w:color="auto"/>
      </w:divBdr>
      <w:divsChild>
        <w:div w:id="1014235431">
          <w:marLeft w:val="0"/>
          <w:marRight w:val="0"/>
          <w:marTop w:val="0"/>
          <w:marBottom w:val="336"/>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29977586">
      <w:bodyDiv w:val="1"/>
      <w:marLeft w:val="0"/>
      <w:marRight w:val="0"/>
      <w:marTop w:val="0"/>
      <w:marBottom w:val="0"/>
      <w:divBdr>
        <w:top w:val="none" w:sz="0" w:space="0" w:color="auto"/>
        <w:left w:val="none" w:sz="0" w:space="0" w:color="auto"/>
        <w:bottom w:val="none" w:sz="0" w:space="0" w:color="auto"/>
        <w:right w:val="none" w:sz="0" w:space="0" w:color="auto"/>
      </w:divBdr>
    </w:div>
    <w:div w:id="1134326562">
      <w:bodyDiv w:val="1"/>
      <w:marLeft w:val="0"/>
      <w:marRight w:val="0"/>
      <w:marTop w:val="0"/>
      <w:marBottom w:val="0"/>
      <w:divBdr>
        <w:top w:val="none" w:sz="0" w:space="0" w:color="auto"/>
        <w:left w:val="none" w:sz="0" w:space="0" w:color="auto"/>
        <w:bottom w:val="none" w:sz="0" w:space="0" w:color="auto"/>
        <w:right w:val="none" w:sz="0" w:space="0" w:color="auto"/>
      </w:divBdr>
    </w:div>
    <w:div w:id="1674986166">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47742109">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legalcode" TargetMode="External"/><Relationship Id="rId18" Type="http://schemas.openxmlformats.org/officeDocument/2006/relationships/hyperlink" Target="https://www.nopta.gov.au/_documents/guidelines/declaration-of-location-guideline.pdf" TargetMode="External"/><Relationship Id="rId26" Type="http://schemas.openxmlformats.org/officeDocument/2006/relationships/hyperlink" Target="https://www.legislation.gov.au/Series/C2006A00014" TargetMode="External"/><Relationship Id="rId39" Type="http://schemas.openxmlformats.org/officeDocument/2006/relationships/hyperlink" Target="https://australianmarineparks.gov.au/access-use/commercial-approvals/mining/" TargetMode="External"/><Relationship Id="rId21" Type="http://schemas.openxmlformats.org/officeDocument/2006/relationships/hyperlink" Target="https://www.nopta.gov.au/guidelines-and-factsheets/index.html" TargetMode="External"/><Relationship Id="rId34" Type="http://schemas.openxmlformats.org/officeDocument/2006/relationships/hyperlink" Target="https://www.legislation.gov.au/Series/C2006A00014" TargetMode="External"/><Relationship Id="rId42" Type="http://schemas.openxmlformats.org/officeDocument/2006/relationships/hyperlink" Target="https://www.legislation.gov.au/Series/F2011L00647" TargetMode="External"/><Relationship Id="rId47" Type="http://schemas.openxmlformats.org/officeDocument/2006/relationships/hyperlink" Target="https://www.nopta.gov.au/_documents/guidelines/decommissioning-guideline.pdf" TargetMode="External"/><Relationship Id="rId50" Type="http://schemas.openxmlformats.org/officeDocument/2006/relationships/hyperlink" Target="https://www.legislation.gov.au/Series/C2006A00014" TargetMode="External"/><Relationship Id="rId55" Type="http://schemas.openxmlformats.org/officeDocument/2006/relationships/hyperlink" Target="https://www.nopta.gov.au/_documents/guidelines/Applicant-Suitability-Guideline.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legislation.gov.au/Series/F2011L00647" TargetMode="External"/><Relationship Id="rId29" Type="http://schemas.openxmlformats.org/officeDocument/2006/relationships/hyperlink" Target="https://www.nopta.gov.au/_documents/fact-sheets/Declaration-of-experience-and-disclosures-fact-sheet.pdf" TargetMode="External"/><Relationship Id="rId41" Type="http://schemas.openxmlformats.org/officeDocument/2006/relationships/hyperlink" Target="https://www.nopta.gov.au/_documents/guidelines/Applicant-Suitability-Guideline.pdf" TargetMode="External"/><Relationship Id="rId54" Type="http://schemas.openxmlformats.org/officeDocument/2006/relationships/hyperlink" Target="https://australianmarineparks.gov.au/access-use/commercial-approvals/minin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24" Type="http://schemas.openxmlformats.org/officeDocument/2006/relationships/hyperlink" Target="https://www.nopta.gov.au/_documents/fact-sheets/Declaration-of-experience-and-disclosures-fact-sheet.pdf" TargetMode="External"/><Relationship Id="rId32" Type="http://schemas.openxmlformats.org/officeDocument/2006/relationships/hyperlink" Target="https://www.nopta.gov.au/_documents/fact-sheets/Declaration-of-experience-and-disclosures-fact-sheet.pdf" TargetMode="External"/><Relationship Id="rId37" Type="http://schemas.openxmlformats.org/officeDocument/2006/relationships/hyperlink" Target="https://www.legislation.gov.au/Series/C2006A00014" TargetMode="External"/><Relationship Id="rId40" Type="http://schemas.openxmlformats.org/officeDocument/2006/relationships/hyperlink" Target="https://www.nopta.gov.au/_documents/fact-sheets/fact-sheet-financial-resources.pdf" TargetMode="External"/><Relationship Id="rId45" Type="http://schemas.openxmlformats.org/officeDocument/2006/relationships/hyperlink" Target="https://www.legislation.gov.au/Browse/ByPublicationDate/Gazettes/InForce/0/0" TargetMode="External"/><Relationship Id="rId53" Type="http://schemas.openxmlformats.org/officeDocument/2006/relationships/hyperlink" Target="https://www.legislation.gov.au/Series/C2006A00014"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nopta.gov.au/forms/forms.html" TargetMode="External"/><Relationship Id="rId28" Type="http://schemas.openxmlformats.org/officeDocument/2006/relationships/hyperlink" Target="https://foreigninvestment.gov.au/" TargetMode="External"/><Relationship Id="rId36" Type="http://schemas.openxmlformats.org/officeDocument/2006/relationships/hyperlink" Target="http://www.nopta.gov.au/forms/forms.html" TargetMode="External"/><Relationship Id="rId49" Type="http://schemas.openxmlformats.org/officeDocument/2006/relationships/hyperlink" Target="https://www.legislation.gov.au/Series/C2006A00014" TargetMode="External"/><Relationship Id="rId57" Type="http://schemas.openxmlformats.org/officeDocument/2006/relationships/header" Target="header2.xml"/><Relationship Id="rId61"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nopta.gov.au/_documents/guidelines/Applicant-Suitability-Guideline.pdf" TargetMode="External"/><Relationship Id="rId31" Type="http://schemas.openxmlformats.org/officeDocument/2006/relationships/hyperlink" Target="https://www.nopta.gov.au/_documents/guidelines/Applicant-Suitability-Guideline.pdf" TargetMode="External"/><Relationship Id="rId44" Type="http://schemas.openxmlformats.org/officeDocument/2006/relationships/hyperlink" Target="https://www.legislation.gov.au/Series/F2011L00647" TargetMode="External"/><Relationship Id="rId52" Type="http://schemas.openxmlformats.org/officeDocument/2006/relationships/hyperlink" Target="https://www.legislation.gov.au/Browse/ByPublicationDate/Gazettes/InForce/0/0" TargetMode="External"/><Relationship Id="rId60"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egislation.gov.au/Details/C2018C00151" TargetMode="External"/><Relationship Id="rId22" Type="http://schemas.openxmlformats.org/officeDocument/2006/relationships/hyperlink" Target="https://www.nopta.gov.au/forms/nopta-forms/nopta-forms-guidance/nopta-forms-guidance.pdf" TargetMode="External"/><Relationship Id="rId27" Type="http://schemas.openxmlformats.org/officeDocument/2006/relationships/hyperlink" Target="https://www.legislation.gov.au/Browse/ByPublicationDate/Gazettes/InForce/0/0" TargetMode="External"/><Relationship Id="rId30" Type="http://schemas.openxmlformats.org/officeDocument/2006/relationships/hyperlink" Target="https://www.nopta.gov.au/_documents/fact-sheets/fact-sheet-financial-resources.pdf" TargetMode="External"/><Relationship Id="rId35" Type="http://schemas.openxmlformats.org/officeDocument/2006/relationships/hyperlink" Target="https://www.legislation.gov.au/Series/C2004A01202" TargetMode="External"/><Relationship Id="rId43" Type="http://schemas.openxmlformats.org/officeDocument/2006/relationships/hyperlink" Target="https://www.legislation.gov.au/Series/C2006A00014" TargetMode="External"/><Relationship Id="rId48" Type="http://schemas.openxmlformats.org/officeDocument/2006/relationships/hyperlink" Target="https://www.legislation.gov.au/Browse/ByPublicationDate/Gazettes/InForce/0/0" TargetMode="External"/><Relationship Id="rId56" Type="http://schemas.openxmlformats.org/officeDocument/2006/relationships/hyperlink" Target="https://www.legislation.gov.au/Series/C2006A00014" TargetMode="External"/><Relationship Id="rId8" Type="http://schemas.openxmlformats.org/officeDocument/2006/relationships/endnotes" Target="endnotes.xml"/><Relationship Id="rId51" Type="http://schemas.openxmlformats.org/officeDocument/2006/relationships/hyperlink" Target="https://www.nopta.gov.au/_documents/guidelines/decommissioning-guideline.pdf" TargetMode="External"/><Relationship Id="rId3" Type="http://schemas.openxmlformats.org/officeDocument/2006/relationships/numbering" Target="numbering.xml"/><Relationship Id="rId12" Type="http://schemas.openxmlformats.org/officeDocument/2006/relationships/hyperlink" Target="https://creativecommons.org/licenses/by/4.0/" TargetMode="External"/><Relationship Id="rId17" Type="http://schemas.openxmlformats.org/officeDocument/2006/relationships/hyperlink" Target="https://www.nopta.gov.au/_documents/fact-sheets/factsheet-pet-discovery.pdf" TargetMode="External"/><Relationship Id="rId25" Type="http://schemas.openxmlformats.org/officeDocument/2006/relationships/hyperlink" Target="https://www.nopta.gov.au/forms/nopta-forms/nopta-forms-guidance/nopta-forms-guidance.pdf" TargetMode="External"/><Relationship Id="rId33" Type="http://schemas.openxmlformats.org/officeDocument/2006/relationships/hyperlink" Target="https://www.nopta.gov.au/_documents/guidelines/Applicant-Suitability-Guideline.pdf" TargetMode="External"/><Relationship Id="rId38" Type="http://schemas.openxmlformats.org/officeDocument/2006/relationships/hyperlink" Target="https://www.legislation.gov.au/Series/C2004A00485" TargetMode="External"/><Relationship Id="rId46" Type="http://schemas.openxmlformats.org/officeDocument/2006/relationships/hyperlink" Target="https://www.nopta.gov.au/_documents/guidelines/decommissioning-guideline.pdf" TargetMode="External"/><Relationship Id="rId5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3FB1AEA9-86F7-4F7D-AC2B-95E058D4E8AD}">
  <ds:schemaRefs>
    <ds:schemaRef ds:uri="http://schemas.openxmlformats.org/officeDocument/2006/bibliography"/>
  </ds:schemaRefs>
</ds:datastoreItem>
</file>

<file path=customXml/itemProps2.xml><?xml version="1.0" encoding="utf-8"?>
<ds:datastoreItem xmlns:ds="http://schemas.openxmlformats.org/officeDocument/2006/customXml" ds:itemID="{87CE2090-18B7-4CBA-BCE7-16DB5D301546}">
  <ds:schemaRefs>
    <ds:schemaRef ds:uri="http://schemas.microsoft.com/office/2006/metadata/longProperties"/>
  </ds:schemaRefs>
</ds:datastoreItem>
</file>

<file path=docMetadata/LabelInfo.xml><?xml version="1.0" encoding="utf-8"?>
<clbl:labelList xmlns:clbl="http://schemas.microsoft.com/office/2020/mipLabelMetadata">
  <clbl:label id="{ce1483ae-17d1-40b0-9515-e03b22939689}"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12013</Words>
  <Characters>65232</Characters>
  <Application>Microsoft Office Word</Application>
  <DocSecurity>0</DocSecurity>
  <Lines>1304</Lines>
  <Paragraphs>796</Paragraphs>
  <ScaleCrop>false</ScaleCrop>
  <Manager/>
  <Company/>
  <LinksUpToDate>false</LinksUpToDate>
  <CharactersWithSpaces>76449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2025-12-09T04:53:00Z</dcterms:created>
  <dcterms:modified xsi:type="dcterms:W3CDTF">2025-12-09T04:53:00Z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2025-12-09T04:53:25Z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cdd46013-4512-455c-9668-457c9c6ee112</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