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5BDD" w14:textId="286183A0" w:rsidR="00A01BEE" w:rsidRPr="00A01BEE" w:rsidRDefault="00265890" w:rsidP="00A01BEE">
      <w:pPr>
        <w:spacing w:after="0"/>
        <w:rPr>
          <w:rFonts w:ascii="Calibri" w:eastAsia="Times New Roman" w:hAnsi="Calibri" w:cs="Calibri"/>
          <w:lang w:val="en-US" w:eastAsia="ja-JP"/>
        </w:rPr>
      </w:pPr>
      <w:bookmarkStart w:id="0" w:name="_Toc79063414"/>
      <w:bookmarkStart w:id="1" w:name="_Toc79063458"/>
      <w:r>
        <w:rPr>
          <w:rFonts w:ascii="Calibri" w:hAnsi="Calibri" w:cs="Calibri"/>
          <w:noProof/>
          <w:lang w:eastAsia="en-AU"/>
        </w:rPr>
        <w:drawing>
          <wp:anchor distT="0" distB="0" distL="114300" distR="114300" simplePos="0" relativeHeight="251659264" behindDoc="0" locked="0" layoutInCell="1" allowOverlap="1" wp14:anchorId="40034B1F" wp14:editId="4CD8679F">
            <wp:simplePos x="0" y="0"/>
            <wp:positionH relativeFrom="column">
              <wp:posOffset>0</wp:posOffset>
            </wp:positionH>
            <wp:positionV relativeFrom="margin">
              <wp:align>top</wp:align>
            </wp:positionV>
            <wp:extent cx="2271395" cy="659765"/>
            <wp:effectExtent l="0" t="0" r="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R Logo.jpg"/>
                    <pic:cNvPicPr/>
                  </pic:nvPicPr>
                  <pic:blipFill>
                    <a:blip r:embed="rId12" cstate="print">
                      <a:extLst>
                        <a:ext uri="{BEBA8EAE-BF5A-486C-A8C5-ECC9F3942E4B}">
                          <a14:imgProps xmlns:a14="http://schemas.microsoft.com/office/drawing/2010/main">
                            <a14:imgLayer r:embed="rId1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271395" cy="659765"/>
                    </a:xfrm>
                    <a:prstGeom prst="rect">
                      <a:avLst/>
                    </a:prstGeom>
                  </pic:spPr>
                </pic:pic>
              </a:graphicData>
            </a:graphic>
          </wp:anchor>
        </w:drawing>
      </w:r>
    </w:p>
    <w:p w14:paraId="35B80062" w14:textId="77777777" w:rsidR="00A01BEE" w:rsidRPr="00A01BEE" w:rsidRDefault="00A01BEE" w:rsidP="00A01BEE">
      <w:pPr>
        <w:spacing w:after="0"/>
        <w:rPr>
          <w:rFonts w:ascii="Calibri" w:eastAsia="Times New Roman" w:hAnsi="Calibri" w:cs="Calibri"/>
          <w:lang w:val="en-US" w:eastAsia="ja-JP"/>
        </w:rPr>
      </w:pPr>
    </w:p>
    <w:p w14:paraId="6EF373EF" w14:textId="77777777" w:rsidR="00A01BEE" w:rsidRPr="00A01BEE" w:rsidRDefault="00A01BEE" w:rsidP="00A01BEE">
      <w:pPr>
        <w:spacing w:after="0"/>
        <w:rPr>
          <w:rFonts w:ascii="Calibri" w:eastAsia="Times New Roman" w:hAnsi="Calibri" w:cs="Calibri"/>
          <w:lang w:val="en-US" w:eastAsia="ja-JP"/>
        </w:rPr>
      </w:pPr>
    </w:p>
    <w:p w14:paraId="0CB38AD8" w14:textId="77777777" w:rsidR="00A01BEE" w:rsidRPr="00A01BEE" w:rsidRDefault="00A01BEE" w:rsidP="00A01BEE">
      <w:pPr>
        <w:spacing w:after="0"/>
        <w:rPr>
          <w:rFonts w:ascii="Calibri" w:eastAsia="Times New Roman" w:hAnsi="Calibri" w:cs="Calibri"/>
          <w:lang w:val="en-US" w:eastAsia="ja-JP"/>
        </w:rPr>
      </w:pPr>
    </w:p>
    <w:p w14:paraId="5EE22D0D" w14:textId="77777777" w:rsidR="00A01BEE" w:rsidRPr="00A01BEE" w:rsidRDefault="00A01BEE" w:rsidP="00A01BEE">
      <w:pPr>
        <w:spacing w:after="0"/>
        <w:rPr>
          <w:rFonts w:ascii="Calibri" w:eastAsia="Times New Roman" w:hAnsi="Calibri" w:cs="Calibri"/>
          <w:lang w:val="en-US" w:eastAsia="ja-JP"/>
        </w:rPr>
      </w:pPr>
    </w:p>
    <w:p w14:paraId="25E7287C" w14:textId="77777777" w:rsidR="00A01BEE" w:rsidRPr="00A01BEE" w:rsidRDefault="00A01BEE" w:rsidP="00A01BEE">
      <w:pPr>
        <w:spacing w:after="0"/>
        <w:rPr>
          <w:rFonts w:ascii="Calibri" w:eastAsia="Times New Roman" w:hAnsi="Calibri" w:cs="Calibri"/>
          <w:lang w:val="en-US" w:eastAsia="ja-JP"/>
        </w:rPr>
      </w:pPr>
    </w:p>
    <w:p w14:paraId="3008F1F1" w14:textId="77777777" w:rsidR="00A01BEE" w:rsidRPr="00A01BEE" w:rsidRDefault="00A01BEE" w:rsidP="00A01BEE">
      <w:pPr>
        <w:spacing w:after="0"/>
        <w:rPr>
          <w:rFonts w:ascii="Calibri" w:eastAsia="Times New Roman" w:hAnsi="Calibri" w:cs="Calibri"/>
          <w:lang w:val="en-US" w:eastAsia="ja-JP"/>
        </w:rPr>
      </w:pPr>
    </w:p>
    <w:p w14:paraId="62367CAC" w14:textId="77777777" w:rsidR="00A01BEE" w:rsidRPr="00A01BEE" w:rsidRDefault="00A01BEE" w:rsidP="00A01BEE">
      <w:pPr>
        <w:spacing w:after="0"/>
        <w:rPr>
          <w:rFonts w:ascii="Calibri" w:eastAsia="Times New Roman" w:hAnsi="Calibri" w:cs="Calibri"/>
          <w:lang w:val="en-US" w:eastAsia="ja-JP"/>
        </w:rPr>
      </w:pPr>
    </w:p>
    <w:p w14:paraId="5F59AF52" w14:textId="77777777" w:rsidR="00A01BEE" w:rsidRPr="009E7B46" w:rsidRDefault="00A01BEE" w:rsidP="00A01BEE">
      <w:pPr>
        <w:spacing w:after="0"/>
        <w:rPr>
          <w:rFonts w:ascii="Calibri" w:eastAsia="Times New Roman" w:hAnsi="Calibri" w:cs="Calibri"/>
          <w:lang w:val="en-US" w:eastAsia="ja-JP"/>
        </w:rPr>
      </w:pPr>
    </w:p>
    <w:p w14:paraId="68FCED0E" w14:textId="09C511CE" w:rsidR="00A01BEE" w:rsidRPr="00A01BEE" w:rsidRDefault="00A01BEE" w:rsidP="00A01BEE">
      <w:pPr>
        <w:pBdr>
          <w:bottom w:val="single" w:sz="8" w:space="1" w:color="005677"/>
        </w:pBdr>
        <w:spacing w:after="120"/>
        <w:outlineLvl w:val="0"/>
        <w:rPr>
          <w:rFonts w:ascii="Calibri Light" w:eastAsia="Times New Roman" w:hAnsi="Calibri Light" w:cs="Times New Roman"/>
          <w:color w:val="1F497D"/>
          <w:spacing w:val="-10"/>
          <w:kern w:val="28"/>
          <w:sz w:val="56"/>
          <w:szCs w:val="72"/>
        </w:rPr>
      </w:pPr>
      <w:bookmarkStart w:id="2" w:name="_Toc100310263"/>
      <w:bookmarkStart w:id="3" w:name="_Toc118975510"/>
      <w:bookmarkStart w:id="4" w:name="_Toc122614782"/>
      <w:bookmarkStart w:id="5" w:name="_Toc407003826"/>
      <w:bookmarkStart w:id="6" w:name="_Toc410902777"/>
      <w:bookmarkStart w:id="7" w:name="_Toc411846748"/>
      <w:bookmarkStart w:id="8" w:name="_Toc412624121"/>
      <w:r>
        <w:rPr>
          <w:rFonts w:ascii="Calibri Light" w:eastAsia="Times New Roman" w:hAnsi="Calibri Light" w:cs="Times New Roman"/>
          <w:color w:val="1F497D"/>
          <w:spacing w:val="-10"/>
          <w:kern w:val="28"/>
          <w:sz w:val="56"/>
          <w:szCs w:val="72"/>
        </w:rPr>
        <w:t xml:space="preserve">Guideline: </w:t>
      </w:r>
      <w:r w:rsidRPr="00A01BEE">
        <w:rPr>
          <w:rFonts w:ascii="Calibri Light" w:eastAsia="Times New Roman" w:hAnsi="Calibri Light" w:cs="Times New Roman"/>
          <w:color w:val="1F497D"/>
          <w:spacing w:val="-10"/>
          <w:kern w:val="28"/>
          <w:sz w:val="56"/>
          <w:szCs w:val="72"/>
        </w:rPr>
        <w:t>Declaration of Identified Greenhouse Gas Storage Formation (including under a Cross-boundary Greenhouse Gas Assessment Permit) and Notification of an Eligible Greenhouse Gas Storage Formation</w:t>
      </w:r>
      <w:bookmarkEnd w:id="2"/>
      <w:bookmarkEnd w:id="3"/>
      <w:bookmarkEnd w:id="4"/>
    </w:p>
    <w:p w14:paraId="4A1F23AD" w14:textId="77777777" w:rsidR="00A01BEE" w:rsidRPr="00A01BEE" w:rsidRDefault="00A01BEE" w:rsidP="00A01BEE">
      <w:pPr>
        <w:numPr>
          <w:ilvl w:val="1"/>
          <w:numId w:val="0"/>
        </w:numPr>
        <w:spacing w:after="160" w:line="259" w:lineRule="auto"/>
        <w:rPr>
          <w:rFonts w:ascii="Calibri" w:eastAsia="Calibri" w:hAnsi="Calibri" w:cs="Calibri"/>
          <w:color w:val="939598"/>
          <w:sz w:val="28"/>
          <w:szCs w:val="32"/>
          <w:lang w:eastAsia="en-AU"/>
        </w:rPr>
      </w:pPr>
      <w:r w:rsidRPr="00A01BEE">
        <w:rPr>
          <w:rFonts w:ascii="Calibri" w:eastAsia="Calibri" w:hAnsi="Calibri" w:cs="Calibri"/>
          <w:color w:val="939598"/>
          <w:sz w:val="28"/>
          <w:szCs w:val="32"/>
          <w:lang w:eastAsia="en-AU"/>
        </w:rPr>
        <w:t xml:space="preserve">In relation to </w:t>
      </w:r>
      <w:r w:rsidRPr="00A818C1">
        <w:rPr>
          <w:rFonts w:ascii="Calibri" w:eastAsia="Calibri" w:hAnsi="Calibri" w:cs="Calibri"/>
          <w:color w:val="939598"/>
          <w:sz w:val="28"/>
          <w:szCs w:val="32"/>
          <w:lang w:eastAsia="en-AU"/>
        </w:rPr>
        <w:t>the</w:t>
      </w:r>
      <w:r w:rsidRPr="00A01BEE">
        <w:rPr>
          <w:rFonts w:ascii="Calibri" w:eastAsia="Calibri" w:hAnsi="Calibri" w:cs="Calibri"/>
          <w:i/>
          <w:color w:val="939598"/>
          <w:sz w:val="28"/>
          <w:szCs w:val="32"/>
          <w:lang w:eastAsia="en-AU"/>
        </w:rPr>
        <w:t xml:space="preserve"> Offshore Petroleum and Greenhouse Gas Storage Act 2006</w:t>
      </w:r>
    </w:p>
    <w:bookmarkEnd w:id="5"/>
    <w:bookmarkEnd w:id="6"/>
    <w:bookmarkEnd w:id="7"/>
    <w:bookmarkEnd w:id="8"/>
    <w:p w14:paraId="27A88BC6" w14:textId="77777777" w:rsidR="00A01BEE" w:rsidRPr="00A01BEE" w:rsidRDefault="00A01BEE" w:rsidP="00A01BEE">
      <w:pPr>
        <w:spacing w:after="0"/>
        <w:rPr>
          <w:rFonts w:ascii="Calibri" w:eastAsia="Times New Roman" w:hAnsi="Calibri" w:cs="Calibri"/>
          <w:lang w:val="en-US" w:eastAsia="ja-JP"/>
        </w:rPr>
      </w:pPr>
    </w:p>
    <w:p w14:paraId="0807024D" w14:textId="7E58AC33" w:rsidR="00A01BEE" w:rsidRPr="009E7B46" w:rsidRDefault="00A01BEE" w:rsidP="00A01BEE">
      <w:pPr>
        <w:spacing w:after="0"/>
        <w:rPr>
          <w:rFonts w:ascii="Calibri" w:eastAsia="Times New Roman" w:hAnsi="Calibri" w:cs="Calibri"/>
          <w:b/>
          <w:lang w:eastAsia="en-AU"/>
        </w:rPr>
      </w:pPr>
      <w:r w:rsidRPr="009E7B46">
        <w:rPr>
          <w:rFonts w:ascii="Calibri" w:eastAsia="Times New Roman" w:hAnsi="Calibri" w:cs="Calibri"/>
          <w:b/>
          <w:lang w:eastAsia="en-AU"/>
        </w:rPr>
        <w:t xml:space="preserve">Effective </w:t>
      </w:r>
      <w:r w:rsidR="001F4A12">
        <w:rPr>
          <w:rStyle w:val="Strong"/>
          <w:rFonts w:ascii="Calibri" w:hAnsi="Calibri" w:cs="Calibri"/>
        </w:rPr>
        <w:t>24 January 2025</w:t>
      </w:r>
    </w:p>
    <w:p w14:paraId="483F14E6" w14:textId="77777777" w:rsidR="00A01BEE" w:rsidRPr="00A01BEE" w:rsidRDefault="00A01BEE" w:rsidP="00A01BEE">
      <w:pPr>
        <w:spacing w:after="0"/>
        <w:rPr>
          <w:rFonts w:ascii="Calibri" w:eastAsia="Times New Roman" w:hAnsi="Calibri" w:cs="Calibri"/>
          <w:lang w:val="en-US" w:eastAsia="ja-JP"/>
        </w:rPr>
      </w:pPr>
    </w:p>
    <w:p w14:paraId="3711A1E8" w14:textId="77777777" w:rsidR="00A01BEE" w:rsidRPr="00A01BEE" w:rsidRDefault="00A01BEE" w:rsidP="00A01BEE">
      <w:pPr>
        <w:spacing w:after="0"/>
        <w:rPr>
          <w:rFonts w:ascii="Calibri" w:eastAsia="Times New Roman" w:hAnsi="Calibri" w:cs="Calibri"/>
          <w:lang w:val="en-US" w:eastAsia="ja-JP"/>
        </w:rPr>
      </w:pPr>
    </w:p>
    <w:p w14:paraId="3A7D1FC4" w14:textId="77777777" w:rsidR="00A01BEE" w:rsidRPr="00A01BEE" w:rsidRDefault="00A01BEE" w:rsidP="00A01BEE">
      <w:pPr>
        <w:spacing w:after="0"/>
        <w:rPr>
          <w:rFonts w:ascii="Calibri" w:eastAsia="Times New Roman" w:hAnsi="Calibri" w:cs="Calibri"/>
          <w:lang w:val="en-US" w:eastAsia="ja-JP"/>
        </w:rPr>
      </w:pPr>
    </w:p>
    <w:p w14:paraId="6D387DEA" w14:textId="77777777" w:rsidR="00A01BEE" w:rsidRPr="00A01BEE" w:rsidRDefault="00A01BEE" w:rsidP="00A01BEE">
      <w:pPr>
        <w:spacing w:after="0"/>
        <w:rPr>
          <w:rFonts w:ascii="Calibri" w:eastAsia="Times New Roman" w:hAnsi="Calibri" w:cs="Calibri"/>
          <w:lang w:val="en-US" w:eastAsia="ja-JP"/>
        </w:rPr>
      </w:pPr>
    </w:p>
    <w:p w14:paraId="2B436070" w14:textId="77777777" w:rsidR="00A01BEE" w:rsidRPr="00A01BEE" w:rsidRDefault="00A01BEE" w:rsidP="00A01BEE">
      <w:pPr>
        <w:spacing w:after="0"/>
        <w:rPr>
          <w:rFonts w:ascii="Calibri" w:eastAsia="Times New Roman" w:hAnsi="Calibri" w:cs="Calibri"/>
          <w:lang w:val="en-US" w:eastAsia="ja-JP"/>
        </w:rPr>
      </w:pPr>
    </w:p>
    <w:p w14:paraId="52D767DA" w14:textId="77777777" w:rsidR="00A01BEE" w:rsidRPr="00A01BEE" w:rsidRDefault="00A01BEE" w:rsidP="00A01BEE">
      <w:pPr>
        <w:spacing w:after="0"/>
        <w:rPr>
          <w:rFonts w:ascii="Calibri" w:eastAsia="Times New Roman" w:hAnsi="Calibri" w:cs="Calibri"/>
          <w:lang w:val="en-US" w:eastAsia="ja-JP"/>
        </w:rPr>
      </w:pPr>
    </w:p>
    <w:p w14:paraId="2CB7F4C2" w14:textId="77777777" w:rsidR="00A01BEE" w:rsidRPr="00A01BEE" w:rsidRDefault="00A01BEE" w:rsidP="00A01BEE">
      <w:pPr>
        <w:spacing w:after="0"/>
        <w:rPr>
          <w:rFonts w:ascii="Calibri" w:eastAsia="Times New Roman" w:hAnsi="Calibri" w:cs="Calibri"/>
          <w:lang w:val="en-US" w:eastAsia="ja-JP"/>
        </w:rPr>
      </w:pPr>
    </w:p>
    <w:p w14:paraId="2581B80E" w14:textId="77777777" w:rsidR="00A01BEE" w:rsidRPr="00A01BEE" w:rsidRDefault="00A01BEE" w:rsidP="00A01BEE">
      <w:pPr>
        <w:spacing w:after="0"/>
        <w:rPr>
          <w:rFonts w:ascii="Calibri" w:eastAsia="Times New Roman" w:hAnsi="Calibri" w:cs="Calibri"/>
          <w:lang w:val="en-US" w:eastAsia="ja-JP"/>
        </w:rPr>
      </w:pPr>
    </w:p>
    <w:p w14:paraId="2347E54B" w14:textId="77777777" w:rsidR="00A01BEE" w:rsidRPr="00A01BEE" w:rsidRDefault="00A01BEE" w:rsidP="00A01BEE">
      <w:pPr>
        <w:spacing w:after="0"/>
        <w:rPr>
          <w:rFonts w:ascii="Calibri" w:eastAsia="Times New Roman" w:hAnsi="Calibri" w:cs="Calibri"/>
          <w:lang w:val="en-US" w:eastAsia="ja-JP"/>
        </w:rPr>
      </w:pPr>
    </w:p>
    <w:p w14:paraId="18344098" w14:textId="77777777" w:rsidR="00A01BEE" w:rsidRPr="00A01BEE" w:rsidRDefault="00A01BEE" w:rsidP="00A01BEE">
      <w:pPr>
        <w:spacing w:after="0"/>
        <w:rPr>
          <w:rFonts w:ascii="Calibri" w:eastAsia="Times New Roman" w:hAnsi="Calibri" w:cs="Calibri"/>
          <w:lang w:val="en-US" w:eastAsia="ja-JP"/>
        </w:rPr>
      </w:pPr>
    </w:p>
    <w:p w14:paraId="279ED299" w14:textId="77777777" w:rsidR="00A01BEE" w:rsidRPr="00A01BEE" w:rsidRDefault="00A01BEE" w:rsidP="00A01BEE">
      <w:pPr>
        <w:spacing w:after="0"/>
        <w:rPr>
          <w:rFonts w:ascii="Calibri" w:eastAsia="Times New Roman" w:hAnsi="Calibri" w:cs="Calibri"/>
          <w:lang w:val="en-US" w:eastAsia="ja-JP"/>
        </w:rPr>
      </w:pPr>
    </w:p>
    <w:p w14:paraId="1174DFB2" w14:textId="1D044DEF" w:rsidR="00A01BEE" w:rsidRPr="00A01BEE" w:rsidRDefault="002921D7" w:rsidP="00A01BEE">
      <w:pPr>
        <w:autoSpaceDE w:val="0"/>
        <w:autoSpaceDN w:val="0"/>
        <w:spacing w:after="0"/>
        <w:rPr>
          <w:rFonts w:ascii="Calibri" w:eastAsia="Times New Roman" w:hAnsi="Calibri" w:cs="Calibri"/>
          <w:color w:val="000000"/>
          <w:sz w:val="16"/>
          <w:szCs w:val="20"/>
          <w:lang w:eastAsia="en-AU"/>
        </w:rPr>
      </w:pPr>
      <w:r w:rsidRPr="00FD18DD">
        <w:rPr>
          <w:rFonts w:ascii="Calibri" w:hAnsi="Calibri" w:cs="Calibri"/>
          <w:color w:val="000000"/>
          <w:sz w:val="16"/>
          <w:szCs w:val="20"/>
        </w:rPr>
        <w:t xml:space="preserve">This document has been developed as a general guide only. It is subject to, and does not replace or amend the requirements of the </w:t>
      </w:r>
      <w:hyperlink r:id="rId14" w:history="1">
        <w:r w:rsidRPr="00FD18DD">
          <w:rPr>
            <w:rFonts w:ascii="Calibri" w:hAnsi="Calibri" w:cs="Calibri"/>
            <w:i/>
            <w:color w:val="0000FF"/>
            <w:sz w:val="16"/>
            <w:szCs w:val="18"/>
            <w:u w:val="single"/>
          </w:rPr>
          <w:t>Offshore Petroleum and Greenhouse Gas Storage Act 2006</w:t>
        </w:r>
      </w:hyperlink>
      <w:r w:rsidRPr="00FD18DD">
        <w:rPr>
          <w:rFonts w:ascii="Calibri" w:hAnsi="Calibri" w:cs="Calibri"/>
          <w:color w:val="000000"/>
          <w:sz w:val="16"/>
          <w:szCs w:val="20"/>
        </w:rPr>
        <w:t xml:space="preserve"> and </w:t>
      </w:r>
      <w:bookmarkStart w:id="9" w:name="_Hlk174883182"/>
      <w:r w:rsidRPr="00D951FE">
        <w:rPr>
          <w:rFonts w:ascii="Calibri" w:hAnsi="Calibri" w:cs="Calibri"/>
          <w:sz w:val="16"/>
          <w:szCs w:val="20"/>
        </w:rPr>
        <w:t>associated regulations</w:t>
      </w:r>
      <w:bookmarkEnd w:id="9"/>
      <w:r w:rsidR="00A01BEE" w:rsidRPr="00A01BEE">
        <w:rPr>
          <w:rFonts w:ascii="Calibri" w:eastAsia="Times New Roman" w:hAnsi="Calibri" w:cs="Calibri"/>
          <w:color w:val="000000"/>
          <w:sz w:val="16"/>
          <w:szCs w:val="20"/>
          <w:lang w:eastAsia="en-AU"/>
        </w:rPr>
        <w:t xml:space="preserve">, which should be read in conjunction with the </w:t>
      </w:r>
      <w:r w:rsidRPr="002921D7">
        <w:rPr>
          <w:rFonts w:ascii="Calibri" w:eastAsia="Times New Roman" w:hAnsi="Calibri" w:cs="Calibri"/>
          <w:i/>
          <w:iCs/>
          <w:color w:val="000000"/>
          <w:sz w:val="16"/>
          <w:szCs w:val="20"/>
          <w:lang w:eastAsia="en-AU"/>
        </w:rPr>
        <w:t>Guideline: Declaration of Identified Greenhouse Gas Storage Formation (including under a Cross-boundary Greenhouse Gas Assessment Permit) and Notification of an Eligible Greenhouse Gas Storage Formation</w:t>
      </w:r>
      <w:r w:rsidR="00A01BEE" w:rsidRPr="009E7B46">
        <w:rPr>
          <w:rFonts w:ascii="Calibri" w:eastAsia="Times New Roman" w:hAnsi="Calibri" w:cs="Calibri"/>
          <w:color w:val="000000"/>
          <w:sz w:val="16"/>
          <w:szCs w:val="20"/>
          <w:lang w:eastAsia="en-AU"/>
        </w:rPr>
        <w:t xml:space="preserve"> </w:t>
      </w:r>
      <w:r w:rsidR="00A01BEE" w:rsidRPr="00A01BEE">
        <w:rPr>
          <w:rFonts w:ascii="Calibri" w:eastAsia="Times New Roman" w:hAnsi="Calibri" w:cs="Calibri"/>
          <w:color w:val="000000"/>
          <w:sz w:val="16"/>
          <w:szCs w:val="20"/>
          <w:lang w:eastAsia="en-AU"/>
        </w:rPr>
        <w:t>(</w:t>
      </w:r>
      <w:r w:rsidR="00C95BC2" w:rsidRPr="00C95BC2">
        <w:rPr>
          <w:rFonts w:ascii="Calibri" w:eastAsia="Times New Roman" w:hAnsi="Calibri" w:cs="Calibri"/>
          <w:color w:val="000000"/>
          <w:sz w:val="16"/>
          <w:szCs w:val="20"/>
          <w:lang w:eastAsia="en-AU"/>
        </w:rPr>
        <w:t xml:space="preserve">Guideline: Greenhouse Gas Storage Formations </w:t>
      </w:r>
      <w:r w:rsidR="00C95BC2">
        <w:rPr>
          <w:rFonts w:ascii="Calibri" w:eastAsia="Times New Roman" w:hAnsi="Calibri" w:cs="Calibri"/>
          <w:color w:val="000000"/>
          <w:sz w:val="16"/>
          <w:szCs w:val="20"/>
          <w:lang w:eastAsia="en-AU"/>
        </w:rPr>
        <w:t xml:space="preserve">or </w:t>
      </w:r>
      <w:r w:rsidR="00A01BEE" w:rsidRPr="00A01BEE">
        <w:rPr>
          <w:rFonts w:ascii="Calibri" w:eastAsia="Times New Roman" w:hAnsi="Calibri" w:cs="Calibri"/>
          <w:color w:val="000000"/>
          <w:sz w:val="16"/>
          <w:szCs w:val="20"/>
          <w:lang w:eastAsia="en-AU"/>
        </w:rPr>
        <w:t>the Guideline).</w:t>
      </w:r>
    </w:p>
    <w:p w14:paraId="4BB66457" w14:textId="77777777" w:rsidR="00A01BEE" w:rsidRPr="00A01BEE" w:rsidRDefault="00A01BEE" w:rsidP="00A01BEE">
      <w:pPr>
        <w:autoSpaceDE w:val="0"/>
        <w:autoSpaceDN w:val="0"/>
        <w:spacing w:after="0"/>
        <w:rPr>
          <w:rFonts w:ascii="Calibri" w:eastAsia="Times New Roman" w:hAnsi="Calibri" w:cs="Calibri"/>
          <w:color w:val="000000"/>
          <w:sz w:val="16"/>
          <w:szCs w:val="20"/>
          <w:lang w:eastAsia="en-AU"/>
        </w:rPr>
      </w:pPr>
    </w:p>
    <w:p w14:paraId="2F342BAF" w14:textId="77777777" w:rsidR="00A01BEE" w:rsidRPr="00A01BEE" w:rsidRDefault="00A01BEE" w:rsidP="00A01BEE">
      <w:pPr>
        <w:spacing w:after="0"/>
        <w:rPr>
          <w:rFonts w:ascii="Calibri" w:eastAsia="Times New Roman" w:hAnsi="Calibri" w:cs="Calibri"/>
          <w:color w:val="000000"/>
          <w:sz w:val="16"/>
          <w:szCs w:val="20"/>
          <w:lang w:eastAsia="en-AU"/>
        </w:rPr>
      </w:pPr>
      <w:r w:rsidRPr="00A01BEE">
        <w:rPr>
          <w:rFonts w:ascii="Calibri" w:eastAsia="Times New Roman" w:hAnsi="Calibri" w:cs="Calibri"/>
          <w:color w:val="000000"/>
          <w:sz w:val="16"/>
          <w:szCs w:val="20"/>
          <w:lang w:eastAsia="en-AU"/>
        </w:rPr>
        <w:t xml:space="preserve">This guideline is made available by the Australian Government for information only. Before relying on this material, users should carefully evaluate the accuracy, currency, completeness and relevance of the information and obtain independent, </w:t>
      </w:r>
      <w:r w:rsidRPr="00A01BEE">
        <w:rPr>
          <w:rFonts w:ascii="Calibri" w:eastAsia="Times New Roman" w:hAnsi="Calibri" w:cs="Calibri"/>
          <w:sz w:val="16"/>
          <w:szCs w:val="20"/>
          <w:lang w:eastAsia="en-AU"/>
        </w:rPr>
        <w:t xml:space="preserve">legal or other </w:t>
      </w:r>
      <w:r w:rsidRPr="00A01BEE">
        <w:rPr>
          <w:rFonts w:ascii="Calibri" w:eastAsia="Times New Roman" w:hAnsi="Calibri" w:cs="Calibri"/>
          <w:color w:val="000000"/>
          <w:sz w:val="16"/>
          <w:szCs w:val="20"/>
          <w:lang w:eastAsia="en-AU"/>
        </w:rPr>
        <w:t>professional advice relevant to their particular circumstances.</w:t>
      </w:r>
    </w:p>
    <w:p w14:paraId="7F7C9663" w14:textId="77777777" w:rsidR="00A01BEE" w:rsidRPr="00A01BEE" w:rsidRDefault="00A01BEE" w:rsidP="00A01BEE">
      <w:pPr>
        <w:spacing w:after="0"/>
        <w:rPr>
          <w:rFonts w:ascii="Calibri" w:eastAsia="Times New Roman" w:hAnsi="Calibri" w:cs="Calibri"/>
          <w:sz w:val="16"/>
          <w:szCs w:val="20"/>
          <w:lang w:eastAsia="en-AU"/>
        </w:rPr>
      </w:pPr>
    </w:p>
    <w:p w14:paraId="69A24E8C" w14:textId="6144A830" w:rsidR="00A01BEE" w:rsidRPr="00A01BEE" w:rsidRDefault="00A01BEE" w:rsidP="00A01BEE">
      <w:pPr>
        <w:spacing w:after="0"/>
        <w:rPr>
          <w:rFonts w:ascii="Calibri" w:eastAsia="Times New Roman" w:hAnsi="Calibri" w:cs="Calibri"/>
          <w:sz w:val="16"/>
          <w:szCs w:val="24"/>
          <w:lang w:eastAsia="en-AU"/>
        </w:rPr>
      </w:pPr>
      <w:r w:rsidRPr="00A01BEE">
        <w:rPr>
          <w:rFonts w:ascii="Calibri" w:eastAsia="Times New Roman" w:hAnsi="Calibri" w:cs="Calibri"/>
          <w:sz w:val="16"/>
          <w:szCs w:val="24"/>
          <w:lang w:eastAsia="en-AU"/>
        </w:rPr>
        <w:t>This document has been prepared by the</w:t>
      </w:r>
      <w:r w:rsidRPr="00A01BEE">
        <w:rPr>
          <w:rFonts w:ascii="Calibri" w:eastAsia="Times New Roman" w:hAnsi="Calibri" w:cs="Calibri"/>
          <w:szCs w:val="24"/>
          <w:lang w:eastAsia="en-AU"/>
        </w:rPr>
        <w:t xml:space="preserve"> </w:t>
      </w:r>
      <w:hyperlink r:id="rId15" w:history="1">
        <w:r w:rsidR="003A5F0B">
          <w:rPr>
            <w:rFonts w:ascii="Calibri" w:eastAsia="Times New Roman" w:hAnsi="Calibri" w:cs="Calibri"/>
            <w:color w:val="0000FF"/>
            <w:sz w:val="16"/>
            <w:szCs w:val="24"/>
            <w:u w:val="single"/>
            <w:lang w:eastAsia="en-AU"/>
          </w:rPr>
          <w:t>Department of Industry, Science and Resources</w:t>
        </w:r>
      </w:hyperlink>
      <w:r w:rsidRPr="00A01BEE">
        <w:rPr>
          <w:rFonts w:ascii="Calibri" w:eastAsia="Times New Roman" w:hAnsi="Calibri" w:cs="Calibri"/>
          <w:sz w:val="16"/>
          <w:szCs w:val="24"/>
          <w:lang w:eastAsia="en-AU"/>
        </w:rPr>
        <w:t xml:space="preserve"> (the Department). It will be reviewed and updated as required.</w:t>
      </w:r>
    </w:p>
    <w:p w14:paraId="12AC30FF" w14:textId="77777777" w:rsidR="00A01BEE" w:rsidRPr="00A01BEE" w:rsidRDefault="00A01BEE" w:rsidP="00A01BEE">
      <w:pPr>
        <w:spacing w:after="0"/>
        <w:rPr>
          <w:rFonts w:ascii="Calibri" w:eastAsia="Times New Roman" w:hAnsi="Calibri" w:cs="Calibri"/>
          <w:sz w:val="16"/>
          <w:szCs w:val="24"/>
          <w:lang w:eastAsia="en-AU"/>
        </w:rPr>
      </w:pPr>
    </w:p>
    <w:bookmarkEnd w:id="0"/>
    <w:bookmarkEnd w:id="1"/>
    <w:p w14:paraId="54171CD7" w14:textId="1D03E096" w:rsidR="00D80930" w:rsidRPr="00C908B0" w:rsidRDefault="00A01BEE" w:rsidP="0018182F">
      <w:pPr>
        <w:spacing w:after="0"/>
        <w:rPr>
          <w:rFonts w:ascii="Calibri" w:eastAsia="Times New Roman" w:hAnsi="Calibri" w:cs="Calibri"/>
          <w:color w:val="000000"/>
          <w:sz w:val="16"/>
          <w:szCs w:val="20"/>
          <w:lang w:eastAsia="en-AU"/>
        </w:rPr>
      </w:pPr>
      <w:r w:rsidRPr="00A01BEE">
        <w:rPr>
          <w:rFonts w:ascii="Calibri" w:eastAsia="Times New Roman" w:hAnsi="Calibri" w:cs="Calibri"/>
          <w:sz w:val="16"/>
          <w:szCs w:val="24"/>
          <w:lang w:eastAsia="en-AU"/>
        </w:rPr>
        <w:t xml:space="preserve">This document is available online at </w:t>
      </w:r>
      <w:hyperlink r:id="rId16" w:history="1">
        <w:r w:rsidRPr="00A01BEE">
          <w:rPr>
            <w:rFonts w:ascii="Calibri" w:eastAsia="Times New Roman" w:hAnsi="Calibri" w:cs="Calibri"/>
            <w:color w:val="0000FF"/>
            <w:sz w:val="16"/>
            <w:szCs w:val="24"/>
            <w:u w:val="single"/>
            <w:lang w:eastAsia="en-AU"/>
          </w:rPr>
          <w:t>www.nopta.gov.au</w:t>
        </w:r>
      </w:hyperlink>
      <w:r w:rsidRPr="00A01BEE">
        <w:rPr>
          <w:rFonts w:ascii="Calibri" w:eastAsia="Times New Roman" w:hAnsi="Calibri" w:cs="Calibri"/>
          <w:color w:val="000000"/>
          <w:sz w:val="16"/>
          <w:szCs w:val="20"/>
          <w:lang w:eastAsia="en-AU"/>
        </w:rPr>
        <w:t>.</w:t>
      </w:r>
      <w:r w:rsidR="00D80930" w:rsidRPr="009E7B46">
        <w:rPr>
          <w:rFonts w:ascii="Calibri" w:eastAsia="Times New Roman" w:hAnsi="Calibri" w:cs="Calibri"/>
          <w:sz w:val="16"/>
          <w:szCs w:val="20"/>
          <w:lang w:eastAsia="en-AU"/>
        </w:rPr>
        <w:br w:type="page"/>
      </w:r>
    </w:p>
    <w:p w14:paraId="6C23CA60" w14:textId="77777777" w:rsidR="00EC1AD7" w:rsidRPr="00EC1AD7" w:rsidRDefault="00EC1AD7" w:rsidP="00EF00A2">
      <w:pPr>
        <w:pStyle w:val="Heading1"/>
        <w:numPr>
          <w:ilvl w:val="0"/>
          <w:numId w:val="0"/>
        </w:numPr>
        <w:ind w:left="720" w:hanging="720"/>
        <w:rPr>
          <w:lang w:val="en-US" w:eastAsia="ja-JP"/>
        </w:rPr>
      </w:pPr>
      <w:r w:rsidRPr="00EC1AD7">
        <w:rPr>
          <w:lang w:val="en-US" w:eastAsia="ja-JP"/>
        </w:rPr>
        <w:lastRenderedPageBreak/>
        <w:t>Contents</w:t>
      </w:r>
    </w:p>
    <w:p w14:paraId="5EB0F3B8" w14:textId="1426EBC8" w:rsidR="00317CBD" w:rsidRPr="00EF00A2" w:rsidRDefault="00C046B9" w:rsidP="00EF00A2">
      <w:pPr>
        <w:pStyle w:val="TOC1"/>
        <w:rPr>
          <w:rStyle w:val="Hyperlink"/>
          <w:rFonts w:asciiTheme="minorHAnsi" w:hAnsiTheme="minorHAnsi" w:cstheme="minorHAnsi"/>
          <w:noProof/>
          <w:color w:val="000000" w:themeColor="text1"/>
          <w:u w:val="none"/>
        </w:rPr>
      </w:pPr>
      <w:r w:rsidRPr="00EF00A2">
        <w:rPr>
          <w:rStyle w:val="Hyperlink"/>
          <w:rFonts w:asciiTheme="minorHAnsi" w:hAnsiTheme="minorHAnsi" w:cstheme="minorHAnsi"/>
          <w:noProof/>
          <w:color w:val="000000" w:themeColor="text1"/>
          <w:u w:val="none"/>
        </w:rPr>
        <w:fldChar w:fldCharType="begin"/>
      </w:r>
      <w:r w:rsidRPr="00EF00A2">
        <w:rPr>
          <w:rStyle w:val="Hyperlink"/>
          <w:rFonts w:asciiTheme="minorHAnsi" w:hAnsiTheme="minorHAnsi" w:cstheme="minorHAnsi"/>
          <w:noProof/>
          <w:color w:val="000000" w:themeColor="text1"/>
          <w:u w:val="none"/>
        </w:rPr>
        <w:instrText xml:space="preserve"> TOC \o "1-2" \h \z \u </w:instrText>
      </w:r>
      <w:r w:rsidRPr="00EF00A2">
        <w:rPr>
          <w:rStyle w:val="Hyperlink"/>
          <w:rFonts w:asciiTheme="minorHAnsi" w:hAnsiTheme="minorHAnsi" w:cstheme="minorHAnsi"/>
          <w:noProof/>
          <w:color w:val="000000" w:themeColor="text1"/>
          <w:u w:val="none"/>
        </w:rPr>
        <w:fldChar w:fldCharType="separate"/>
      </w:r>
      <w:hyperlink w:anchor="_Toc122614783" w:history="1">
        <w:r w:rsidR="00317CBD" w:rsidRPr="00EF00A2">
          <w:rPr>
            <w:rStyle w:val="Hyperlink"/>
            <w:rFonts w:asciiTheme="minorHAnsi" w:hAnsiTheme="minorHAnsi" w:cstheme="minorHAnsi"/>
            <w:noProof/>
            <w:color w:val="000000" w:themeColor="text1"/>
            <w:u w:val="none"/>
          </w:rPr>
          <w:t>1.</w:t>
        </w:r>
        <w:r w:rsidR="00317CBD" w:rsidRPr="00EF00A2">
          <w:rPr>
            <w:rStyle w:val="Hyperlink"/>
            <w:rFonts w:asciiTheme="minorHAnsi" w:hAnsiTheme="minorHAnsi" w:cstheme="minorHAnsi"/>
            <w:noProof/>
            <w:color w:val="000000" w:themeColor="text1"/>
            <w:u w:val="none"/>
          </w:rPr>
          <w:tab/>
          <w:t>Purpose</w:t>
        </w:r>
        <w:r w:rsidR="00317CBD" w:rsidRPr="00EF00A2">
          <w:rPr>
            <w:rStyle w:val="Hyperlink"/>
            <w:rFonts w:asciiTheme="minorHAnsi" w:hAnsiTheme="minorHAnsi" w:cstheme="minorHAnsi"/>
            <w:noProof/>
            <w:webHidden/>
            <w:color w:val="000000" w:themeColor="text1"/>
            <w:u w:val="none"/>
          </w:rPr>
          <w:tab/>
        </w:r>
        <w:r w:rsidR="00317CBD" w:rsidRPr="00EF00A2">
          <w:rPr>
            <w:rStyle w:val="Hyperlink"/>
            <w:rFonts w:asciiTheme="minorHAnsi" w:hAnsiTheme="minorHAnsi" w:cstheme="minorHAnsi"/>
            <w:noProof/>
            <w:webHidden/>
            <w:color w:val="000000" w:themeColor="text1"/>
            <w:u w:val="none"/>
          </w:rPr>
          <w:fldChar w:fldCharType="begin"/>
        </w:r>
        <w:r w:rsidR="00317CBD" w:rsidRPr="00EF00A2">
          <w:rPr>
            <w:rStyle w:val="Hyperlink"/>
            <w:rFonts w:asciiTheme="minorHAnsi" w:hAnsiTheme="minorHAnsi" w:cstheme="minorHAnsi"/>
            <w:noProof/>
            <w:webHidden/>
            <w:color w:val="000000" w:themeColor="text1"/>
            <w:u w:val="none"/>
          </w:rPr>
          <w:instrText xml:space="preserve"> PAGEREF _Toc122614783 \h </w:instrText>
        </w:r>
        <w:r w:rsidR="00317CBD" w:rsidRPr="00EF00A2">
          <w:rPr>
            <w:rStyle w:val="Hyperlink"/>
            <w:rFonts w:asciiTheme="minorHAnsi" w:hAnsiTheme="minorHAnsi" w:cstheme="minorHAnsi"/>
            <w:noProof/>
            <w:webHidden/>
            <w:color w:val="000000" w:themeColor="text1"/>
            <w:u w:val="none"/>
          </w:rPr>
        </w:r>
        <w:r w:rsidR="00317CBD" w:rsidRPr="00EF00A2">
          <w:rPr>
            <w:rStyle w:val="Hyperlink"/>
            <w:rFonts w:asciiTheme="minorHAnsi" w:hAnsiTheme="minorHAnsi" w:cstheme="minorHAnsi"/>
            <w:noProof/>
            <w:webHidden/>
            <w:color w:val="000000" w:themeColor="text1"/>
            <w:u w:val="none"/>
          </w:rPr>
          <w:fldChar w:fldCharType="separate"/>
        </w:r>
        <w:r w:rsidR="001F4A12">
          <w:rPr>
            <w:rStyle w:val="Hyperlink"/>
            <w:rFonts w:asciiTheme="minorHAnsi" w:hAnsiTheme="minorHAnsi" w:cstheme="minorHAnsi"/>
            <w:noProof/>
            <w:webHidden/>
            <w:color w:val="000000" w:themeColor="text1"/>
            <w:u w:val="none"/>
          </w:rPr>
          <w:t>3</w:t>
        </w:r>
        <w:r w:rsidR="00317CBD" w:rsidRPr="00EF00A2">
          <w:rPr>
            <w:rStyle w:val="Hyperlink"/>
            <w:rFonts w:asciiTheme="minorHAnsi" w:hAnsiTheme="minorHAnsi" w:cstheme="minorHAnsi"/>
            <w:noProof/>
            <w:webHidden/>
            <w:color w:val="000000" w:themeColor="text1"/>
            <w:u w:val="none"/>
          </w:rPr>
          <w:fldChar w:fldCharType="end"/>
        </w:r>
      </w:hyperlink>
    </w:p>
    <w:p w14:paraId="4582CA9C" w14:textId="4E32ACA6" w:rsidR="00317CBD" w:rsidRPr="00EF00A2" w:rsidRDefault="00F06057" w:rsidP="00EF00A2">
      <w:pPr>
        <w:pStyle w:val="TOC1"/>
        <w:rPr>
          <w:rStyle w:val="Hyperlink"/>
          <w:rFonts w:asciiTheme="minorHAnsi" w:hAnsiTheme="minorHAnsi" w:cstheme="minorHAnsi"/>
          <w:noProof/>
          <w:color w:val="000000" w:themeColor="text1"/>
          <w:u w:val="none"/>
        </w:rPr>
      </w:pPr>
      <w:hyperlink w:anchor="_Toc122614784" w:history="1">
        <w:r w:rsidR="00317CBD" w:rsidRPr="00EF00A2">
          <w:rPr>
            <w:rStyle w:val="Hyperlink"/>
            <w:rFonts w:asciiTheme="minorHAnsi" w:hAnsiTheme="minorHAnsi" w:cstheme="minorHAnsi"/>
            <w:noProof/>
            <w:color w:val="000000" w:themeColor="text1"/>
            <w:u w:val="none"/>
          </w:rPr>
          <w:t>2.</w:t>
        </w:r>
        <w:r w:rsidR="00317CBD" w:rsidRPr="00EF00A2">
          <w:rPr>
            <w:rStyle w:val="Hyperlink"/>
            <w:rFonts w:asciiTheme="minorHAnsi" w:hAnsiTheme="minorHAnsi" w:cstheme="minorHAnsi"/>
            <w:noProof/>
            <w:color w:val="000000" w:themeColor="text1"/>
            <w:u w:val="none"/>
          </w:rPr>
          <w:tab/>
          <w:t>Legislative framework</w:t>
        </w:r>
        <w:r w:rsidR="00317CBD" w:rsidRPr="00EF00A2">
          <w:rPr>
            <w:rStyle w:val="Hyperlink"/>
            <w:rFonts w:asciiTheme="minorHAnsi" w:hAnsiTheme="minorHAnsi" w:cstheme="minorHAnsi"/>
            <w:noProof/>
            <w:webHidden/>
            <w:color w:val="000000" w:themeColor="text1"/>
            <w:u w:val="none"/>
          </w:rPr>
          <w:tab/>
        </w:r>
        <w:r w:rsidR="00317CBD" w:rsidRPr="00EF00A2">
          <w:rPr>
            <w:rStyle w:val="Hyperlink"/>
            <w:rFonts w:asciiTheme="minorHAnsi" w:hAnsiTheme="minorHAnsi" w:cstheme="minorHAnsi"/>
            <w:noProof/>
            <w:webHidden/>
            <w:color w:val="000000" w:themeColor="text1"/>
            <w:u w:val="none"/>
          </w:rPr>
          <w:fldChar w:fldCharType="begin"/>
        </w:r>
        <w:r w:rsidR="00317CBD" w:rsidRPr="00EF00A2">
          <w:rPr>
            <w:rStyle w:val="Hyperlink"/>
            <w:rFonts w:asciiTheme="minorHAnsi" w:hAnsiTheme="minorHAnsi" w:cstheme="minorHAnsi"/>
            <w:noProof/>
            <w:webHidden/>
            <w:color w:val="000000" w:themeColor="text1"/>
            <w:u w:val="none"/>
          </w:rPr>
          <w:instrText xml:space="preserve"> PAGEREF _Toc122614784 \h </w:instrText>
        </w:r>
        <w:r w:rsidR="00317CBD" w:rsidRPr="00EF00A2">
          <w:rPr>
            <w:rStyle w:val="Hyperlink"/>
            <w:rFonts w:asciiTheme="minorHAnsi" w:hAnsiTheme="minorHAnsi" w:cstheme="minorHAnsi"/>
            <w:noProof/>
            <w:webHidden/>
            <w:color w:val="000000" w:themeColor="text1"/>
            <w:u w:val="none"/>
          </w:rPr>
        </w:r>
        <w:r w:rsidR="00317CBD" w:rsidRPr="00EF00A2">
          <w:rPr>
            <w:rStyle w:val="Hyperlink"/>
            <w:rFonts w:asciiTheme="minorHAnsi" w:hAnsiTheme="minorHAnsi" w:cstheme="minorHAnsi"/>
            <w:noProof/>
            <w:webHidden/>
            <w:color w:val="000000" w:themeColor="text1"/>
            <w:u w:val="none"/>
          </w:rPr>
          <w:fldChar w:fldCharType="separate"/>
        </w:r>
        <w:r w:rsidR="001F4A12">
          <w:rPr>
            <w:rStyle w:val="Hyperlink"/>
            <w:rFonts w:asciiTheme="minorHAnsi" w:hAnsiTheme="minorHAnsi" w:cstheme="minorHAnsi"/>
            <w:noProof/>
            <w:webHidden/>
            <w:color w:val="000000" w:themeColor="text1"/>
            <w:u w:val="none"/>
          </w:rPr>
          <w:t>3</w:t>
        </w:r>
        <w:r w:rsidR="00317CBD" w:rsidRPr="00EF00A2">
          <w:rPr>
            <w:rStyle w:val="Hyperlink"/>
            <w:rFonts w:asciiTheme="minorHAnsi" w:hAnsiTheme="minorHAnsi" w:cstheme="minorHAnsi"/>
            <w:noProof/>
            <w:webHidden/>
            <w:color w:val="000000" w:themeColor="text1"/>
            <w:u w:val="none"/>
          </w:rPr>
          <w:fldChar w:fldCharType="end"/>
        </w:r>
      </w:hyperlink>
    </w:p>
    <w:p w14:paraId="45A3AAAC" w14:textId="72A4BE6E" w:rsidR="00317CBD" w:rsidRPr="00EF00A2" w:rsidRDefault="00F06057" w:rsidP="00EF00A2">
      <w:pPr>
        <w:pStyle w:val="TOC1"/>
        <w:rPr>
          <w:rStyle w:val="Hyperlink"/>
          <w:rFonts w:asciiTheme="minorHAnsi" w:hAnsiTheme="minorHAnsi" w:cstheme="minorHAnsi"/>
          <w:noProof/>
          <w:color w:val="000000" w:themeColor="text1"/>
          <w:u w:val="none"/>
        </w:rPr>
      </w:pPr>
      <w:hyperlink w:anchor="_Toc122614785" w:history="1">
        <w:r w:rsidR="00317CBD" w:rsidRPr="00EF00A2">
          <w:rPr>
            <w:rStyle w:val="Hyperlink"/>
            <w:rFonts w:asciiTheme="minorHAnsi" w:hAnsiTheme="minorHAnsi" w:cstheme="minorHAnsi"/>
            <w:noProof/>
            <w:color w:val="000000" w:themeColor="text1"/>
            <w:u w:val="none"/>
          </w:rPr>
          <w:t>3.</w:t>
        </w:r>
        <w:r w:rsidR="00317CBD" w:rsidRPr="00EF00A2">
          <w:rPr>
            <w:rStyle w:val="Hyperlink"/>
            <w:rFonts w:asciiTheme="minorHAnsi" w:hAnsiTheme="minorHAnsi" w:cstheme="minorHAnsi"/>
            <w:noProof/>
            <w:color w:val="000000" w:themeColor="text1"/>
            <w:u w:val="none"/>
          </w:rPr>
          <w:tab/>
          <w:t>Overview of a GHG storage formation</w:t>
        </w:r>
        <w:r w:rsidR="00317CBD" w:rsidRPr="00EF00A2">
          <w:rPr>
            <w:rStyle w:val="Hyperlink"/>
            <w:rFonts w:asciiTheme="minorHAnsi" w:hAnsiTheme="minorHAnsi" w:cstheme="minorHAnsi"/>
            <w:noProof/>
            <w:webHidden/>
            <w:color w:val="000000" w:themeColor="text1"/>
            <w:u w:val="none"/>
          </w:rPr>
          <w:tab/>
        </w:r>
        <w:r w:rsidR="00317CBD" w:rsidRPr="00EF00A2">
          <w:rPr>
            <w:rStyle w:val="Hyperlink"/>
            <w:rFonts w:asciiTheme="minorHAnsi" w:hAnsiTheme="minorHAnsi" w:cstheme="minorHAnsi"/>
            <w:noProof/>
            <w:webHidden/>
            <w:color w:val="000000" w:themeColor="text1"/>
            <w:u w:val="none"/>
          </w:rPr>
          <w:fldChar w:fldCharType="begin"/>
        </w:r>
        <w:r w:rsidR="00317CBD" w:rsidRPr="00EF00A2">
          <w:rPr>
            <w:rStyle w:val="Hyperlink"/>
            <w:rFonts w:asciiTheme="minorHAnsi" w:hAnsiTheme="minorHAnsi" w:cstheme="minorHAnsi"/>
            <w:noProof/>
            <w:webHidden/>
            <w:color w:val="000000" w:themeColor="text1"/>
            <w:u w:val="none"/>
          </w:rPr>
          <w:instrText xml:space="preserve"> PAGEREF _Toc122614785 \h </w:instrText>
        </w:r>
        <w:r w:rsidR="00317CBD" w:rsidRPr="00EF00A2">
          <w:rPr>
            <w:rStyle w:val="Hyperlink"/>
            <w:rFonts w:asciiTheme="minorHAnsi" w:hAnsiTheme="minorHAnsi" w:cstheme="minorHAnsi"/>
            <w:noProof/>
            <w:webHidden/>
            <w:color w:val="000000" w:themeColor="text1"/>
            <w:u w:val="none"/>
          </w:rPr>
        </w:r>
        <w:r w:rsidR="00317CBD" w:rsidRPr="00EF00A2">
          <w:rPr>
            <w:rStyle w:val="Hyperlink"/>
            <w:rFonts w:asciiTheme="minorHAnsi" w:hAnsiTheme="minorHAnsi" w:cstheme="minorHAnsi"/>
            <w:noProof/>
            <w:webHidden/>
            <w:color w:val="000000" w:themeColor="text1"/>
            <w:u w:val="none"/>
          </w:rPr>
          <w:fldChar w:fldCharType="separate"/>
        </w:r>
        <w:r w:rsidR="001F4A12">
          <w:rPr>
            <w:rStyle w:val="Hyperlink"/>
            <w:rFonts w:asciiTheme="minorHAnsi" w:hAnsiTheme="minorHAnsi" w:cstheme="minorHAnsi"/>
            <w:noProof/>
            <w:webHidden/>
            <w:color w:val="000000" w:themeColor="text1"/>
            <w:u w:val="none"/>
          </w:rPr>
          <w:t>4</w:t>
        </w:r>
        <w:r w:rsidR="00317CBD" w:rsidRPr="00EF00A2">
          <w:rPr>
            <w:rStyle w:val="Hyperlink"/>
            <w:rFonts w:asciiTheme="minorHAnsi" w:hAnsiTheme="minorHAnsi" w:cstheme="minorHAnsi"/>
            <w:noProof/>
            <w:webHidden/>
            <w:color w:val="000000" w:themeColor="text1"/>
            <w:u w:val="none"/>
          </w:rPr>
          <w:fldChar w:fldCharType="end"/>
        </w:r>
      </w:hyperlink>
    </w:p>
    <w:p w14:paraId="32D766D2" w14:textId="69AE4DD5" w:rsidR="00317CBD" w:rsidRPr="00EF00A2" w:rsidRDefault="00F06057" w:rsidP="00EF00A2">
      <w:pPr>
        <w:pStyle w:val="TOC1"/>
        <w:ind w:left="440"/>
        <w:rPr>
          <w:rStyle w:val="Hyperlink"/>
          <w:rFonts w:asciiTheme="minorHAnsi" w:hAnsiTheme="minorHAnsi" w:cstheme="minorHAnsi"/>
          <w:noProof/>
          <w:color w:val="000000" w:themeColor="text1"/>
          <w:u w:val="none"/>
        </w:rPr>
      </w:pPr>
      <w:hyperlink w:anchor="_Toc122614786" w:history="1">
        <w:r w:rsidR="00317CBD" w:rsidRPr="00EF00A2">
          <w:rPr>
            <w:rStyle w:val="Hyperlink"/>
            <w:rFonts w:asciiTheme="minorHAnsi" w:hAnsiTheme="minorHAnsi" w:cstheme="minorHAnsi"/>
            <w:noProof/>
            <w:color w:val="000000" w:themeColor="text1"/>
            <w:u w:val="none"/>
          </w:rPr>
          <w:t>Potential GHG storage formation</w:t>
        </w:r>
        <w:r w:rsidR="00317CBD" w:rsidRPr="00EF00A2">
          <w:rPr>
            <w:rStyle w:val="Hyperlink"/>
            <w:rFonts w:asciiTheme="minorHAnsi" w:hAnsiTheme="minorHAnsi" w:cstheme="minorHAnsi"/>
            <w:noProof/>
            <w:webHidden/>
            <w:color w:val="000000" w:themeColor="text1"/>
            <w:u w:val="none"/>
          </w:rPr>
          <w:tab/>
        </w:r>
        <w:r w:rsidR="00317CBD" w:rsidRPr="00EF00A2">
          <w:rPr>
            <w:rStyle w:val="Hyperlink"/>
            <w:rFonts w:asciiTheme="minorHAnsi" w:hAnsiTheme="minorHAnsi" w:cstheme="minorHAnsi"/>
            <w:noProof/>
            <w:webHidden/>
            <w:color w:val="000000" w:themeColor="text1"/>
            <w:u w:val="none"/>
          </w:rPr>
          <w:fldChar w:fldCharType="begin"/>
        </w:r>
        <w:r w:rsidR="00317CBD" w:rsidRPr="00EF00A2">
          <w:rPr>
            <w:rStyle w:val="Hyperlink"/>
            <w:rFonts w:asciiTheme="minorHAnsi" w:hAnsiTheme="minorHAnsi" w:cstheme="minorHAnsi"/>
            <w:noProof/>
            <w:webHidden/>
            <w:color w:val="000000" w:themeColor="text1"/>
            <w:u w:val="none"/>
          </w:rPr>
          <w:instrText xml:space="preserve"> PAGEREF _Toc122614786 \h </w:instrText>
        </w:r>
        <w:r w:rsidR="00317CBD" w:rsidRPr="00EF00A2">
          <w:rPr>
            <w:rStyle w:val="Hyperlink"/>
            <w:rFonts w:asciiTheme="minorHAnsi" w:hAnsiTheme="minorHAnsi" w:cstheme="minorHAnsi"/>
            <w:noProof/>
            <w:webHidden/>
            <w:color w:val="000000" w:themeColor="text1"/>
            <w:u w:val="none"/>
          </w:rPr>
        </w:r>
        <w:r w:rsidR="00317CBD" w:rsidRPr="00EF00A2">
          <w:rPr>
            <w:rStyle w:val="Hyperlink"/>
            <w:rFonts w:asciiTheme="minorHAnsi" w:hAnsiTheme="minorHAnsi" w:cstheme="minorHAnsi"/>
            <w:noProof/>
            <w:webHidden/>
            <w:color w:val="000000" w:themeColor="text1"/>
            <w:u w:val="none"/>
          </w:rPr>
          <w:fldChar w:fldCharType="separate"/>
        </w:r>
        <w:r w:rsidR="001F4A12">
          <w:rPr>
            <w:rStyle w:val="Hyperlink"/>
            <w:rFonts w:asciiTheme="minorHAnsi" w:hAnsiTheme="minorHAnsi" w:cstheme="minorHAnsi"/>
            <w:noProof/>
            <w:webHidden/>
            <w:color w:val="000000" w:themeColor="text1"/>
            <w:u w:val="none"/>
          </w:rPr>
          <w:t>4</w:t>
        </w:r>
        <w:r w:rsidR="00317CBD" w:rsidRPr="00EF00A2">
          <w:rPr>
            <w:rStyle w:val="Hyperlink"/>
            <w:rFonts w:asciiTheme="minorHAnsi" w:hAnsiTheme="minorHAnsi" w:cstheme="minorHAnsi"/>
            <w:noProof/>
            <w:webHidden/>
            <w:color w:val="000000" w:themeColor="text1"/>
            <w:u w:val="none"/>
          </w:rPr>
          <w:fldChar w:fldCharType="end"/>
        </w:r>
      </w:hyperlink>
    </w:p>
    <w:p w14:paraId="0C905411" w14:textId="37051CDA" w:rsidR="00317CBD" w:rsidRPr="00EF00A2" w:rsidRDefault="00F06057" w:rsidP="00EF00A2">
      <w:pPr>
        <w:pStyle w:val="TOC1"/>
        <w:ind w:left="440"/>
        <w:rPr>
          <w:rStyle w:val="Hyperlink"/>
          <w:rFonts w:asciiTheme="minorHAnsi" w:hAnsiTheme="minorHAnsi" w:cstheme="minorHAnsi"/>
          <w:noProof/>
          <w:color w:val="000000" w:themeColor="text1"/>
          <w:u w:val="none"/>
        </w:rPr>
      </w:pPr>
      <w:hyperlink w:anchor="_Toc122614787" w:history="1">
        <w:r w:rsidR="00317CBD" w:rsidRPr="00EF00A2">
          <w:rPr>
            <w:rStyle w:val="Hyperlink"/>
            <w:rFonts w:asciiTheme="minorHAnsi" w:hAnsiTheme="minorHAnsi" w:cstheme="minorHAnsi"/>
            <w:noProof/>
            <w:color w:val="000000" w:themeColor="text1"/>
            <w:u w:val="none"/>
          </w:rPr>
          <w:t>Eligible GHG storage formation</w:t>
        </w:r>
        <w:r w:rsidR="00317CBD" w:rsidRPr="00EF00A2">
          <w:rPr>
            <w:rStyle w:val="Hyperlink"/>
            <w:rFonts w:asciiTheme="minorHAnsi" w:hAnsiTheme="minorHAnsi" w:cstheme="minorHAnsi"/>
            <w:noProof/>
            <w:webHidden/>
            <w:color w:val="000000" w:themeColor="text1"/>
            <w:u w:val="none"/>
          </w:rPr>
          <w:tab/>
        </w:r>
        <w:r w:rsidR="00317CBD" w:rsidRPr="00EF00A2">
          <w:rPr>
            <w:rStyle w:val="Hyperlink"/>
            <w:rFonts w:asciiTheme="minorHAnsi" w:hAnsiTheme="minorHAnsi" w:cstheme="minorHAnsi"/>
            <w:noProof/>
            <w:webHidden/>
            <w:color w:val="000000" w:themeColor="text1"/>
            <w:u w:val="none"/>
          </w:rPr>
          <w:fldChar w:fldCharType="begin"/>
        </w:r>
        <w:r w:rsidR="00317CBD" w:rsidRPr="00EF00A2">
          <w:rPr>
            <w:rStyle w:val="Hyperlink"/>
            <w:rFonts w:asciiTheme="minorHAnsi" w:hAnsiTheme="minorHAnsi" w:cstheme="minorHAnsi"/>
            <w:noProof/>
            <w:webHidden/>
            <w:color w:val="000000" w:themeColor="text1"/>
            <w:u w:val="none"/>
          </w:rPr>
          <w:instrText xml:space="preserve"> PAGEREF _Toc122614787 \h </w:instrText>
        </w:r>
        <w:r w:rsidR="00317CBD" w:rsidRPr="00EF00A2">
          <w:rPr>
            <w:rStyle w:val="Hyperlink"/>
            <w:rFonts w:asciiTheme="minorHAnsi" w:hAnsiTheme="minorHAnsi" w:cstheme="minorHAnsi"/>
            <w:noProof/>
            <w:webHidden/>
            <w:color w:val="000000" w:themeColor="text1"/>
            <w:u w:val="none"/>
          </w:rPr>
        </w:r>
        <w:r w:rsidR="00317CBD" w:rsidRPr="00EF00A2">
          <w:rPr>
            <w:rStyle w:val="Hyperlink"/>
            <w:rFonts w:asciiTheme="minorHAnsi" w:hAnsiTheme="minorHAnsi" w:cstheme="minorHAnsi"/>
            <w:noProof/>
            <w:webHidden/>
            <w:color w:val="000000" w:themeColor="text1"/>
            <w:u w:val="none"/>
          </w:rPr>
          <w:fldChar w:fldCharType="separate"/>
        </w:r>
        <w:r w:rsidR="001F4A12">
          <w:rPr>
            <w:rStyle w:val="Hyperlink"/>
            <w:rFonts w:asciiTheme="minorHAnsi" w:hAnsiTheme="minorHAnsi" w:cstheme="minorHAnsi"/>
            <w:noProof/>
            <w:webHidden/>
            <w:color w:val="000000" w:themeColor="text1"/>
            <w:u w:val="none"/>
          </w:rPr>
          <w:t>5</w:t>
        </w:r>
        <w:r w:rsidR="00317CBD" w:rsidRPr="00EF00A2">
          <w:rPr>
            <w:rStyle w:val="Hyperlink"/>
            <w:rFonts w:asciiTheme="minorHAnsi" w:hAnsiTheme="minorHAnsi" w:cstheme="minorHAnsi"/>
            <w:noProof/>
            <w:webHidden/>
            <w:color w:val="000000" w:themeColor="text1"/>
            <w:u w:val="none"/>
          </w:rPr>
          <w:fldChar w:fldCharType="end"/>
        </w:r>
      </w:hyperlink>
    </w:p>
    <w:p w14:paraId="17F5D87C" w14:textId="18F53315" w:rsidR="00317CBD" w:rsidRPr="00EF00A2" w:rsidRDefault="00F06057" w:rsidP="00EF00A2">
      <w:pPr>
        <w:pStyle w:val="TOC1"/>
        <w:ind w:left="440"/>
        <w:rPr>
          <w:rStyle w:val="Hyperlink"/>
          <w:rFonts w:asciiTheme="minorHAnsi" w:hAnsiTheme="minorHAnsi" w:cstheme="minorHAnsi"/>
          <w:noProof/>
          <w:color w:val="000000" w:themeColor="text1"/>
          <w:u w:val="none"/>
        </w:rPr>
      </w:pPr>
      <w:hyperlink w:anchor="_Toc122614788" w:history="1">
        <w:r w:rsidR="00317CBD" w:rsidRPr="00EF00A2">
          <w:rPr>
            <w:rStyle w:val="Hyperlink"/>
            <w:rFonts w:asciiTheme="minorHAnsi" w:hAnsiTheme="minorHAnsi" w:cstheme="minorHAnsi"/>
            <w:noProof/>
            <w:color w:val="000000" w:themeColor="text1"/>
            <w:u w:val="none"/>
          </w:rPr>
          <w:t>Identified GHG storage formation</w:t>
        </w:r>
        <w:r w:rsidR="00317CBD" w:rsidRPr="00EF00A2">
          <w:rPr>
            <w:rStyle w:val="Hyperlink"/>
            <w:rFonts w:asciiTheme="minorHAnsi" w:hAnsiTheme="minorHAnsi" w:cstheme="minorHAnsi"/>
            <w:noProof/>
            <w:webHidden/>
            <w:color w:val="000000" w:themeColor="text1"/>
            <w:u w:val="none"/>
          </w:rPr>
          <w:tab/>
        </w:r>
        <w:r w:rsidR="00317CBD" w:rsidRPr="00EF00A2">
          <w:rPr>
            <w:rStyle w:val="Hyperlink"/>
            <w:rFonts w:asciiTheme="minorHAnsi" w:hAnsiTheme="minorHAnsi" w:cstheme="minorHAnsi"/>
            <w:noProof/>
            <w:webHidden/>
            <w:color w:val="000000" w:themeColor="text1"/>
            <w:u w:val="none"/>
          </w:rPr>
          <w:fldChar w:fldCharType="begin"/>
        </w:r>
        <w:r w:rsidR="00317CBD" w:rsidRPr="00EF00A2">
          <w:rPr>
            <w:rStyle w:val="Hyperlink"/>
            <w:rFonts w:asciiTheme="minorHAnsi" w:hAnsiTheme="minorHAnsi" w:cstheme="minorHAnsi"/>
            <w:noProof/>
            <w:webHidden/>
            <w:color w:val="000000" w:themeColor="text1"/>
            <w:u w:val="none"/>
          </w:rPr>
          <w:instrText xml:space="preserve"> PAGEREF _Toc122614788 \h </w:instrText>
        </w:r>
        <w:r w:rsidR="00317CBD" w:rsidRPr="00EF00A2">
          <w:rPr>
            <w:rStyle w:val="Hyperlink"/>
            <w:rFonts w:asciiTheme="minorHAnsi" w:hAnsiTheme="minorHAnsi" w:cstheme="minorHAnsi"/>
            <w:noProof/>
            <w:webHidden/>
            <w:color w:val="000000" w:themeColor="text1"/>
            <w:u w:val="none"/>
          </w:rPr>
        </w:r>
        <w:r w:rsidR="00317CBD" w:rsidRPr="00EF00A2">
          <w:rPr>
            <w:rStyle w:val="Hyperlink"/>
            <w:rFonts w:asciiTheme="minorHAnsi" w:hAnsiTheme="minorHAnsi" w:cstheme="minorHAnsi"/>
            <w:noProof/>
            <w:webHidden/>
            <w:color w:val="000000" w:themeColor="text1"/>
            <w:u w:val="none"/>
          </w:rPr>
          <w:fldChar w:fldCharType="separate"/>
        </w:r>
        <w:r w:rsidR="001F4A12">
          <w:rPr>
            <w:rStyle w:val="Hyperlink"/>
            <w:rFonts w:asciiTheme="minorHAnsi" w:hAnsiTheme="minorHAnsi" w:cstheme="minorHAnsi"/>
            <w:noProof/>
            <w:webHidden/>
            <w:color w:val="000000" w:themeColor="text1"/>
            <w:u w:val="none"/>
          </w:rPr>
          <w:t>6</w:t>
        </w:r>
        <w:r w:rsidR="00317CBD" w:rsidRPr="00EF00A2">
          <w:rPr>
            <w:rStyle w:val="Hyperlink"/>
            <w:rFonts w:asciiTheme="minorHAnsi" w:hAnsiTheme="minorHAnsi" w:cstheme="minorHAnsi"/>
            <w:noProof/>
            <w:webHidden/>
            <w:color w:val="000000" w:themeColor="text1"/>
            <w:u w:val="none"/>
          </w:rPr>
          <w:fldChar w:fldCharType="end"/>
        </w:r>
      </w:hyperlink>
    </w:p>
    <w:p w14:paraId="4D7ECB63" w14:textId="5C833385" w:rsidR="00317CBD" w:rsidRPr="00EF00A2" w:rsidRDefault="00F06057" w:rsidP="00EF00A2">
      <w:pPr>
        <w:pStyle w:val="TOC1"/>
        <w:rPr>
          <w:rStyle w:val="Hyperlink"/>
          <w:rFonts w:asciiTheme="minorHAnsi" w:hAnsiTheme="minorHAnsi" w:cstheme="minorHAnsi"/>
          <w:noProof/>
          <w:color w:val="000000" w:themeColor="text1"/>
          <w:u w:val="none"/>
        </w:rPr>
      </w:pPr>
      <w:hyperlink w:anchor="_Toc122614789" w:history="1">
        <w:r w:rsidR="00317CBD" w:rsidRPr="00EF00A2">
          <w:rPr>
            <w:rStyle w:val="Hyperlink"/>
            <w:rFonts w:asciiTheme="minorHAnsi" w:hAnsiTheme="minorHAnsi" w:cstheme="minorHAnsi"/>
            <w:noProof/>
            <w:color w:val="000000" w:themeColor="text1"/>
            <w:u w:val="none"/>
          </w:rPr>
          <w:t>4.</w:t>
        </w:r>
        <w:r w:rsidR="00317CBD" w:rsidRPr="00EF00A2">
          <w:rPr>
            <w:rStyle w:val="Hyperlink"/>
            <w:rFonts w:asciiTheme="minorHAnsi" w:hAnsiTheme="minorHAnsi" w:cstheme="minorHAnsi"/>
            <w:noProof/>
            <w:color w:val="000000" w:themeColor="text1"/>
            <w:u w:val="none"/>
          </w:rPr>
          <w:tab/>
          <w:t>Fundamental suitability determinants</w:t>
        </w:r>
        <w:r w:rsidR="00317CBD" w:rsidRPr="00EF00A2">
          <w:rPr>
            <w:rStyle w:val="Hyperlink"/>
            <w:rFonts w:asciiTheme="minorHAnsi" w:hAnsiTheme="minorHAnsi" w:cstheme="minorHAnsi"/>
            <w:noProof/>
            <w:webHidden/>
            <w:color w:val="000000" w:themeColor="text1"/>
            <w:u w:val="none"/>
          </w:rPr>
          <w:tab/>
        </w:r>
        <w:r w:rsidR="00317CBD" w:rsidRPr="00EF00A2">
          <w:rPr>
            <w:rStyle w:val="Hyperlink"/>
            <w:rFonts w:asciiTheme="minorHAnsi" w:hAnsiTheme="minorHAnsi" w:cstheme="minorHAnsi"/>
            <w:noProof/>
            <w:webHidden/>
            <w:color w:val="000000" w:themeColor="text1"/>
            <w:u w:val="none"/>
          </w:rPr>
          <w:fldChar w:fldCharType="begin"/>
        </w:r>
        <w:r w:rsidR="00317CBD" w:rsidRPr="00EF00A2">
          <w:rPr>
            <w:rStyle w:val="Hyperlink"/>
            <w:rFonts w:asciiTheme="minorHAnsi" w:hAnsiTheme="minorHAnsi" w:cstheme="minorHAnsi"/>
            <w:noProof/>
            <w:webHidden/>
            <w:color w:val="000000" w:themeColor="text1"/>
            <w:u w:val="none"/>
          </w:rPr>
          <w:instrText xml:space="preserve"> PAGEREF _Toc122614789 \h </w:instrText>
        </w:r>
        <w:r w:rsidR="00317CBD" w:rsidRPr="00EF00A2">
          <w:rPr>
            <w:rStyle w:val="Hyperlink"/>
            <w:rFonts w:asciiTheme="minorHAnsi" w:hAnsiTheme="minorHAnsi" w:cstheme="minorHAnsi"/>
            <w:noProof/>
            <w:webHidden/>
            <w:color w:val="000000" w:themeColor="text1"/>
            <w:u w:val="none"/>
          </w:rPr>
        </w:r>
        <w:r w:rsidR="00317CBD" w:rsidRPr="00EF00A2">
          <w:rPr>
            <w:rStyle w:val="Hyperlink"/>
            <w:rFonts w:asciiTheme="minorHAnsi" w:hAnsiTheme="minorHAnsi" w:cstheme="minorHAnsi"/>
            <w:noProof/>
            <w:webHidden/>
            <w:color w:val="000000" w:themeColor="text1"/>
            <w:u w:val="none"/>
          </w:rPr>
          <w:fldChar w:fldCharType="separate"/>
        </w:r>
        <w:r w:rsidR="001F4A12">
          <w:rPr>
            <w:rStyle w:val="Hyperlink"/>
            <w:rFonts w:asciiTheme="minorHAnsi" w:hAnsiTheme="minorHAnsi" w:cstheme="minorHAnsi"/>
            <w:noProof/>
            <w:webHidden/>
            <w:color w:val="000000" w:themeColor="text1"/>
            <w:u w:val="none"/>
          </w:rPr>
          <w:t>7</w:t>
        </w:r>
        <w:r w:rsidR="00317CBD" w:rsidRPr="00EF00A2">
          <w:rPr>
            <w:rStyle w:val="Hyperlink"/>
            <w:rFonts w:asciiTheme="minorHAnsi" w:hAnsiTheme="minorHAnsi" w:cstheme="minorHAnsi"/>
            <w:noProof/>
            <w:webHidden/>
            <w:color w:val="000000" w:themeColor="text1"/>
            <w:u w:val="none"/>
          </w:rPr>
          <w:fldChar w:fldCharType="end"/>
        </w:r>
      </w:hyperlink>
    </w:p>
    <w:p w14:paraId="144D739A" w14:textId="057F7672" w:rsidR="00317CBD" w:rsidRPr="00EF00A2" w:rsidRDefault="00F06057" w:rsidP="00EF00A2">
      <w:pPr>
        <w:pStyle w:val="TOC1"/>
        <w:rPr>
          <w:rStyle w:val="Hyperlink"/>
          <w:rFonts w:asciiTheme="minorHAnsi" w:hAnsiTheme="minorHAnsi" w:cstheme="minorHAnsi"/>
          <w:noProof/>
          <w:color w:val="000000" w:themeColor="text1"/>
          <w:u w:val="none"/>
        </w:rPr>
      </w:pPr>
      <w:hyperlink w:anchor="_Toc122614790" w:history="1">
        <w:r w:rsidR="00317CBD" w:rsidRPr="00EF00A2">
          <w:rPr>
            <w:rStyle w:val="Hyperlink"/>
            <w:rFonts w:asciiTheme="minorHAnsi" w:hAnsiTheme="minorHAnsi" w:cstheme="minorHAnsi"/>
            <w:noProof/>
            <w:color w:val="000000" w:themeColor="text1"/>
            <w:u w:val="none"/>
          </w:rPr>
          <w:t>5.</w:t>
        </w:r>
        <w:r w:rsidR="00317CBD" w:rsidRPr="00EF00A2">
          <w:rPr>
            <w:rStyle w:val="Hyperlink"/>
            <w:rFonts w:asciiTheme="minorHAnsi" w:hAnsiTheme="minorHAnsi" w:cstheme="minorHAnsi"/>
            <w:noProof/>
            <w:color w:val="000000" w:themeColor="text1"/>
            <w:u w:val="none"/>
          </w:rPr>
          <w:tab/>
          <w:t>Applying for a declaration of an identified GHG storage formation (including cross-boundary)</w:t>
        </w:r>
        <w:r w:rsidR="00317CBD" w:rsidRPr="00EF00A2">
          <w:rPr>
            <w:rStyle w:val="Hyperlink"/>
            <w:rFonts w:asciiTheme="minorHAnsi" w:hAnsiTheme="minorHAnsi" w:cstheme="minorHAnsi"/>
            <w:noProof/>
            <w:webHidden/>
            <w:color w:val="000000" w:themeColor="text1"/>
            <w:u w:val="none"/>
          </w:rPr>
          <w:tab/>
        </w:r>
        <w:r w:rsidR="00317CBD" w:rsidRPr="00EF00A2">
          <w:rPr>
            <w:rStyle w:val="Hyperlink"/>
            <w:rFonts w:asciiTheme="minorHAnsi" w:hAnsiTheme="minorHAnsi" w:cstheme="minorHAnsi"/>
            <w:noProof/>
            <w:webHidden/>
            <w:color w:val="000000" w:themeColor="text1"/>
            <w:u w:val="none"/>
          </w:rPr>
          <w:fldChar w:fldCharType="begin"/>
        </w:r>
        <w:r w:rsidR="00317CBD" w:rsidRPr="00EF00A2">
          <w:rPr>
            <w:rStyle w:val="Hyperlink"/>
            <w:rFonts w:asciiTheme="minorHAnsi" w:hAnsiTheme="minorHAnsi" w:cstheme="minorHAnsi"/>
            <w:noProof/>
            <w:webHidden/>
            <w:color w:val="000000" w:themeColor="text1"/>
            <w:u w:val="none"/>
          </w:rPr>
          <w:instrText xml:space="preserve"> PAGEREF _Toc122614790 \h </w:instrText>
        </w:r>
        <w:r w:rsidR="00317CBD" w:rsidRPr="00EF00A2">
          <w:rPr>
            <w:rStyle w:val="Hyperlink"/>
            <w:rFonts w:asciiTheme="minorHAnsi" w:hAnsiTheme="minorHAnsi" w:cstheme="minorHAnsi"/>
            <w:noProof/>
            <w:webHidden/>
            <w:color w:val="000000" w:themeColor="text1"/>
            <w:u w:val="none"/>
          </w:rPr>
        </w:r>
        <w:r w:rsidR="00317CBD" w:rsidRPr="00EF00A2">
          <w:rPr>
            <w:rStyle w:val="Hyperlink"/>
            <w:rFonts w:asciiTheme="minorHAnsi" w:hAnsiTheme="minorHAnsi" w:cstheme="minorHAnsi"/>
            <w:noProof/>
            <w:webHidden/>
            <w:color w:val="000000" w:themeColor="text1"/>
            <w:u w:val="none"/>
          </w:rPr>
          <w:fldChar w:fldCharType="separate"/>
        </w:r>
        <w:r w:rsidR="001F4A12">
          <w:rPr>
            <w:rStyle w:val="Hyperlink"/>
            <w:rFonts w:asciiTheme="minorHAnsi" w:hAnsiTheme="minorHAnsi" w:cstheme="minorHAnsi"/>
            <w:noProof/>
            <w:webHidden/>
            <w:color w:val="000000" w:themeColor="text1"/>
            <w:u w:val="none"/>
          </w:rPr>
          <w:t>8</w:t>
        </w:r>
        <w:r w:rsidR="00317CBD" w:rsidRPr="00EF00A2">
          <w:rPr>
            <w:rStyle w:val="Hyperlink"/>
            <w:rFonts w:asciiTheme="minorHAnsi" w:hAnsiTheme="minorHAnsi" w:cstheme="minorHAnsi"/>
            <w:noProof/>
            <w:webHidden/>
            <w:color w:val="000000" w:themeColor="text1"/>
            <w:u w:val="none"/>
          </w:rPr>
          <w:fldChar w:fldCharType="end"/>
        </w:r>
      </w:hyperlink>
    </w:p>
    <w:p w14:paraId="7A589E3A" w14:textId="79FB16C5" w:rsidR="00317CBD" w:rsidRPr="00EF00A2" w:rsidRDefault="00F06057" w:rsidP="00EF00A2">
      <w:pPr>
        <w:pStyle w:val="TOC1"/>
        <w:ind w:firstLine="440"/>
        <w:rPr>
          <w:rStyle w:val="Hyperlink"/>
          <w:rFonts w:asciiTheme="minorHAnsi" w:hAnsiTheme="minorHAnsi" w:cstheme="minorHAnsi"/>
          <w:noProof/>
          <w:color w:val="000000" w:themeColor="text1"/>
          <w:u w:val="none"/>
        </w:rPr>
      </w:pPr>
      <w:hyperlink w:anchor="_Toc122614791" w:history="1">
        <w:r w:rsidR="00317CBD" w:rsidRPr="00EF00A2">
          <w:rPr>
            <w:rStyle w:val="Hyperlink"/>
            <w:rFonts w:asciiTheme="minorHAnsi" w:hAnsiTheme="minorHAnsi" w:cstheme="minorHAnsi"/>
            <w:noProof/>
            <w:color w:val="000000" w:themeColor="text1"/>
            <w:u w:val="none"/>
          </w:rPr>
          <w:t>Timing</w:t>
        </w:r>
        <w:r w:rsidR="00317CBD" w:rsidRPr="00EF00A2">
          <w:rPr>
            <w:rStyle w:val="Hyperlink"/>
            <w:rFonts w:asciiTheme="minorHAnsi" w:hAnsiTheme="minorHAnsi" w:cstheme="minorHAnsi"/>
            <w:noProof/>
            <w:webHidden/>
            <w:color w:val="000000" w:themeColor="text1"/>
            <w:u w:val="none"/>
          </w:rPr>
          <w:tab/>
        </w:r>
        <w:r w:rsidR="00317CBD" w:rsidRPr="00EF00A2">
          <w:rPr>
            <w:rStyle w:val="Hyperlink"/>
            <w:rFonts w:asciiTheme="minorHAnsi" w:hAnsiTheme="minorHAnsi" w:cstheme="minorHAnsi"/>
            <w:noProof/>
            <w:webHidden/>
            <w:color w:val="000000" w:themeColor="text1"/>
            <w:u w:val="none"/>
          </w:rPr>
          <w:fldChar w:fldCharType="begin"/>
        </w:r>
        <w:r w:rsidR="00317CBD" w:rsidRPr="00EF00A2">
          <w:rPr>
            <w:rStyle w:val="Hyperlink"/>
            <w:rFonts w:asciiTheme="minorHAnsi" w:hAnsiTheme="minorHAnsi" w:cstheme="minorHAnsi"/>
            <w:noProof/>
            <w:webHidden/>
            <w:color w:val="000000" w:themeColor="text1"/>
            <w:u w:val="none"/>
          </w:rPr>
          <w:instrText xml:space="preserve"> PAGEREF _Toc122614791 \h </w:instrText>
        </w:r>
        <w:r w:rsidR="00317CBD" w:rsidRPr="00EF00A2">
          <w:rPr>
            <w:rStyle w:val="Hyperlink"/>
            <w:rFonts w:asciiTheme="minorHAnsi" w:hAnsiTheme="minorHAnsi" w:cstheme="minorHAnsi"/>
            <w:noProof/>
            <w:webHidden/>
            <w:color w:val="000000" w:themeColor="text1"/>
            <w:u w:val="none"/>
          </w:rPr>
        </w:r>
        <w:r w:rsidR="00317CBD" w:rsidRPr="00EF00A2">
          <w:rPr>
            <w:rStyle w:val="Hyperlink"/>
            <w:rFonts w:asciiTheme="minorHAnsi" w:hAnsiTheme="minorHAnsi" w:cstheme="minorHAnsi"/>
            <w:noProof/>
            <w:webHidden/>
            <w:color w:val="000000" w:themeColor="text1"/>
            <w:u w:val="none"/>
          </w:rPr>
          <w:fldChar w:fldCharType="separate"/>
        </w:r>
        <w:r w:rsidR="001F4A12">
          <w:rPr>
            <w:rStyle w:val="Hyperlink"/>
            <w:rFonts w:asciiTheme="minorHAnsi" w:hAnsiTheme="minorHAnsi" w:cstheme="minorHAnsi"/>
            <w:noProof/>
            <w:webHidden/>
            <w:color w:val="000000" w:themeColor="text1"/>
            <w:u w:val="none"/>
          </w:rPr>
          <w:t>9</w:t>
        </w:r>
        <w:r w:rsidR="00317CBD" w:rsidRPr="00EF00A2">
          <w:rPr>
            <w:rStyle w:val="Hyperlink"/>
            <w:rFonts w:asciiTheme="minorHAnsi" w:hAnsiTheme="minorHAnsi" w:cstheme="minorHAnsi"/>
            <w:noProof/>
            <w:webHidden/>
            <w:color w:val="000000" w:themeColor="text1"/>
            <w:u w:val="none"/>
          </w:rPr>
          <w:fldChar w:fldCharType="end"/>
        </w:r>
      </w:hyperlink>
    </w:p>
    <w:p w14:paraId="34BB1B9F" w14:textId="4E4DFFE5" w:rsidR="00317CBD" w:rsidRPr="00EF00A2" w:rsidRDefault="00F06057" w:rsidP="00EF00A2">
      <w:pPr>
        <w:pStyle w:val="TOC1"/>
        <w:rPr>
          <w:rStyle w:val="Hyperlink"/>
          <w:rFonts w:asciiTheme="minorHAnsi" w:hAnsiTheme="minorHAnsi" w:cstheme="minorHAnsi"/>
          <w:noProof/>
          <w:color w:val="000000" w:themeColor="text1"/>
          <w:u w:val="none"/>
        </w:rPr>
      </w:pPr>
      <w:hyperlink w:anchor="_Toc122614792" w:history="1">
        <w:r w:rsidR="00317CBD" w:rsidRPr="00EF00A2">
          <w:rPr>
            <w:rStyle w:val="Hyperlink"/>
            <w:rFonts w:asciiTheme="minorHAnsi" w:hAnsiTheme="minorHAnsi" w:cstheme="minorHAnsi"/>
            <w:noProof/>
            <w:color w:val="000000" w:themeColor="text1"/>
            <w:u w:val="none"/>
          </w:rPr>
          <w:t>6.</w:t>
        </w:r>
        <w:r w:rsidR="00317CBD" w:rsidRPr="00EF00A2">
          <w:rPr>
            <w:rStyle w:val="Hyperlink"/>
            <w:rFonts w:asciiTheme="minorHAnsi" w:hAnsiTheme="minorHAnsi" w:cstheme="minorHAnsi"/>
            <w:noProof/>
            <w:color w:val="000000" w:themeColor="text1"/>
            <w:u w:val="none"/>
          </w:rPr>
          <w:tab/>
          <w:t>Variation of an application for a declaration of identified GHG storage formation</w:t>
        </w:r>
        <w:r w:rsidR="00317CBD" w:rsidRPr="00EF00A2">
          <w:rPr>
            <w:rStyle w:val="Hyperlink"/>
            <w:rFonts w:asciiTheme="minorHAnsi" w:hAnsiTheme="minorHAnsi" w:cstheme="minorHAnsi"/>
            <w:noProof/>
            <w:webHidden/>
            <w:color w:val="000000" w:themeColor="text1"/>
            <w:u w:val="none"/>
          </w:rPr>
          <w:tab/>
        </w:r>
        <w:r w:rsidR="00317CBD" w:rsidRPr="00EF00A2">
          <w:rPr>
            <w:rStyle w:val="Hyperlink"/>
            <w:rFonts w:asciiTheme="minorHAnsi" w:hAnsiTheme="minorHAnsi" w:cstheme="minorHAnsi"/>
            <w:noProof/>
            <w:webHidden/>
            <w:color w:val="000000" w:themeColor="text1"/>
            <w:u w:val="none"/>
          </w:rPr>
          <w:fldChar w:fldCharType="begin"/>
        </w:r>
        <w:r w:rsidR="00317CBD" w:rsidRPr="00EF00A2">
          <w:rPr>
            <w:rStyle w:val="Hyperlink"/>
            <w:rFonts w:asciiTheme="minorHAnsi" w:hAnsiTheme="minorHAnsi" w:cstheme="minorHAnsi"/>
            <w:noProof/>
            <w:webHidden/>
            <w:color w:val="000000" w:themeColor="text1"/>
            <w:u w:val="none"/>
          </w:rPr>
          <w:instrText xml:space="preserve"> PAGEREF _Toc122614792 \h </w:instrText>
        </w:r>
        <w:r w:rsidR="00317CBD" w:rsidRPr="00EF00A2">
          <w:rPr>
            <w:rStyle w:val="Hyperlink"/>
            <w:rFonts w:asciiTheme="minorHAnsi" w:hAnsiTheme="minorHAnsi" w:cstheme="minorHAnsi"/>
            <w:noProof/>
            <w:webHidden/>
            <w:color w:val="000000" w:themeColor="text1"/>
            <w:u w:val="none"/>
          </w:rPr>
        </w:r>
        <w:r w:rsidR="00317CBD" w:rsidRPr="00EF00A2">
          <w:rPr>
            <w:rStyle w:val="Hyperlink"/>
            <w:rFonts w:asciiTheme="minorHAnsi" w:hAnsiTheme="minorHAnsi" w:cstheme="minorHAnsi"/>
            <w:noProof/>
            <w:webHidden/>
            <w:color w:val="000000" w:themeColor="text1"/>
            <w:u w:val="none"/>
          </w:rPr>
          <w:fldChar w:fldCharType="separate"/>
        </w:r>
        <w:r w:rsidR="001F4A12">
          <w:rPr>
            <w:rStyle w:val="Hyperlink"/>
            <w:rFonts w:asciiTheme="minorHAnsi" w:hAnsiTheme="minorHAnsi" w:cstheme="minorHAnsi"/>
            <w:noProof/>
            <w:webHidden/>
            <w:color w:val="000000" w:themeColor="text1"/>
            <w:u w:val="none"/>
          </w:rPr>
          <w:t>9</w:t>
        </w:r>
        <w:r w:rsidR="00317CBD" w:rsidRPr="00EF00A2">
          <w:rPr>
            <w:rStyle w:val="Hyperlink"/>
            <w:rFonts w:asciiTheme="minorHAnsi" w:hAnsiTheme="minorHAnsi" w:cstheme="minorHAnsi"/>
            <w:noProof/>
            <w:webHidden/>
            <w:color w:val="000000" w:themeColor="text1"/>
            <w:u w:val="none"/>
          </w:rPr>
          <w:fldChar w:fldCharType="end"/>
        </w:r>
      </w:hyperlink>
    </w:p>
    <w:p w14:paraId="091F62AE" w14:textId="6F42C439" w:rsidR="00317CBD" w:rsidRPr="00EF00A2" w:rsidRDefault="00F06057" w:rsidP="00EF00A2">
      <w:pPr>
        <w:pStyle w:val="TOC1"/>
        <w:rPr>
          <w:rStyle w:val="Hyperlink"/>
          <w:rFonts w:asciiTheme="minorHAnsi" w:hAnsiTheme="minorHAnsi" w:cstheme="minorHAnsi"/>
          <w:noProof/>
          <w:color w:val="000000" w:themeColor="text1"/>
          <w:u w:val="none"/>
        </w:rPr>
      </w:pPr>
      <w:hyperlink w:anchor="_Toc122614793" w:history="1">
        <w:r w:rsidR="00317CBD" w:rsidRPr="00EF00A2">
          <w:rPr>
            <w:rStyle w:val="Hyperlink"/>
            <w:rFonts w:asciiTheme="minorHAnsi" w:hAnsiTheme="minorHAnsi" w:cstheme="minorHAnsi"/>
            <w:noProof/>
            <w:color w:val="000000" w:themeColor="text1"/>
            <w:u w:val="none"/>
          </w:rPr>
          <w:t>7.</w:t>
        </w:r>
        <w:r w:rsidR="00317CBD" w:rsidRPr="00EF00A2">
          <w:rPr>
            <w:rStyle w:val="Hyperlink"/>
            <w:rFonts w:asciiTheme="minorHAnsi" w:hAnsiTheme="minorHAnsi" w:cstheme="minorHAnsi"/>
            <w:noProof/>
            <w:color w:val="000000" w:themeColor="text1"/>
            <w:u w:val="none"/>
          </w:rPr>
          <w:tab/>
          <w:t>Variation of a declaration of identified GHG storage formation</w:t>
        </w:r>
        <w:r w:rsidR="00317CBD" w:rsidRPr="00EF00A2">
          <w:rPr>
            <w:rStyle w:val="Hyperlink"/>
            <w:rFonts w:asciiTheme="minorHAnsi" w:hAnsiTheme="minorHAnsi" w:cstheme="minorHAnsi"/>
            <w:noProof/>
            <w:webHidden/>
            <w:color w:val="000000" w:themeColor="text1"/>
            <w:u w:val="none"/>
          </w:rPr>
          <w:tab/>
        </w:r>
        <w:r w:rsidR="00317CBD" w:rsidRPr="00EF00A2">
          <w:rPr>
            <w:rStyle w:val="Hyperlink"/>
            <w:rFonts w:asciiTheme="minorHAnsi" w:hAnsiTheme="minorHAnsi" w:cstheme="minorHAnsi"/>
            <w:noProof/>
            <w:webHidden/>
            <w:color w:val="000000" w:themeColor="text1"/>
            <w:u w:val="none"/>
          </w:rPr>
          <w:fldChar w:fldCharType="begin"/>
        </w:r>
        <w:r w:rsidR="00317CBD" w:rsidRPr="00EF00A2">
          <w:rPr>
            <w:rStyle w:val="Hyperlink"/>
            <w:rFonts w:asciiTheme="minorHAnsi" w:hAnsiTheme="minorHAnsi" w:cstheme="minorHAnsi"/>
            <w:noProof/>
            <w:webHidden/>
            <w:color w:val="000000" w:themeColor="text1"/>
            <w:u w:val="none"/>
          </w:rPr>
          <w:instrText xml:space="preserve"> PAGEREF _Toc122614793 \h </w:instrText>
        </w:r>
        <w:r w:rsidR="00317CBD" w:rsidRPr="00EF00A2">
          <w:rPr>
            <w:rStyle w:val="Hyperlink"/>
            <w:rFonts w:asciiTheme="minorHAnsi" w:hAnsiTheme="minorHAnsi" w:cstheme="minorHAnsi"/>
            <w:noProof/>
            <w:webHidden/>
            <w:color w:val="000000" w:themeColor="text1"/>
            <w:u w:val="none"/>
          </w:rPr>
        </w:r>
        <w:r w:rsidR="00317CBD" w:rsidRPr="00EF00A2">
          <w:rPr>
            <w:rStyle w:val="Hyperlink"/>
            <w:rFonts w:asciiTheme="minorHAnsi" w:hAnsiTheme="minorHAnsi" w:cstheme="minorHAnsi"/>
            <w:noProof/>
            <w:webHidden/>
            <w:color w:val="000000" w:themeColor="text1"/>
            <w:u w:val="none"/>
          </w:rPr>
          <w:fldChar w:fldCharType="separate"/>
        </w:r>
        <w:r w:rsidR="001F4A12">
          <w:rPr>
            <w:rStyle w:val="Hyperlink"/>
            <w:rFonts w:asciiTheme="minorHAnsi" w:hAnsiTheme="minorHAnsi" w:cstheme="minorHAnsi"/>
            <w:noProof/>
            <w:webHidden/>
            <w:color w:val="000000" w:themeColor="text1"/>
            <w:u w:val="none"/>
          </w:rPr>
          <w:t>9</w:t>
        </w:r>
        <w:r w:rsidR="00317CBD" w:rsidRPr="00EF00A2">
          <w:rPr>
            <w:rStyle w:val="Hyperlink"/>
            <w:rFonts w:asciiTheme="minorHAnsi" w:hAnsiTheme="minorHAnsi" w:cstheme="minorHAnsi"/>
            <w:noProof/>
            <w:webHidden/>
            <w:color w:val="000000" w:themeColor="text1"/>
            <w:u w:val="none"/>
          </w:rPr>
          <w:fldChar w:fldCharType="end"/>
        </w:r>
      </w:hyperlink>
    </w:p>
    <w:p w14:paraId="14195E5E" w14:textId="6AFDAAC0" w:rsidR="00317CBD" w:rsidRPr="00EF00A2" w:rsidRDefault="00F06057" w:rsidP="00EF00A2">
      <w:pPr>
        <w:pStyle w:val="TOC1"/>
        <w:rPr>
          <w:rStyle w:val="Hyperlink"/>
          <w:rFonts w:asciiTheme="minorHAnsi" w:hAnsiTheme="minorHAnsi" w:cstheme="minorHAnsi"/>
          <w:noProof/>
          <w:color w:val="000000" w:themeColor="text1"/>
          <w:u w:val="none"/>
        </w:rPr>
      </w:pPr>
      <w:hyperlink w:anchor="_Toc122614794" w:history="1">
        <w:r w:rsidR="00317CBD" w:rsidRPr="00EF00A2">
          <w:rPr>
            <w:rStyle w:val="Hyperlink"/>
            <w:rFonts w:asciiTheme="minorHAnsi" w:hAnsiTheme="minorHAnsi" w:cstheme="minorHAnsi"/>
            <w:noProof/>
            <w:color w:val="000000" w:themeColor="text1"/>
            <w:u w:val="none"/>
          </w:rPr>
          <w:t>8.</w:t>
        </w:r>
        <w:r w:rsidR="00317CBD" w:rsidRPr="00EF00A2">
          <w:rPr>
            <w:rStyle w:val="Hyperlink"/>
            <w:rFonts w:asciiTheme="minorHAnsi" w:hAnsiTheme="minorHAnsi" w:cstheme="minorHAnsi"/>
            <w:noProof/>
            <w:color w:val="000000" w:themeColor="text1"/>
            <w:u w:val="none"/>
          </w:rPr>
          <w:tab/>
          <w:t>Revocation of declaration of identified GHG storage formation</w:t>
        </w:r>
        <w:r w:rsidR="00317CBD" w:rsidRPr="00EF00A2">
          <w:rPr>
            <w:rStyle w:val="Hyperlink"/>
            <w:rFonts w:asciiTheme="minorHAnsi" w:hAnsiTheme="minorHAnsi" w:cstheme="minorHAnsi"/>
            <w:noProof/>
            <w:webHidden/>
            <w:color w:val="000000" w:themeColor="text1"/>
            <w:u w:val="none"/>
          </w:rPr>
          <w:tab/>
        </w:r>
        <w:r w:rsidR="00317CBD" w:rsidRPr="00EF00A2">
          <w:rPr>
            <w:rStyle w:val="Hyperlink"/>
            <w:rFonts w:asciiTheme="minorHAnsi" w:hAnsiTheme="minorHAnsi" w:cstheme="minorHAnsi"/>
            <w:noProof/>
            <w:webHidden/>
            <w:color w:val="000000" w:themeColor="text1"/>
            <w:u w:val="none"/>
          </w:rPr>
          <w:fldChar w:fldCharType="begin"/>
        </w:r>
        <w:r w:rsidR="00317CBD" w:rsidRPr="00EF00A2">
          <w:rPr>
            <w:rStyle w:val="Hyperlink"/>
            <w:rFonts w:asciiTheme="minorHAnsi" w:hAnsiTheme="minorHAnsi" w:cstheme="minorHAnsi"/>
            <w:noProof/>
            <w:webHidden/>
            <w:color w:val="000000" w:themeColor="text1"/>
            <w:u w:val="none"/>
          </w:rPr>
          <w:instrText xml:space="preserve"> PAGEREF _Toc122614794 \h </w:instrText>
        </w:r>
        <w:r w:rsidR="00317CBD" w:rsidRPr="00EF00A2">
          <w:rPr>
            <w:rStyle w:val="Hyperlink"/>
            <w:rFonts w:asciiTheme="minorHAnsi" w:hAnsiTheme="minorHAnsi" w:cstheme="minorHAnsi"/>
            <w:noProof/>
            <w:webHidden/>
            <w:color w:val="000000" w:themeColor="text1"/>
            <w:u w:val="none"/>
          </w:rPr>
        </w:r>
        <w:r w:rsidR="00317CBD" w:rsidRPr="00EF00A2">
          <w:rPr>
            <w:rStyle w:val="Hyperlink"/>
            <w:rFonts w:asciiTheme="minorHAnsi" w:hAnsiTheme="minorHAnsi" w:cstheme="minorHAnsi"/>
            <w:noProof/>
            <w:webHidden/>
            <w:color w:val="000000" w:themeColor="text1"/>
            <w:u w:val="none"/>
          </w:rPr>
          <w:fldChar w:fldCharType="separate"/>
        </w:r>
        <w:r w:rsidR="001F4A12">
          <w:rPr>
            <w:rStyle w:val="Hyperlink"/>
            <w:rFonts w:asciiTheme="minorHAnsi" w:hAnsiTheme="minorHAnsi" w:cstheme="minorHAnsi"/>
            <w:noProof/>
            <w:webHidden/>
            <w:color w:val="000000" w:themeColor="text1"/>
            <w:u w:val="none"/>
          </w:rPr>
          <w:t>10</w:t>
        </w:r>
        <w:r w:rsidR="00317CBD" w:rsidRPr="00EF00A2">
          <w:rPr>
            <w:rStyle w:val="Hyperlink"/>
            <w:rFonts w:asciiTheme="minorHAnsi" w:hAnsiTheme="minorHAnsi" w:cstheme="minorHAnsi"/>
            <w:noProof/>
            <w:webHidden/>
            <w:color w:val="000000" w:themeColor="text1"/>
            <w:u w:val="none"/>
          </w:rPr>
          <w:fldChar w:fldCharType="end"/>
        </w:r>
      </w:hyperlink>
    </w:p>
    <w:p w14:paraId="2C45F59F" w14:textId="3D0C9F65" w:rsidR="00317CBD" w:rsidRPr="00EF00A2" w:rsidRDefault="00F06057" w:rsidP="00EF00A2">
      <w:pPr>
        <w:pStyle w:val="TOC1"/>
        <w:rPr>
          <w:rStyle w:val="Hyperlink"/>
          <w:rFonts w:asciiTheme="minorHAnsi" w:hAnsiTheme="minorHAnsi" w:cstheme="minorHAnsi"/>
          <w:noProof/>
          <w:color w:val="000000" w:themeColor="text1"/>
          <w:u w:val="none"/>
        </w:rPr>
      </w:pPr>
      <w:hyperlink w:anchor="_Toc122614795" w:history="1">
        <w:r w:rsidR="00317CBD" w:rsidRPr="00EF00A2">
          <w:rPr>
            <w:rStyle w:val="Hyperlink"/>
            <w:rFonts w:asciiTheme="minorHAnsi" w:hAnsiTheme="minorHAnsi" w:cstheme="minorHAnsi"/>
            <w:noProof/>
            <w:color w:val="000000" w:themeColor="text1"/>
            <w:u w:val="none"/>
          </w:rPr>
          <w:t>9.</w:t>
        </w:r>
        <w:r w:rsidR="00317CBD" w:rsidRPr="00EF00A2">
          <w:rPr>
            <w:rStyle w:val="Hyperlink"/>
            <w:rFonts w:asciiTheme="minorHAnsi" w:hAnsiTheme="minorHAnsi" w:cstheme="minorHAnsi"/>
            <w:noProof/>
            <w:color w:val="000000" w:themeColor="text1"/>
            <w:u w:val="none"/>
          </w:rPr>
          <w:tab/>
          <w:t>Other matters</w:t>
        </w:r>
        <w:r w:rsidR="00317CBD" w:rsidRPr="00EF00A2">
          <w:rPr>
            <w:rStyle w:val="Hyperlink"/>
            <w:rFonts w:asciiTheme="minorHAnsi" w:hAnsiTheme="minorHAnsi" w:cstheme="minorHAnsi"/>
            <w:noProof/>
            <w:webHidden/>
            <w:color w:val="000000" w:themeColor="text1"/>
            <w:u w:val="none"/>
          </w:rPr>
          <w:tab/>
        </w:r>
        <w:r w:rsidR="00317CBD" w:rsidRPr="00EF00A2">
          <w:rPr>
            <w:rStyle w:val="Hyperlink"/>
            <w:rFonts w:asciiTheme="minorHAnsi" w:hAnsiTheme="minorHAnsi" w:cstheme="minorHAnsi"/>
            <w:noProof/>
            <w:webHidden/>
            <w:color w:val="000000" w:themeColor="text1"/>
            <w:u w:val="none"/>
          </w:rPr>
          <w:fldChar w:fldCharType="begin"/>
        </w:r>
        <w:r w:rsidR="00317CBD" w:rsidRPr="00EF00A2">
          <w:rPr>
            <w:rStyle w:val="Hyperlink"/>
            <w:rFonts w:asciiTheme="minorHAnsi" w:hAnsiTheme="minorHAnsi" w:cstheme="minorHAnsi"/>
            <w:noProof/>
            <w:webHidden/>
            <w:color w:val="000000" w:themeColor="text1"/>
            <w:u w:val="none"/>
          </w:rPr>
          <w:instrText xml:space="preserve"> PAGEREF _Toc122614795 \h </w:instrText>
        </w:r>
        <w:r w:rsidR="00317CBD" w:rsidRPr="00EF00A2">
          <w:rPr>
            <w:rStyle w:val="Hyperlink"/>
            <w:rFonts w:asciiTheme="minorHAnsi" w:hAnsiTheme="minorHAnsi" w:cstheme="minorHAnsi"/>
            <w:noProof/>
            <w:webHidden/>
            <w:color w:val="000000" w:themeColor="text1"/>
            <w:u w:val="none"/>
          </w:rPr>
        </w:r>
        <w:r w:rsidR="00317CBD" w:rsidRPr="00EF00A2">
          <w:rPr>
            <w:rStyle w:val="Hyperlink"/>
            <w:rFonts w:asciiTheme="minorHAnsi" w:hAnsiTheme="minorHAnsi" w:cstheme="minorHAnsi"/>
            <w:noProof/>
            <w:webHidden/>
            <w:color w:val="000000" w:themeColor="text1"/>
            <w:u w:val="none"/>
          </w:rPr>
          <w:fldChar w:fldCharType="separate"/>
        </w:r>
        <w:r w:rsidR="001F4A12">
          <w:rPr>
            <w:rStyle w:val="Hyperlink"/>
            <w:rFonts w:asciiTheme="minorHAnsi" w:hAnsiTheme="minorHAnsi" w:cstheme="minorHAnsi"/>
            <w:noProof/>
            <w:webHidden/>
            <w:color w:val="000000" w:themeColor="text1"/>
            <w:u w:val="none"/>
          </w:rPr>
          <w:t>10</w:t>
        </w:r>
        <w:r w:rsidR="00317CBD" w:rsidRPr="00EF00A2">
          <w:rPr>
            <w:rStyle w:val="Hyperlink"/>
            <w:rFonts w:asciiTheme="minorHAnsi" w:hAnsiTheme="minorHAnsi" w:cstheme="minorHAnsi"/>
            <w:noProof/>
            <w:webHidden/>
            <w:color w:val="000000" w:themeColor="text1"/>
            <w:u w:val="none"/>
          </w:rPr>
          <w:fldChar w:fldCharType="end"/>
        </w:r>
      </w:hyperlink>
    </w:p>
    <w:p w14:paraId="12EC9474" w14:textId="58494E61" w:rsidR="00317CBD" w:rsidRPr="00EF00A2" w:rsidRDefault="00F06057" w:rsidP="00EF00A2">
      <w:pPr>
        <w:pStyle w:val="TOC1"/>
        <w:rPr>
          <w:rStyle w:val="Hyperlink"/>
          <w:rFonts w:asciiTheme="minorHAnsi" w:hAnsiTheme="minorHAnsi" w:cstheme="minorHAnsi"/>
          <w:noProof/>
          <w:color w:val="000000" w:themeColor="text1"/>
          <w:u w:val="none"/>
        </w:rPr>
      </w:pPr>
      <w:hyperlink w:anchor="_Toc122614796" w:history="1">
        <w:r w:rsidR="00317CBD" w:rsidRPr="00EF00A2">
          <w:rPr>
            <w:rStyle w:val="Hyperlink"/>
            <w:rFonts w:asciiTheme="minorHAnsi" w:hAnsiTheme="minorHAnsi" w:cstheme="minorHAnsi"/>
            <w:noProof/>
            <w:color w:val="000000" w:themeColor="text1"/>
            <w:u w:val="none"/>
          </w:rPr>
          <w:t>Appendix A</w:t>
        </w:r>
        <w:r w:rsidR="00317CBD" w:rsidRPr="00EF00A2">
          <w:rPr>
            <w:rStyle w:val="Hyperlink"/>
            <w:rFonts w:asciiTheme="minorHAnsi" w:hAnsiTheme="minorHAnsi" w:cstheme="minorHAnsi"/>
            <w:noProof/>
            <w:webHidden/>
            <w:color w:val="000000" w:themeColor="text1"/>
            <w:u w:val="none"/>
          </w:rPr>
          <w:tab/>
        </w:r>
        <w:r w:rsidR="00317CBD" w:rsidRPr="00EF00A2">
          <w:rPr>
            <w:rStyle w:val="Hyperlink"/>
            <w:rFonts w:asciiTheme="minorHAnsi" w:hAnsiTheme="minorHAnsi" w:cstheme="minorHAnsi"/>
            <w:noProof/>
            <w:webHidden/>
            <w:color w:val="000000" w:themeColor="text1"/>
            <w:u w:val="none"/>
          </w:rPr>
          <w:fldChar w:fldCharType="begin"/>
        </w:r>
        <w:r w:rsidR="00317CBD" w:rsidRPr="00EF00A2">
          <w:rPr>
            <w:rStyle w:val="Hyperlink"/>
            <w:rFonts w:asciiTheme="minorHAnsi" w:hAnsiTheme="minorHAnsi" w:cstheme="minorHAnsi"/>
            <w:noProof/>
            <w:webHidden/>
            <w:color w:val="000000" w:themeColor="text1"/>
            <w:u w:val="none"/>
          </w:rPr>
          <w:instrText xml:space="preserve"> PAGEREF _Toc122614796 \h </w:instrText>
        </w:r>
        <w:r w:rsidR="00317CBD" w:rsidRPr="00EF00A2">
          <w:rPr>
            <w:rStyle w:val="Hyperlink"/>
            <w:rFonts w:asciiTheme="minorHAnsi" w:hAnsiTheme="minorHAnsi" w:cstheme="minorHAnsi"/>
            <w:noProof/>
            <w:webHidden/>
            <w:color w:val="000000" w:themeColor="text1"/>
            <w:u w:val="none"/>
          </w:rPr>
        </w:r>
        <w:r w:rsidR="00317CBD" w:rsidRPr="00EF00A2">
          <w:rPr>
            <w:rStyle w:val="Hyperlink"/>
            <w:rFonts w:asciiTheme="minorHAnsi" w:hAnsiTheme="minorHAnsi" w:cstheme="minorHAnsi"/>
            <w:noProof/>
            <w:webHidden/>
            <w:color w:val="000000" w:themeColor="text1"/>
            <w:u w:val="none"/>
          </w:rPr>
          <w:fldChar w:fldCharType="separate"/>
        </w:r>
        <w:r w:rsidR="001F4A12">
          <w:rPr>
            <w:rStyle w:val="Hyperlink"/>
            <w:rFonts w:asciiTheme="minorHAnsi" w:hAnsiTheme="minorHAnsi" w:cstheme="minorHAnsi"/>
            <w:noProof/>
            <w:webHidden/>
            <w:color w:val="000000" w:themeColor="text1"/>
            <w:u w:val="none"/>
          </w:rPr>
          <w:t>11</w:t>
        </w:r>
        <w:r w:rsidR="00317CBD" w:rsidRPr="00EF00A2">
          <w:rPr>
            <w:rStyle w:val="Hyperlink"/>
            <w:rFonts w:asciiTheme="minorHAnsi" w:hAnsiTheme="minorHAnsi" w:cstheme="minorHAnsi"/>
            <w:noProof/>
            <w:webHidden/>
            <w:color w:val="000000" w:themeColor="text1"/>
            <w:u w:val="none"/>
          </w:rPr>
          <w:fldChar w:fldCharType="end"/>
        </w:r>
      </w:hyperlink>
    </w:p>
    <w:p w14:paraId="5F78F9F2" w14:textId="45943915" w:rsidR="00317CBD" w:rsidRPr="00EF00A2" w:rsidRDefault="00F06057" w:rsidP="00EF00A2">
      <w:pPr>
        <w:pStyle w:val="TOC1"/>
        <w:rPr>
          <w:rStyle w:val="Hyperlink"/>
          <w:rFonts w:asciiTheme="minorHAnsi" w:hAnsiTheme="minorHAnsi" w:cstheme="minorHAnsi"/>
          <w:noProof/>
          <w:color w:val="000000" w:themeColor="text1"/>
          <w:u w:val="none"/>
        </w:rPr>
      </w:pPr>
      <w:hyperlink w:anchor="_Toc122614798" w:history="1">
        <w:r w:rsidR="00317CBD" w:rsidRPr="00EF00A2">
          <w:rPr>
            <w:rStyle w:val="Hyperlink"/>
            <w:rFonts w:asciiTheme="minorHAnsi" w:hAnsiTheme="minorHAnsi" w:cstheme="minorHAnsi"/>
            <w:noProof/>
            <w:color w:val="000000" w:themeColor="text1"/>
            <w:u w:val="none"/>
          </w:rPr>
          <w:t>Appendix B</w:t>
        </w:r>
        <w:r w:rsidR="00317CBD" w:rsidRPr="00EF00A2">
          <w:rPr>
            <w:rStyle w:val="Hyperlink"/>
            <w:rFonts w:asciiTheme="minorHAnsi" w:hAnsiTheme="minorHAnsi" w:cstheme="minorHAnsi"/>
            <w:noProof/>
            <w:webHidden/>
            <w:color w:val="000000" w:themeColor="text1"/>
            <w:u w:val="none"/>
          </w:rPr>
          <w:tab/>
        </w:r>
        <w:r w:rsidR="00317CBD" w:rsidRPr="00EF00A2">
          <w:rPr>
            <w:rStyle w:val="Hyperlink"/>
            <w:rFonts w:asciiTheme="minorHAnsi" w:hAnsiTheme="minorHAnsi" w:cstheme="minorHAnsi"/>
            <w:noProof/>
            <w:webHidden/>
            <w:color w:val="000000" w:themeColor="text1"/>
            <w:u w:val="none"/>
          </w:rPr>
          <w:fldChar w:fldCharType="begin"/>
        </w:r>
        <w:r w:rsidR="00317CBD" w:rsidRPr="00EF00A2">
          <w:rPr>
            <w:rStyle w:val="Hyperlink"/>
            <w:rFonts w:asciiTheme="minorHAnsi" w:hAnsiTheme="minorHAnsi" w:cstheme="minorHAnsi"/>
            <w:noProof/>
            <w:webHidden/>
            <w:color w:val="000000" w:themeColor="text1"/>
            <w:u w:val="none"/>
          </w:rPr>
          <w:instrText xml:space="preserve"> PAGEREF _Toc122614798 \h </w:instrText>
        </w:r>
        <w:r w:rsidR="00317CBD" w:rsidRPr="00EF00A2">
          <w:rPr>
            <w:rStyle w:val="Hyperlink"/>
            <w:rFonts w:asciiTheme="minorHAnsi" w:hAnsiTheme="minorHAnsi" w:cstheme="minorHAnsi"/>
            <w:noProof/>
            <w:webHidden/>
            <w:color w:val="000000" w:themeColor="text1"/>
            <w:u w:val="none"/>
          </w:rPr>
        </w:r>
        <w:r w:rsidR="00317CBD" w:rsidRPr="00EF00A2">
          <w:rPr>
            <w:rStyle w:val="Hyperlink"/>
            <w:rFonts w:asciiTheme="minorHAnsi" w:hAnsiTheme="minorHAnsi" w:cstheme="minorHAnsi"/>
            <w:noProof/>
            <w:webHidden/>
            <w:color w:val="000000" w:themeColor="text1"/>
            <w:u w:val="none"/>
          </w:rPr>
          <w:fldChar w:fldCharType="separate"/>
        </w:r>
        <w:r w:rsidR="001F4A12">
          <w:rPr>
            <w:rStyle w:val="Hyperlink"/>
            <w:rFonts w:asciiTheme="minorHAnsi" w:hAnsiTheme="minorHAnsi" w:cstheme="minorHAnsi"/>
            <w:noProof/>
            <w:webHidden/>
            <w:color w:val="000000" w:themeColor="text1"/>
            <w:u w:val="none"/>
          </w:rPr>
          <w:t>12</w:t>
        </w:r>
        <w:r w:rsidR="00317CBD" w:rsidRPr="00EF00A2">
          <w:rPr>
            <w:rStyle w:val="Hyperlink"/>
            <w:rFonts w:asciiTheme="minorHAnsi" w:hAnsiTheme="minorHAnsi" w:cstheme="minorHAnsi"/>
            <w:noProof/>
            <w:webHidden/>
            <w:color w:val="000000" w:themeColor="text1"/>
            <w:u w:val="none"/>
          </w:rPr>
          <w:fldChar w:fldCharType="end"/>
        </w:r>
      </w:hyperlink>
    </w:p>
    <w:p w14:paraId="54171CE6" w14:textId="3C08CF2F" w:rsidR="00D80930" w:rsidRPr="00EF00A2" w:rsidRDefault="00C046B9" w:rsidP="00EF00A2">
      <w:pPr>
        <w:pStyle w:val="Level2"/>
        <w:numPr>
          <w:ilvl w:val="0"/>
          <w:numId w:val="0"/>
        </w:numPr>
        <w:rPr>
          <w:b/>
          <w:bCs/>
        </w:rPr>
      </w:pPr>
      <w:r w:rsidRPr="00EF00A2">
        <w:rPr>
          <w:rStyle w:val="Hyperlink"/>
          <w:noProof/>
          <w:color w:val="000000" w:themeColor="text1"/>
          <w:u w:val="none"/>
        </w:rPr>
        <w:fldChar w:fldCharType="end"/>
      </w:r>
      <w:r w:rsidR="00D80930" w:rsidRPr="00EF00A2">
        <w:rPr>
          <w:b/>
          <w:bCs/>
        </w:rPr>
        <w:br w:type="page"/>
      </w:r>
    </w:p>
    <w:p w14:paraId="250956BB" w14:textId="0EB4B354" w:rsidR="00FB292B" w:rsidRPr="003C596C" w:rsidRDefault="00A82A81" w:rsidP="003C596C">
      <w:pPr>
        <w:pStyle w:val="Heading1"/>
      </w:pPr>
      <w:bookmarkStart w:id="10" w:name="_Toc122614783"/>
      <w:r w:rsidRPr="003C596C">
        <w:lastRenderedPageBreak/>
        <w:t>Purpose</w:t>
      </w:r>
      <w:bookmarkEnd w:id="10"/>
    </w:p>
    <w:p w14:paraId="5A63E6C3" w14:textId="13DC58AD" w:rsidR="006B03DA" w:rsidRPr="0018182F" w:rsidRDefault="00D80930" w:rsidP="002921D7">
      <w:pPr>
        <w:pStyle w:val="Level2"/>
        <w:ind w:right="-113"/>
      </w:pPr>
      <w:r w:rsidRPr="00F1125C">
        <w:t xml:space="preserve">The </w:t>
      </w:r>
      <w:r w:rsidRPr="0018182F">
        <w:t>purpose</w:t>
      </w:r>
      <w:r w:rsidRPr="00F1125C">
        <w:t xml:space="preserve"> of this guideline is to </w:t>
      </w:r>
      <w:r w:rsidR="000748A6">
        <w:t>provide information on</w:t>
      </w:r>
      <w:r w:rsidRPr="00F1125C">
        <w:t xml:space="preserve"> applications for the declaration of </w:t>
      </w:r>
      <w:r>
        <w:t xml:space="preserve">identified </w:t>
      </w:r>
      <w:r w:rsidRPr="00F1125C">
        <w:t xml:space="preserve">greenhouse gas (GHG) storage formations and related matters under the </w:t>
      </w:r>
      <w:hyperlink r:id="rId17" w:history="1">
        <w:r w:rsidR="005A243B" w:rsidRPr="005A243B">
          <w:rPr>
            <w:rStyle w:val="Hyperlink"/>
            <w:i/>
            <w:iCs/>
          </w:rPr>
          <w:t>Offshore Petroleum and Greenhouse Gas Storage Act 2006</w:t>
        </w:r>
      </w:hyperlink>
      <w:r w:rsidRPr="00F1125C">
        <w:t xml:space="preserve"> </w:t>
      </w:r>
      <w:r w:rsidR="005A243B">
        <w:t xml:space="preserve">(the OPGGS Act) </w:t>
      </w:r>
      <w:r w:rsidRPr="00F1125C">
        <w:t xml:space="preserve">and the </w:t>
      </w:r>
      <w:hyperlink r:id="rId18" w:history="1">
        <w:r w:rsidR="005A243B" w:rsidRPr="005A243B">
          <w:rPr>
            <w:rStyle w:val="Hyperlink"/>
          </w:rPr>
          <w:t>Offshore Petroleum and Greenhouse Gas Storage (Greenhouse Gas Injection and Storage) Regulations 2023</w:t>
        </w:r>
      </w:hyperlink>
      <w:r w:rsidR="005A243B" w:rsidRPr="005A243B">
        <w:t xml:space="preserve"> (</w:t>
      </w:r>
      <w:r w:rsidR="005A243B">
        <w:t>the GHG Regulations)</w:t>
      </w:r>
    </w:p>
    <w:p w14:paraId="0550183C" w14:textId="3FCCEA7D" w:rsidR="000748A6" w:rsidRDefault="00D80930" w:rsidP="003C596C">
      <w:pPr>
        <w:pStyle w:val="Level2"/>
      </w:pPr>
      <w:r w:rsidRPr="00FB292B">
        <w:t xml:space="preserve">The declaration of an </w:t>
      </w:r>
      <w:r w:rsidRPr="00E334C0">
        <w:rPr>
          <w:i/>
          <w:iCs/>
        </w:rPr>
        <w:t>identified GHG storage formation</w:t>
      </w:r>
      <w:r w:rsidRPr="00FB292B">
        <w:t xml:space="preserve"> provides the mechanism for transition from</w:t>
      </w:r>
      <w:r w:rsidR="000748A6">
        <w:t>:</w:t>
      </w:r>
    </w:p>
    <w:p w14:paraId="6003C021" w14:textId="5972A8CA" w:rsidR="000748A6" w:rsidRDefault="00D80930" w:rsidP="003C596C">
      <w:pPr>
        <w:pStyle w:val="Level3"/>
      </w:pPr>
      <w:r w:rsidRPr="00FB292B">
        <w:t xml:space="preserve">a GHG </w:t>
      </w:r>
      <w:r w:rsidR="00DC14F9">
        <w:t>a</w:t>
      </w:r>
      <w:r w:rsidR="000748A6" w:rsidRPr="00FB292B">
        <w:t xml:space="preserve">ssessment </w:t>
      </w:r>
      <w:r w:rsidR="00DC14F9">
        <w:t>p</w:t>
      </w:r>
      <w:r w:rsidR="000748A6" w:rsidRPr="00FB292B">
        <w:t>ermit</w:t>
      </w:r>
      <w:r w:rsidR="00DC14F9">
        <w:t xml:space="preserve"> </w:t>
      </w:r>
      <w:r w:rsidRPr="00FB292B">
        <w:t>to a GHG holding lease or GHG injection licence</w:t>
      </w:r>
    </w:p>
    <w:p w14:paraId="06EF342A" w14:textId="36469E06" w:rsidR="00AE7059" w:rsidRDefault="00AE7059" w:rsidP="003C596C">
      <w:pPr>
        <w:pStyle w:val="Level3"/>
      </w:pPr>
      <w:r>
        <w:t>a cross-boundary GHG assessment permit to a cross-boundary GHG holding lease or cross</w:t>
      </w:r>
      <w:r w:rsidR="00915FBF">
        <w:noBreakHyphen/>
      </w:r>
      <w:r>
        <w:t>boundary GHG injection licence</w:t>
      </w:r>
    </w:p>
    <w:p w14:paraId="7169B9BD" w14:textId="22840FD4" w:rsidR="003E678C" w:rsidRDefault="000748A6" w:rsidP="003C596C">
      <w:pPr>
        <w:pStyle w:val="Level3"/>
      </w:pPr>
      <w:r>
        <w:t xml:space="preserve">a </w:t>
      </w:r>
      <w:r w:rsidR="00DC14F9">
        <w:t xml:space="preserve">petroleum retention lease </w:t>
      </w:r>
      <w:r>
        <w:t xml:space="preserve">to a GHG </w:t>
      </w:r>
      <w:r w:rsidR="00DC14F9">
        <w:t>holding lease</w:t>
      </w:r>
    </w:p>
    <w:p w14:paraId="54171CE9" w14:textId="00076BD8" w:rsidR="00D80930" w:rsidRPr="00FB292B" w:rsidRDefault="00DC14F9" w:rsidP="003C596C">
      <w:pPr>
        <w:pStyle w:val="Level3"/>
      </w:pPr>
      <w:r>
        <w:t xml:space="preserve">a petroleum production licence </w:t>
      </w:r>
      <w:r w:rsidR="000748A6">
        <w:t xml:space="preserve">to a GHG </w:t>
      </w:r>
      <w:r>
        <w:t>injection licence.</w:t>
      </w:r>
    </w:p>
    <w:p w14:paraId="54171CEA" w14:textId="216D133B" w:rsidR="00D80930" w:rsidRPr="003C596C" w:rsidRDefault="000748A6" w:rsidP="003C596C">
      <w:pPr>
        <w:pStyle w:val="Level2"/>
      </w:pPr>
      <w:r w:rsidRPr="003C596C">
        <w:t xml:space="preserve">This guideline also assists applicants and titleholders to understand the expectations of the </w:t>
      </w:r>
      <w:r w:rsidR="00D80930" w:rsidRPr="003C596C">
        <w:t>responsible Commonwealth Minister (RCM)</w:t>
      </w:r>
      <w:r w:rsidR="00915FBF">
        <w:t>,</w:t>
      </w:r>
      <w:r w:rsidR="00D80930" w:rsidRPr="003C596C">
        <w:t xml:space="preserve"> </w:t>
      </w:r>
      <w:r w:rsidR="00915FBF">
        <w:t xml:space="preserve">or Cross-boundary Authority (CBA) where relevant, </w:t>
      </w:r>
      <w:r w:rsidR="00D80930" w:rsidRPr="003C596C">
        <w:t xml:space="preserve">in respect to the following applications and notifications under </w:t>
      </w:r>
      <w:hyperlink r:id="rId19" w:history="1">
        <w:r w:rsidR="0062331F" w:rsidRPr="003C596C">
          <w:rPr>
            <w:rStyle w:val="Hyperlink"/>
            <w:color w:val="auto"/>
            <w:u w:val="none"/>
          </w:rPr>
          <w:t>the OPGGS </w:t>
        </w:r>
        <w:r w:rsidR="00D80930" w:rsidRPr="003C596C">
          <w:rPr>
            <w:rStyle w:val="Hyperlink"/>
            <w:color w:val="auto"/>
            <w:u w:val="none"/>
          </w:rPr>
          <w:t>Act</w:t>
        </w:r>
      </w:hyperlink>
      <w:r w:rsidR="00D80930" w:rsidRPr="003C596C">
        <w:t>:</w:t>
      </w:r>
    </w:p>
    <w:p w14:paraId="3689E1BC" w14:textId="77777777" w:rsidR="000748A6" w:rsidRPr="003C596C" w:rsidRDefault="00D80930" w:rsidP="003C596C">
      <w:pPr>
        <w:pStyle w:val="Level3"/>
      </w:pPr>
      <w:r w:rsidRPr="003C596C">
        <w:t xml:space="preserve">notification of </w:t>
      </w:r>
      <w:r w:rsidRPr="00E334C0">
        <w:rPr>
          <w:i/>
          <w:iCs/>
        </w:rPr>
        <w:t>eligible GHG storage formation</w:t>
      </w:r>
      <w:r w:rsidR="000748A6" w:rsidRPr="003C596C">
        <w:t xml:space="preserve"> per</w:t>
      </w:r>
    </w:p>
    <w:p w14:paraId="41488F53" w14:textId="1A180791" w:rsidR="000748A6" w:rsidRPr="003C596C" w:rsidRDefault="00F06057" w:rsidP="003C596C">
      <w:pPr>
        <w:pStyle w:val="Level4"/>
        <w:rPr>
          <w:rStyle w:val="Hyperlink"/>
          <w:color w:val="auto"/>
          <w:u w:val="none"/>
        </w:rPr>
      </w:pPr>
      <w:hyperlink r:id="rId20" w:history="1">
        <w:r w:rsidR="000748A6" w:rsidRPr="00616BF9">
          <w:rPr>
            <w:rStyle w:val="Hyperlink"/>
          </w:rPr>
          <w:t>section 451 of the OPGGS Act</w:t>
        </w:r>
      </w:hyperlink>
      <w:r w:rsidR="000748A6" w:rsidRPr="003C596C">
        <w:rPr>
          <w:rStyle w:val="Hyperlink"/>
          <w:color w:val="auto"/>
          <w:u w:val="none"/>
        </w:rPr>
        <w:t xml:space="preserve"> </w:t>
      </w:r>
      <w:r w:rsidR="00DC14F9" w:rsidRPr="003C596C">
        <w:rPr>
          <w:rStyle w:val="Hyperlink"/>
          <w:color w:val="auto"/>
          <w:u w:val="none"/>
        </w:rPr>
        <w:t xml:space="preserve">for a </w:t>
      </w:r>
      <w:r w:rsidR="00DC14F9" w:rsidRPr="003C596C">
        <w:t>GHG assessment permit</w:t>
      </w:r>
      <w:r w:rsidR="00AE7059">
        <w:t>, GHG holding lease or GHG injection licence</w:t>
      </w:r>
    </w:p>
    <w:p w14:paraId="20E89AF5" w14:textId="05AC21F3" w:rsidR="000748A6" w:rsidRPr="000748A6" w:rsidRDefault="00F06057" w:rsidP="003C596C">
      <w:pPr>
        <w:pStyle w:val="Level4"/>
      </w:pPr>
      <w:hyperlink r:id="rId21" w:history="1">
        <w:r w:rsidR="000748A6" w:rsidRPr="000748A6">
          <w:rPr>
            <w:rStyle w:val="Hyperlink"/>
          </w:rPr>
          <w:t>section 451A of the OPGGS Act</w:t>
        </w:r>
      </w:hyperlink>
      <w:r w:rsidR="000748A6" w:rsidRPr="000748A6">
        <w:rPr>
          <w:rStyle w:val="Hyperlink"/>
          <w:color w:val="auto"/>
          <w:u w:val="none"/>
        </w:rPr>
        <w:t xml:space="preserve"> </w:t>
      </w:r>
      <w:r w:rsidR="00AE7059">
        <w:rPr>
          <w:rStyle w:val="Hyperlink"/>
          <w:color w:val="auto"/>
          <w:u w:val="none"/>
        </w:rPr>
        <w:t xml:space="preserve">as a prerequisite to applying </w:t>
      </w:r>
      <w:r w:rsidR="000748A6" w:rsidRPr="000748A6">
        <w:t>for</w:t>
      </w:r>
      <w:r w:rsidR="00DC14F9">
        <w:t xml:space="preserve"> a</w:t>
      </w:r>
      <w:r w:rsidR="000748A6" w:rsidRPr="000748A6">
        <w:t xml:space="preserve"> </w:t>
      </w:r>
      <w:r w:rsidR="00DC14F9" w:rsidRPr="000748A6">
        <w:t>cross-boundary GHG</w:t>
      </w:r>
      <w:r w:rsidR="00DC14F9">
        <w:t xml:space="preserve"> assessment permit</w:t>
      </w:r>
    </w:p>
    <w:p w14:paraId="54171CEB" w14:textId="6B540C7E" w:rsidR="00D80930" w:rsidRPr="000748A6" w:rsidRDefault="00F06057" w:rsidP="003C596C">
      <w:pPr>
        <w:pStyle w:val="Level4"/>
      </w:pPr>
      <w:hyperlink r:id="rId22" w:history="1">
        <w:r w:rsidR="000748A6" w:rsidRPr="000748A6">
          <w:rPr>
            <w:rStyle w:val="Hyperlink"/>
          </w:rPr>
          <w:t>section 451B of the OPGGS Act</w:t>
        </w:r>
      </w:hyperlink>
      <w:r w:rsidR="000748A6" w:rsidRPr="000748A6">
        <w:rPr>
          <w:rStyle w:val="Hyperlink"/>
          <w:color w:val="auto"/>
          <w:u w:val="none"/>
        </w:rPr>
        <w:t xml:space="preserve"> </w:t>
      </w:r>
      <w:r w:rsidR="00AE7059">
        <w:rPr>
          <w:rStyle w:val="Hyperlink"/>
          <w:color w:val="auto"/>
          <w:u w:val="none"/>
        </w:rPr>
        <w:t xml:space="preserve">as a prerequisite to applying </w:t>
      </w:r>
      <w:r w:rsidR="000748A6" w:rsidRPr="000748A6">
        <w:rPr>
          <w:rStyle w:val="Hyperlink"/>
          <w:color w:val="auto"/>
          <w:u w:val="none"/>
        </w:rPr>
        <w:t>for</w:t>
      </w:r>
      <w:r w:rsidR="00DC14F9">
        <w:rPr>
          <w:rStyle w:val="Hyperlink"/>
          <w:color w:val="auto"/>
          <w:u w:val="none"/>
        </w:rPr>
        <w:t xml:space="preserve"> a</w:t>
      </w:r>
      <w:r w:rsidR="000748A6" w:rsidRPr="000748A6">
        <w:rPr>
          <w:rStyle w:val="Hyperlink"/>
          <w:color w:val="auto"/>
          <w:u w:val="none"/>
        </w:rPr>
        <w:t xml:space="preserve"> </w:t>
      </w:r>
      <w:r w:rsidR="00DC14F9" w:rsidRPr="000748A6">
        <w:rPr>
          <w:rStyle w:val="Hyperlink"/>
          <w:color w:val="auto"/>
          <w:u w:val="none"/>
        </w:rPr>
        <w:t xml:space="preserve">consolidated </w:t>
      </w:r>
      <w:r w:rsidR="00AE7059">
        <w:rPr>
          <w:rStyle w:val="Hyperlink"/>
          <w:color w:val="auto"/>
          <w:u w:val="none"/>
        </w:rPr>
        <w:t xml:space="preserve">work-bid </w:t>
      </w:r>
      <w:r w:rsidR="00DC14F9" w:rsidRPr="000748A6">
        <w:rPr>
          <w:rStyle w:val="Hyperlink"/>
          <w:color w:val="auto"/>
          <w:u w:val="none"/>
        </w:rPr>
        <w:t>GHG</w:t>
      </w:r>
      <w:r w:rsidR="00DC14F9">
        <w:rPr>
          <w:rStyle w:val="Hyperlink"/>
          <w:color w:val="auto"/>
          <w:u w:val="none"/>
        </w:rPr>
        <w:t xml:space="preserve"> assessment permit</w:t>
      </w:r>
    </w:p>
    <w:p w14:paraId="76753EC3" w14:textId="77777777" w:rsidR="000748A6" w:rsidRDefault="00D80930" w:rsidP="003C596C">
      <w:pPr>
        <w:pStyle w:val="Level3"/>
      </w:pPr>
      <w:r w:rsidRPr="007703FB">
        <w:t xml:space="preserve">declaration of </w:t>
      </w:r>
      <w:r w:rsidRPr="00E334C0">
        <w:rPr>
          <w:i/>
          <w:iCs/>
        </w:rPr>
        <w:t>identified GHG storage formation</w:t>
      </w:r>
      <w:r w:rsidR="000748A6">
        <w:t xml:space="preserve"> per</w:t>
      </w:r>
    </w:p>
    <w:p w14:paraId="67863178" w14:textId="7614FC6D" w:rsidR="000748A6" w:rsidRPr="000748A6" w:rsidRDefault="00F06057" w:rsidP="003C596C">
      <w:pPr>
        <w:pStyle w:val="Level4"/>
        <w:rPr>
          <w:rStyle w:val="Hyperlink"/>
          <w:color w:val="auto"/>
          <w:u w:val="none"/>
        </w:rPr>
      </w:pPr>
      <w:hyperlink r:id="rId23" w:history="1">
        <w:r w:rsidR="000748A6">
          <w:rPr>
            <w:rStyle w:val="Hyperlink"/>
          </w:rPr>
          <w:t>section 312 of the OPGGS Act</w:t>
        </w:r>
      </w:hyperlink>
      <w:r w:rsidR="00DC14F9" w:rsidRPr="00DC14F9">
        <w:rPr>
          <w:rStyle w:val="Hyperlink"/>
          <w:color w:val="auto"/>
          <w:u w:val="none"/>
        </w:rPr>
        <w:t xml:space="preserve"> </w:t>
      </w:r>
      <w:r w:rsidR="00DC14F9">
        <w:rPr>
          <w:rStyle w:val="Hyperlink"/>
          <w:color w:val="auto"/>
          <w:u w:val="none"/>
        </w:rPr>
        <w:t xml:space="preserve">for a </w:t>
      </w:r>
      <w:r w:rsidR="00AE7059">
        <w:rPr>
          <w:rStyle w:val="Hyperlink"/>
          <w:color w:val="auto"/>
          <w:u w:val="none"/>
        </w:rPr>
        <w:t>GHG</w:t>
      </w:r>
      <w:r w:rsidR="00DC14F9" w:rsidRPr="000748A6">
        <w:rPr>
          <w:rStyle w:val="Hyperlink"/>
          <w:color w:val="auto"/>
          <w:u w:val="none"/>
        </w:rPr>
        <w:t xml:space="preserve"> assessment permit, </w:t>
      </w:r>
      <w:r w:rsidR="00AE7059">
        <w:rPr>
          <w:rStyle w:val="Hyperlink"/>
          <w:color w:val="auto"/>
          <w:u w:val="none"/>
        </w:rPr>
        <w:t>GHG</w:t>
      </w:r>
      <w:r w:rsidR="00DC14F9" w:rsidRPr="000748A6">
        <w:rPr>
          <w:rStyle w:val="Hyperlink"/>
          <w:color w:val="auto"/>
          <w:u w:val="none"/>
        </w:rPr>
        <w:t xml:space="preserve"> holding lease, </w:t>
      </w:r>
      <w:r w:rsidR="00AE7059">
        <w:rPr>
          <w:rStyle w:val="Hyperlink"/>
          <w:color w:val="auto"/>
          <w:u w:val="none"/>
        </w:rPr>
        <w:t>GHG</w:t>
      </w:r>
      <w:r w:rsidR="00DC14F9" w:rsidRPr="000748A6">
        <w:rPr>
          <w:rStyle w:val="Hyperlink"/>
          <w:color w:val="auto"/>
          <w:u w:val="none"/>
        </w:rPr>
        <w:t xml:space="preserve"> injection licence, petroleum retention lease or petroleum production licence</w:t>
      </w:r>
    </w:p>
    <w:p w14:paraId="54171CEC" w14:textId="0913DA7F" w:rsidR="00D80930" w:rsidRPr="007703FB" w:rsidRDefault="00F06057" w:rsidP="003C596C">
      <w:pPr>
        <w:pStyle w:val="Level4"/>
      </w:pPr>
      <w:hyperlink r:id="rId24" w:history="1">
        <w:r w:rsidR="000748A6">
          <w:rPr>
            <w:rStyle w:val="Hyperlink"/>
          </w:rPr>
          <w:t>section 312A of the OPGGS Act</w:t>
        </w:r>
      </w:hyperlink>
      <w:r w:rsidR="000748A6">
        <w:t xml:space="preserve"> f</w:t>
      </w:r>
      <w:r w:rsidR="000748A6" w:rsidRPr="000748A6">
        <w:t xml:space="preserve">or </w:t>
      </w:r>
      <w:r w:rsidR="00DC14F9">
        <w:t xml:space="preserve">a </w:t>
      </w:r>
      <w:r w:rsidR="00DC14F9" w:rsidRPr="000748A6">
        <w:t>cross-boundary GHG assessment permit</w:t>
      </w:r>
    </w:p>
    <w:p w14:paraId="54171CED" w14:textId="1854A476" w:rsidR="00D80930" w:rsidRPr="007703FB" w:rsidRDefault="00D80930" w:rsidP="003C596C">
      <w:pPr>
        <w:pStyle w:val="Level3"/>
      </w:pPr>
      <w:r w:rsidRPr="007703FB">
        <w:t xml:space="preserve">variation of declaration of </w:t>
      </w:r>
      <w:r w:rsidRPr="00E334C0">
        <w:rPr>
          <w:i/>
          <w:iCs/>
        </w:rPr>
        <w:t>identified GHG storage formation</w:t>
      </w:r>
      <w:r w:rsidR="00DC14F9">
        <w:t xml:space="preserve"> per</w:t>
      </w:r>
      <w:r w:rsidRPr="007703FB">
        <w:t xml:space="preserve"> </w:t>
      </w:r>
      <w:hyperlink r:id="rId25" w:history="1">
        <w:r w:rsidR="00DC14F9">
          <w:rPr>
            <w:rStyle w:val="Hyperlink"/>
          </w:rPr>
          <w:t>section 313 of the OPGGS Act</w:t>
        </w:r>
      </w:hyperlink>
    </w:p>
    <w:p w14:paraId="54171CEE" w14:textId="6E771A43" w:rsidR="00D80930" w:rsidRPr="007703FB" w:rsidRDefault="00D80930" w:rsidP="00616BF9">
      <w:pPr>
        <w:pStyle w:val="Level3"/>
        <w:ind w:right="-113"/>
      </w:pPr>
      <w:r w:rsidRPr="007703FB">
        <w:t xml:space="preserve">revocation of declaration of </w:t>
      </w:r>
      <w:r w:rsidRPr="00E334C0">
        <w:rPr>
          <w:i/>
          <w:iCs/>
        </w:rPr>
        <w:t>identified GHG storage formation</w:t>
      </w:r>
      <w:r w:rsidR="00DC14F9">
        <w:t xml:space="preserve"> per</w:t>
      </w:r>
      <w:r w:rsidRPr="007703FB">
        <w:t xml:space="preserve"> </w:t>
      </w:r>
      <w:hyperlink r:id="rId26" w:history="1">
        <w:r w:rsidR="00DC14F9">
          <w:rPr>
            <w:rStyle w:val="Hyperlink"/>
          </w:rPr>
          <w:t>section 314 of the OPGGS Act</w:t>
        </w:r>
      </w:hyperlink>
      <w:r w:rsidR="00631B76" w:rsidRPr="00631B76">
        <w:rPr>
          <w:rStyle w:val="Level2Char"/>
        </w:rPr>
        <w:t>.</w:t>
      </w:r>
    </w:p>
    <w:p w14:paraId="2DEB0DB3" w14:textId="3A3292C2" w:rsidR="00170E74" w:rsidRDefault="00170E74" w:rsidP="00170E74">
      <w:pPr>
        <w:pStyle w:val="Level2"/>
      </w:pPr>
      <w:r>
        <w:t xml:space="preserve">Titleholders who are required to provide a notification to the RCM </w:t>
      </w:r>
      <w:r w:rsidRPr="00F1125C">
        <w:t xml:space="preserve">should engage with the </w:t>
      </w:r>
      <w:hyperlink r:id="rId27" w:history="1">
        <w:r w:rsidRPr="00D17A43">
          <w:rPr>
            <w:rStyle w:val="Hyperlink"/>
          </w:rPr>
          <w:t>National Offshore Petroleum Titles Administration (NOPTA)</w:t>
        </w:r>
      </w:hyperlink>
      <w:r w:rsidRPr="00F1125C">
        <w:t xml:space="preserve"> early in the process if they are unsure of their responsibilities under</w:t>
      </w:r>
      <w:r>
        <w:t xml:space="preserve"> the </w:t>
      </w:r>
      <w:hyperlink r:id="rId28" w:history="1">
        <w:r>
          <w:rPr>
            <w:rStyle w:val="Hyperlink"/>
          </w:rPr>
          <w:t>OPGGS Act</w:t>
        </w:r>
      </w:hyperlink>
      <w:r>
        <w:t>.</w:t>
      </w:r>
    </w:p>
    <w:p w14:paraId="54171CEF" w14:textId="723FFC7D" w:rsidR="00D80930" w:rsidRDefault="00170E74" w:rsidP="00675A9F">
      <w:pPr>
        <w:pStyle w:val="Level2"/>
      </w:pPr>
      <w:r>
        <w:t xml:space="preserve">Titleholders should engage early with </w:t>
      </w:r>
      <w:hyperlink r:id="rId29" w:history="1">
        <w:r w:rsidRPr="006946E6">
          <w:rPr>
            <w:rStyle w:val="Hyperlink"/>
          </w:rPr>
          <w:t>NOPTA</w:t>
        </w:r>
      </w:hyperlink>
      <w:r w:rsidR="00675A9F">
        <w:t xml:space="preserve"> to better understand the </w:t>
      </w:r>
      <w:r w:rsidR="00675A9F" w:rsidRPr="00F1125C">
        <w:t>requirements for making an application</w:t>
      </w:r>
      <w:r w:rsidR="00675A9F">
        <w:t xml:space="preserve"> </w:t>
      </w:r>
      <w:r w:rsidR="00D80930" w:rsidRPr="00F1125C">
        <w:t>under</w:t>
      </w:r>
      <w:r w:rsidR="00616BF9">
        <w:t xml:space="preserve"> the</w:t>
      </w:r>
      <w:r w:rsidR="0062331F">
        <w:t> </w:t>
      </w:r>
      <w:hyperlink r:id="rId30" w:history="1">
        <w:r w:rsidR="00616BF9">
          <w:rPr>
            <w:rStyle w:val="Hyperlink"/>
          </w:rPr>
          <w:t>OPGGS Act</w:t>
        </w:r>
      </w:hyperlink>
      <w:r w:rsidR="00D80930" w:rsidRPr="00F1125C">
        <w:t xml:space="preserve"> or </w:t>
      </w:r>
      <w:r w:rsidR="00675A9F">
        <w:t xml:space="preserve">the requirements </w:t>
      </w:r>
      <w:r w:rsidR="00DC14F9">
        <w:t>per</w:t>
      </w:r>
      <w:r w:rsidR="00D80930">
        <w:t xml:space="preserve"> </w:t>
      </w:r>
      <w:hyperlink r:id="rId31" w:history="1">
        <w:r w:rsidR="002921D7">
          <w:rPr>
            <w:rStyle w:val="Hyperlink"/>
          </w:rPr>
          <w:t>Schedule 1 of the GHG Regulations</w:t>
        </w:r>
      </w:hyperlink>
      <w:r w:rsidR="00D80930" w:rsidRPr="00F1125C">
        <w:t>.</w:t>
      </w:r>
    </w:p>
    <w:p w14:paraId="75F8699E" w14:textId="77777777" w:rsidR="00DC14F9" w:rsidRPr="002F610E" w:rsidRDefault="00DC14F9" w:rsidP="003C596C">
      <w:pPr>
        <w:pStyle w:val="Heading1"/>
      </w:pPr>
      <w:bookmarkStart w:id="11" w:name="_Toc86833541"/>
      <w:bookmarkStart w:id="12" w:name="_Toc122614784"/>
      <w:r w:rsidRPr="002F610E">
        <w:t>Legislative framework</w:t>
      </w:r>
      <w:bookmarkEnd w:id="11"/>
      <w:bookmarkEnd w:id="12"/>
    </w:p>
    <w:p w14:paraId="55F8D2E6" w14:textId="088A7FEB" w:rsidR="00DC14F9" w:rsidRPr="002F610E" w:rsidRDefault="00DC14F9" w:rsidP="003C596C">
      <w:pPr>
        <w:pStyle w:val="Level2"/>
      </w:pPr>
      <w:r w:rsidRPr="002F610E">
        <w:t xml:space="preserve">The </w:t>
      </w:r>
      <w:hyperlink r:id="rId32" w:history="1">
        <w:r w:rsidRPr="002F610E">
          <w:rPr>
            <w:rStyle w:val="Hyperlink"/>
          </w:rPr>
          <w:t>OPGGS Act</w:t>
        </w:r>
      </w:hyperlink>
      <w:r w:rsidRPr="002F610E">
        <w:t xml:space="preserve"> governs Australia’s offshore petroleum and GHG storage </w:t>
      </w:r>
      <w:r>
        <w:t>regulatory framework. It </w:t>
      </w:r>
      <w:r w:rsidRPr="002F610E">
        <w:t xml:space="preserve">articulates the framework of rights, entitlements and responsibilities of governments and industry. </w:t>
      </w:r>
      <w:r w:rsidR="00FA0596">
        <w:t>An</w:t>
      </w:r>
      <w:r w:rsidR="00FA0596" w:rsidRPr="002F610E">
        <w:t xml:space="preserve"> </w:t>
      </w:r>
      <w:r w:rsidRPr="002F610E">
        <w:t>object</w:t>
      </w:r>
      <w:r w:rsidR="002921D7">
        <w:t>ive</w:t>
      </w:r>
      <w:r w:rsidRPr="002F610E">
        <w:t xml:space="preserve"> of the </w:t>
      </w:r>
      <w:hyperlink r:id="rId33" w:history="1">
        <w:r w:rsidRPr="002F610E">
          <w:rPr>
            <w:rStyle w:val="Hyperlink"/>
          </w:rPr>
          <w:t>OPGGS Act</w:t>
        </w:r>
      </w:hyperlink>
      <w:r w:rsidRPr="002F610E">
        <w:t xml:space="preserve"> is to provide an effective </w:t>
      </w:r>
      <w:r w:rsidR="00FA0596">
        <w:t xml:space="preserve">regulatory </w:t>
      </w:r>
      <w:r w:rsidRPr="002F610E">
        <w:t>framework for GHG injection and storage</w:t>
      </w:r>
      <w:r w:rsidR="00FA0596">
        <w:t xml:space="preserve"> in offshore areas</w:t>
      </w:r>
      <w:r w:rsidRPr="002F610E">
        <w:t>.</w:t>
      </w:r>
    </w:p>
    <w:p w14:paraId="45BFAF2D" w14:textId="79622B71" w:rsidR="00DC14F9" w:rsidRPr="002F610E" w:rsidRDefault="00DC14F9" w:rsidP="003C596C">
      <w:pPr>
        <w:pStyle w:val="Level2"/>
      </w:pPr>
      <w:r w:rsidRPr="002F610E">
        <w:lastRenderedPageBreak/>
        <w:t>The legislative framework creates a regime that enables progression from</w:t>
      </w:r>
      <w:r>
        <w:t xml:space="preserve"> GHG storage</w:t>
      </w:r>
      <w:r w:rsidRPr="002F610E">
        <w:t xml:space="preserve"> </w:t>
      </w:r>
      <w:r>
        <w:t>assessment</w:t>
      </w:r>
      <w:r w:rsidRPr="002F610E">
        <w:t xml:space="preserve"> through to injection, site closing and </w:t>
      </w:r>
      <w:r w:rsidR="00FA0596">
        <w:t xml:space="preserve">decommissioning, and </w:t>
      </w:r>
      <w:r w:rsidR="00472A14">
        <w:t xml:space="preserve">managing </w:t>
      </w:r>
      <w:r w:rsidRPr="002F610E">
        <w:t>long term liabilities.</w:t>
      </w:r>
    </w:p>
    <w:p w14:paraId="4BC55C9A" w14:textId="4F7E5C3C" w:rsidR="00DC14F9" w:rsidRPr="00F1125C" w:rsidRDefault="00DC14F9" w:rsidP="003C596C">
      <w:pPr>
        <w:pStyle w:val="Level2"/>
        <w:numPr>
          <w:ilvl w:val="0"/>
          <w:numId w:val="0"/>
        </w:numPr>
      </w:pPr>
      <w:r w:rsidRPr="002F610E">
        <w:rPr>
          <w:b/>
          <w:bCs/>
        </w:rPr>
        <w:t xml:space="preserve">Note: </w:t>
      </w:r>
      <w:r w:rsidRPr="002F610E">
        <w:t xml:space="preserve">All legislation references in this guideline are from the </w:t>
      </w:r>
      <w:hyperlink r:id="rId34" w:history="1">
        <w:r w:rsidRPr="002F610E">
          <w:rPr>
            <w:rStyle w:val="Hyperlink"/>
          </w:rPr>
          <w:t>OPGGS Act</w:t>
        </w:r>
      </w:hyperlink>
      <w:r w:rsidRPr="002F610E">
        <w:t>, unless stated otherwise.</w:t>
      </w:r>
    </w:p>
    <w:p w14:paraId="54171CF0" w14:textId="34672D0C" w:rsidR="00D80930" w:rsidRPr="00A82A81" w:rsidRDefault="00A82A81" w:rsidP="003C596C">
      <w:pPr>
        <w:pStyle w:val="Heading1"/>
      </w:pPr>
      <w:bookmarkStart w:id="13" w:name="_Toc79063416"/>
      <w:bookmarkStart w:id="14" w:name="_Toc79063460"/>
      <w:bookmarkStart w:id="15" w:name="_Toc122614785"/>
      <w:r>
        <w:t xml:space="preserve">Overview of a </w:t>
      </w:r>
      <w:r w:rsidR="00317CBD">
        <w:t>GHG</w:t>
      </w:r>
      <w:r w:rsidR="00A4722F" w:rsidRPr="00A82A81">
        <w:t xml:space="preserve"> storage formation</w:t>
      </w:r>
      <w:bookmarkEnd w:id="13"/>
      <w:bookmarkEnd w:id="14"/>
      <w:bookmarkEnd w:id="15"/>
    </w:p>
    <w:p w14:paraId="54171CF1" w14:textId="6CE913F5" w:rsidR="00D80930" w:rsidRPr="00F1125C" w:rsidRDefault="00D80930" w:rsidP="003C596C">
      <w:pPr>
        <w:pStyle w:val="Level2"/>
      </w:pPr>
      <w:r>
        <w:t>A</w:t>
      </w:r>
      <w:r w:rsidRPr="00F1125C">
        <w:t xml:space="preserve"> storage formation </w:t>
      </w:r>
      <w:r w:rsidR="00DD4F5F">
        <w:t>must be</w:t>
      </w:r>
      <w:r w:rsidR="00A81FA0">
        <w:t xml:space="preserve"> </w:t>
      </w:r>
      <w:r w:rsidR="00A81FA0" w:rsidRPr="00F1125C">
        <w:t>deemed</w:t>
      </w:r>
      <w:r w:rsidRPr="00F1125C">
        <w:t xml:space="preserve"> capable of permanently storing an injected GHG substance.</w:t>
      </w:r>
      <w:r w:rsidR="00BA515C">
        <w:t xml:space="preserve"> </w:t>
      </w:r>
      <w:r w:rsidRPr="00F1125C">
        <w:t>In</w:t>
      </w:r>
      <w:r w:rsidR="005A243B">
        <w:t> </w:t>
      </w:r>
      <w:r w:rsidRPr="00F1125C">
        <w:t>this context, permanent storage is considered as storage over geological timeframes.</w:t>
      </w:r>
      <w:r w:rsidR="00BA515C">
        <w:t xml:space="preserve"> </w:t>
      </w:r>
      <w:r>
        <w:t>A</w:t>
      </w:r>
      <w:r w:rsidRPr="00F1125C">
        <w:t>s well as geological factors</w:t>
      </w:r>
      <w:r w:rsidR="00A81FA0">
        <w:t>,</w:t>
      </w:r>
      <w:r>
        <w:t xml:space="preserve"> t</w:t>
      </w:r>
      <w:r w:rsidRPr="00F1125C">
        <w:t xml:space="preserve">he size </w:t>
      </w:r>
      <w:r>
        <w:t xml:space="preserve">or spatial extent </w:t>
      </w:r>
      <w:r w:rsidRPr="00F1125C">
        <w:t>of a storage formation</w:t>
      </w:r>
      <w:r>
        <w:t xml:space="preserve"> also</w:t>
      </w:r>
      <w:r w:rsidRPr="00F1125C">
        <w:t xml:space="preserve"> depends on factors under the control of a GHG titleholder including</w:t>
      </w:r>
      <w:r w:rsidR="00C17F1F" w:rsidRPr="00F1125C">
        <w:t xml:space="preserve"> the</w:t>
      </w:r>
      <w:r w:rsidRPr="00F1125C">
        <w:t xml:space="preserve"> amount of GHG substance to be injected, the rate of injection, the period over which injection is to take place and the location of injection points.</w:t>
      </w:r>
      <w:r w:rsidR="00BA515C">
        <w:t xml:space="preserve"> </w:t>
      </w:r>
      <w:hyperlink r:id="rId35" w:history="1">
        <w:r w:rsidRPr="00F03158">
          <w:rPr>
            <w:rStyle w:val="Hyperlink"/>
          </w:rPr>
          <w:t>Section</w:t>
        </w:r>
        <w:r w:rsidR="005A243B">
          <w:rPr>
            <w:rStyle w:val="Hyperlink"/>
          </w:rPr>
          <w:t> </w:t>
        </w:r>
        <w:r w:rsidRPr="00F03158">
          <w:rPr>
            <w:rStyle w:val="Hyperlink"/>
          </w:rPr>
          <w:t>21 of the OPGGS Act</w:t>
        </w:r>
      </w:hyperlink>
      <w:r w:rsidRPr="00F1125C">
        <w:t xml:space="preserve"> ter</w:t>
      </w:r>
      <w:r w:rsidR="00631B76">
        <w:t xml:space="preserve">ms these factors as </w:t>
      </w:r>
      <w:r w:rsidRPr="00631B76">
        <w:rPr>
          <w:i/>
        </w:rPr>
        <w:t>fundamental suitab</w:t>
      </w:r>
      <w:r w:rsidR="000554EC" w:rsidRPr="00631B76">
        <w:rPr>
          <w:i/>
        </w:rPr>
        <w:t>ility determinants</w:t>
      </w:r>
      <w:r w:rsidR="00631B76">
        <w:t>. See</w:t>
      </w:r>
      <w:r w:rsidR="005A243B">
        <w:rPr>
          <w:color w:val="000000" w:themeColor="text1"/>
        </w:rPr>
        <w:t> </w:t>
      </w:r>
      <w:r w:rsidR="00333848" w:rsidRPr="00333848">
        <w:rPr>
          <w:u w:val="single"/>
        </w:rPr>
        <w:t>section</w:t>
      </w:r>
      <w:r w:rsidR="00557EDB">
        <w:rPr>
          <w:u w:val="single"/>
        </w:rPr>
        <w:t xml:space="preserve"> </w:t>
      </w:r>
      <w:r w:rsidR="007C4F5B">
        <w:rPr>
          <w:u w:val="single"/>
        </w:rPr>
        <w:fldChar w:fldCharType="begin" w:fldLock="1"/>
      </w:r>
      <w:r w:rsidR="007C4F5B">
        <w:rPr>
          <w:u w:val="single"/>
        </w:rPr>
        <w:instrText xml:space="preserve"> REF _Ref427225466 \r \h </w:instrText>
      </w:r>
      <w:r w:rsidR="007C4F5B">
        <w:rPr>
          <w:u w:val="single"/>
        </w:rPr>
      </w:r>
      <w:r w:rsidR="007C4F5B">
        <w:rPr>
          <w:u w:val="single"/>
        </w:rPr>
        <w:fldChar w:fldCharType="separate"/>
      </w:r>
      <w:r w:rsidR="001F4A12">
        <w:rPr>
          <w:u w:val="single"/>
        </w:rPr>
        <w:t>4</w:t>
      </w:r>
      <w:r w:rsidR="007C4F5B">
        <w:rPr>
          <w:u w:val="single"/>
        </w:rPr>
        <w:fldChar w:fldCharType="end"/>
      </w:r>
      <w:r w:rsidR="00631B76" w:rsidRPr="00333848">
        <w:rPr>
          <w:u w:val="single"/>
        </w:rPr>
        <w:t xml:space="preserve"> of this Guideline</w:t>
      </w:r>
      <w:r w:rsidR="00616BF9" w:rsidRPr="00333848">
        <w:t xml:space="preserve"> for further information</w:t>
      </w:r>
      <w:r w:rsidRPr="00333848">
        <w:t>.</w:t>
      </w:r>
      <w:r w:rsidR="00BA515C" w:rsidRPr="00333848">
        <w:t xml:space="preserve"> </w:t>
      </w:r>
      <w:r w:rsidRPr="00333848">
        <w:t>A single geological formation may contain</w:t>
      </w:r>
      <w:r w:rsidRPr="00F1125C">
        <w:t xml:space="preserve"> multiple storage formations, spatially separate from each other</w:t>
      </w:r>
      <w:r w:rsidR="00274206">
        <w:t>, and a storage formation may comprise multiple part or whole geological formations</w:t>
      </w:r>
      <w:r w:rsidRPr="00F1125C">
        <w:t>.</w:t>
      </w:r>
    </w:p>
    <w:p w14:paraId="38016A9C" w14:textId="1D38ECE7" w:rsidR="00631B76" w:rsidRDefault="00631B76" w:rsidP="003C596C">
      <w:pPr>
        <w:pStyle w:val="Level2"/>
      </w:pPr>
      <w:r w:rsidRPr="00631B76">
        <w:t xml:space="preserve">The </w:t>
      </w:r>
      <w:hyperlink r:id="rId36" w:history="1">
        <w:r>
          <w:rPr>
            <w:rStyle w:val="Hyperlink"/>
          </w:rPr>
          <w:t>OPGGS Act</w:t>
        </w:r>
      </w:hyperlink>
      <w:r w:rsidR="00D80930">
        <w:t xml:space="preserve"> </w:t>
      </w:r>
      <w:r w:rsidR="00D80930" w:rsidRPr="00F1125C">
        <w:t>establishes three categories of GHG storage formation</w:t>
      </w:r>
      <w:r w:rsidR="00180DAC">
        <w:t xml:space="preserve"> that reflect </w:t>
      </w:r>
      <w:r w:rsidR="00180DAC" w:rsidRPr="00F1125C">
        <w:t xml:space="preserve">a titleholder’s and </w:t>
      </w:r>
      <w:r w:rsidR="00180DAC">
        <w:t xml:space="preserve">the </w:t>
      </w:r>
      <w:r w:rsidR="00180DAC" w:rsidRPr="00F1125C">
        <w:t>RCM</w:t>
      </w:r>
      <w:r w:rsidR="00180DAC">
        <w:t>’s</w:t>
      </w:r>
      <w:r w:rsidR="00180DAC" w:rsidRPr="00F1125C">
        <w:t xml:space="preserve"> degree of technical understanding of the formation</w:t>
      </w:r>
      <w:r>
        <w:t>:</w:t>
      </w:r>
    </w:p>
    <w:p w14:paraId="1F259E43" w14:textId="43623947" w:rsidR="00631B76" w:rsidRDefault="00631B76" w:rsidP="003C596C">
      <w:pPr>
        <w:pStyle w:val="Level3"/>
      </w:pPr>
      <w:r>
        <w:t>potential</w:t>
      </w:r>
    </w:p>
    <w:p w14:paraId="5CAC0E1A" w14:textId="77DDBFDC" w:rsidR="00631B76" w:rsidRDefault="00631B76" w:rsidP="003C596C">
      <w:pPr>
        <w:pStyle w:val="Level3"/>
      </w:pPr>
      <w:r>
        <w:t>eligible</w:t>
      </w:r>
    </w:p>
    <w:p w14:paraId="5D80D2FD" w14:textId="56B89AB5" w:rsidR="00631B76" w:rsidRDefault="00631B76" w:rsidP="003C596C">
      <w:pPr>
        <w:pStyle w:val="Level3"/>
      </w:pPr>
      <w:r w:rsidRPr="00F1125C">
        <w:t>identified</w:t>
      </w:r>
      <w:r w:rsidR="006C4020">
        <w:t>.</w:t>
      </w:r>
    </w:p>
    <w:p w14:paraId="18FD3731" w14:textId="07FA4ACF" w:rsidR="00180DAC" w:rsidRDefault="008A2BD2" w:rsidP="00A81FA0">
      <w:pPr>
        <w:pStyle w:val="Level2"/>
      </w:pPr>
      <w:r w:rsidRPr="00F1125C">
        <w:t>The declaratio</w:t>
      </w:r>
      <w:r w:rsidR="00616BF9">
        <w:t xml:space="preserve">n of a storage formation as an </w:t>
      </w:r>
      <w:r w:rsidR="00616BF9" w:rsidRPr="004B213F">
        <w:rPr>
          <w:i/>
        </w:rPr>
        <w:t xml:space="preserve">identified GHG </w:t>
      </w:r>
      <w:r w:rsidR="004B213F" w:rsidRPr="004B213F">
        <w:rPr>
          <w:i/>
        </w:rPr>
        <w:t xml:space="preserve">storage </w:t>
      </w:r>
      <w:r w:rsidR="00616BF9" w:rsidRPr="004B213F">
        <w:rPr>
          <w:i/>
        </w:rPr>
        <w:t>formation</w:t>
      </w:r>
      <w:r w:rsidRPr="00F1125C">
        <w:t xml:space="preserve"> is a critical step in establishing the technical viability of a potential storage site for GHG injection and storage.</w:t>
      </w:r>
    </w:p>
    <w:p w14:paraId="5CC51377" w14:textId="0DDDC641" w:rsidR="00180DAC" w:rsidRDefault="008A2BD2" w:rsidP="00180DAC">
      <w:pPr>
        <w:pStyle w:val="Level3"/>
      </w:pPr>
      <w:r>
        <w:t>B</w:t>
      </w:r>
      <w:r w:rsidRPr="0058383F">
        <w:t>efore an application can be made for a GHG holding lease</w:t>
      </w:r>
      <w:r>
        <w:t xml:space="preserve"> o</w:t>
      </w:r>
      <w:r w:rsidRPr="0058383F">
        <w:t>r GHG injection</w:t>
      </w:r>
      <w:r>
        <w:t xml:space="preserve"> licence</w:t>
      </w:r>
      <w:r w:rsidR="00180DAC">
        <w:t>,</w:t>
      </w:r>
      <w:r>
        <w:t xml:space="preserve"> one or more </w:t>
      </w:r>
      <w:r w:rsidRPr="00E334C0">
        <w:rPr>
          <w:i/>
          <w:iCs/>
        </w:rPr>
        <w:t>identified GHG storage formations</w:t>
      </w:r>
      <w:r>
        <w:t xml:space="preserve"> must be declared </w:t>
      </w:r>
      <w:r w:rsidR="004B213F">
        <w:t>that are</w:t>
      </w:r>
      <w:r>
        <w:t xml:space="preserve"> wholly situated within</w:t>
      </w:r>
      <w:r w:rsidR="004B213F">
        <w:t xml:space="preserve"> </w:t>
      </w:r>
      <w:r>
        <w:t>the relevant title area</w:t>
      </w:r>
      <w:r w:rsidR="004B213F">
        <w:t>,</w:t>
      </w:r>
      <w:r w:rsidR="00631B76">
        <w:t xml:space="preserve"> per </w:t>
      </w:r>
      <w:hyperlink r:id="rId37" w:history="1">
        <w:r w:rsidR="00631B76">
          <w:rPr>
            <w:rStyle w:val="Hyperlink"/>
          </w:rPr>
          <w:t>sections 324, 330, 343, 361 or 369 of the OPGGS Act</w:t>
        </w:r>
      </w:hyperlink>
      <w:r w:rsidR="004B213F">
        <w:t>.</w:t>
      </w:r>
    </w:p>
    <w:p w14:paraId="46F3EF8C" w14:textId="1FC1A1BA" w:rsidR="000000A6" w:rsidRDefault="004B213F" w:rsidP="00180DAC">
      <w:pPr>
        <w:pStyle w:val="Level3"/>
      </w:pPr>
      <w:r>
        <w:t xml:space="preserve">To apply for a </w:t>
      </w:r>
      <w:r w:rsidR="008A2BD2">
        <w:t>cross</w:t>
      </w:r>
      <w:r w:rsidR="00A81FA0">
        <w:noBreakHyphen/>
      </w:r>
      <w:r w:rsidR="008A2BD2">
        <w:t xml:space="preserve">boundary </w:t>
      </w:r>
      <w:r w:rsidR="008A2BD2" w:rsidRPr="0058383F">
        <w:t>GHG</w:t>
      </w:r>
      <w:r w:rsidR="008A2BD2">
        <w:t xml:space="preserve"> </w:t>
      </w:r>
      <w:r w:rsidR="008A2BD2" w:rsidRPr="0058383F">
        <w:t>holding lease or cross-boundary GHG injection licence</w:t>
      </w:r>
      <w:r>
        <w:t xml:space="preserve">, one or more </w:t>
      </w:r>
      <w:r w:rsidRPr="00E334C0">
        <w:rPr>
          <w:i/>
          <w:iCs/>
        </w:rPr>
        <w:t>identified GHG storage formations</w:t>
      </w:r>
      <w:r>
        <w:t xml:space="preserve"> must be declared that are wholly situated within the relevant cross-boundary title area,</w:t>
      </w:r>
      <w:r w:rsidR="00631B76">
        <w:t xml:space="preserve"> per </w:t>
      </w:r>
      <w:hyperlink r:id="rId38" w:history="1">
        <w:r w:rsidR="00631B76" w:rsidRPr="00631B76">
          <w:rPr>
            <w:rStyle w:val="Hyperlink"/>
          </w:rPr>
          <w:t>sections </w:t>
        </w:r>
        <w:r w:rsidR="008A2BD2" w:rsidRPr="00631B76">
          <w:rPr>
            <w:rStyle w:val="Hyperlink"/>
          </w:rPr>
          <w:t xml:space="preserve">329A, </w:t>
        </w:r>
        <w:r w:rsidR="00631B76" w:rsidRPr="00631B76">
          <w:rPr>
            <w:rStyle w:val="Hyperlink"/>
          </w:rPr>
          <w:t>335A or</w:t>
        </w:r>
        <w:r w:rsidR="008A2BD2" w:rsidRPr="00631B76">
          <w:rPr>
            <w:rStyle w:val="Hyperlink"/>
          </w:rPr>
          <w:t xml:space="preserve"> 368A of the OPGGS Act</w:t>
        </w:r>
      </w:hyperlink>
      <w:r w:rsidR="001C4AC4" w:rsidRPr="00F1125C">
        <w:t>.</w:t>
      </w:r>
    </w:p>
    <w:p w14:paraId="12016364" w14:textId="3039AC02" w:rsidR="008A2BD2" w:rsidRPr="00F1125C" w:rsidRDefault="008A2BD2" w:rsidP="00180DAC">
      <w:pPr>
        <w:pStyle w:val="Level2"/>
      </w:pPr>
      <w:r w:rsidRPr="00F1125C">
        <w:t xml:space="preserve">A declaration of an </w:t>
      </w:r>
      <w:r w:rsidRPr="00E334C0">
        <w:rPr>
          <w:i/>
          <w:iCs/>
        </w:rPr>
        <w:t>identified GHG storage formation</w:t>
      </w:r>
      <w:r w:rsidRPr="00F1125C">
        <w:t xml:space="preserve"> retains its significance over the life of the GHG storage project.</w:t>
      </w:r>
      <w:r w:rsidR="00BA515C">
        <w:t xml:space="preserve"> </w:t>
      </w:r>
      <w:r w:rsidRPr="00F1125C">
        <w:t>This is because the injection and storage activities to be carried out under an injection licence need to be consistent with</w:t>
      </w:r>
      <w:r w:rsidR="00180DAC">
        <w:t xml:space="preserve"> the declared estimate of the spatial extent and with the declared </w:t>
      </w:r>
      <w:r w:rsidRPr="00946FFD">
        <w:rPr>
          <w:i/>
        </w:rPr>
        <w:t>fundamental suitability determinants</w:t>
      </w:r>
      <w:r w:rsidR="00180DAC">
        <w:t>.</w:t>
      </w:r>
    </w:p>
    <w:p w14:paraId="54171CF3" w14:textId="7808EB70" w:rsidR="00D80930" w:rsidRPr="00C046B9" w:rsidRDefault="00D80930" w:rsidP="00A82A81">
      <w:pPr>
        <w:pStyle w:val="Heading2"/>
      </w:pPr>
      <w:bookmarkStart w:id="16" w:name="_Toc122614786"/>
      <w:r w:rsidRPr="00C046B9">
        <w:t>Potential GHG storage formation</w:t>
      </w:r>
      <w:bookmarkEnd w:id="16"/>
    </w:p>
    <w:p w14:paraId="54171CF4" w14:textId="22BA9877" w:rsidR="00D80930" w:rsidRPr="00F1125C" w:rsidRDefault="00D80930" w:rsidP="003C596C">
      <w:pPr>
        <w:pStyle w:val="Level2"/>
      </w:pPr>
      <w:r w:rsidRPr="00F1125C">
        <w:t xml:space="preserve">A </w:t>
      </w:r>
      <w:r w:rsidRPr="00616BF9">
        <w:rPr>
          <w:i/>
        </w:rPr>
        <w:t>potential GHG storage formation</w:t>
      </w:r>
      <w:r w:rsidRPr="00F1125C">
        <w:t xml:space="preserve"> is a part of a geological formation</w:t>
      </w:r>
      <w:r>
        <w:t xml:space="preserve">, where that part is </w:t>
      </w:r>
      <w:r w:rsidRPr="00F1125C">
        <w:t>suitable, with or without engineering enhancements, for the permanent storage of a GHG substance</w:t>
      </w:r>
      <w:r w:rsidR="00616BF9">
        <w:t xml:space="preserve">, per </w:t>
      </w:r>
      <w:hyperlink r:id="rId39" w:history="1">
        <w:r w:rsidR="00467354">
          <w:rPr>
            <w:rStyle w:val="Hyperlink"/>
          </w:rPr>
          <w:t>subsection 20(1) of the OPGGS Act</w:t>
        </w:r>
      </w:hyperlink>
      <w:r w:rsidRPr="00F1125C">
        <w:t>.</w:t>
      </w:r>
      <w:r w:rsidR="00BA515C">
        <w:t xml:space="preserve"> </w:t>
      </w:r>
      <w:r w:rsidRPr="00F1125C">
        <w:t xml:space="preserve">This may reflect a titleholder’s understanding of the formation based on existing field data, </w:t>
      </w:r>
      <w:r w:rsidR="005C00F4" w:rsidRPr="00F1125C">
        <w:t>interpretation</w:t>
      </w:r>
      <w:r w:rsidR="005C00F4">
        <w:t xml:space="preserve"> of</w:t>
      </w:r>
      <w:r w:rsidR="005C00F4" w:rsidRPr="00F1125C">
        <w:t xml:space="preserve"> </w:t>
      </w:r>
      <w:r w:rsidRPr="00F1125C">
        <w:t>new or reprocessed seismic</w:t>
      </w:r>
      <w:r w:rsidR="005C00F4">
        <w:t xml:space="preserve"> data</w:t>
      </w:r>
      <w:r w:rsidRPr="00F1125C">
        <w:t>, and foreseeable technological developments.</w:t>
      </w:r>
      <w:r w:rsidR="00BA515C">
        <w:t xml:space="preserve"> </w:t>
      </w:r>
      <w:r w:rsidRPr="00F1125C">
        <w:t>Fu</w:t>
      </w:r>
      <w:r w:rsidR="00616BF9">
        <w:t xml:space="preserve">rther detailed analysis of the </w:t>
      </w:r>
      <w:r w:rsidR="00616BF9" w:rsidRPr="00616BF9">
        <w:rPr>
          <w:i/>
        </w:rPr>
        <w:t>potential GHG storage formation</w:t>
      </w:r>
      <w:r w:rsidR="00616BF9" w:rsidRPr="00616BF9">
        <w:t xml:space="preserve"> </w:t>
      </w:r>
      <w:r w:rsidRPr="00F1125C">
        <w:t xml:space="preserve">is necessary before the titleholder can </w:t>
      </w:r>
      <w:r>
        <w:t>notify the RCM</w:t>
      </w:r>
      <w:r w:rsidR="00E13E4F">
        <w:t xml:space="preserve"> under either </w:t>
      </w:r>
      <w:hyperlink r:id="rId40" w:history="1">
        <w:r w:rsidRPr="00467354">
          <w:rPr>
            <w:rStyle w:val="Hyperlink"/>
          </w:rPr>
          <w:t>s</w:t>
        </w:r>
        <w:r w:rsidR="000554EC" w:rsidRPr="00467354">
          <w:rPr>
            <w:rStyle w:val="Hyperlink"/>
          </w:rPr>
          <w:t>ections</w:t>
        </w:r>
        <w:r w:rsidRPr="00467354">
          <w:rPr>
            <w:rStyle w:val="Hyperlink"/>
          </w:rPr>
          <w:t xml:space="preserve"> 451</w:t>
        </w:r>
        <w:r w:rsidR="00101717">
          <w:rPr>
            <w:rStyle w:val="Hyperlink"/>
          </w:rPr>
          <w:t>,</w:t>
        </w:r>
        <w:r w:rsidRPr="00467354">
          <w:rPr>
            <w:rStyle w:val="Hyperlink"/>
          </w:rPr>
          <w:t xml:space="preserve"> 451A</w:t>
        </w:r>
        <w:r w:rsidR="00467354" w:rsidRPr="00467354">
          <w:rPr>
            <w:rStyle w:val="Hyperlink"/>
          </w:rPr>
          <w:t xml:space="preserve"> </w:t>
        </w:r>
        <w:r w:rsidR="00101717">
          <w:rPr>
            <w:rStyle w:val="Hyperlink"/>
          </w:rPr>
          <w:t xml:space="preserve">or 451B </w:t>
        </w:r>
        <w:r w:rsidR="00467354" w:rsidRPr="00467354">
          <w:rPr>
            <w:rStyle w:val="Hyperlink"/>
          </w:rPr>
          <w:t>of the OPGGS Act</w:t>
        </w:r>
      </w:hyperlink>
      <w:r w:rsidR="00616BF9">
        <w:t xml:space="preserve">, </w:t>
      </w:r>
      <w:r>
        <w:t xml:space="preserve">that they have reasonable </w:t>
      </w:r>
      <w:r w:rsidR="00101717">
        <w:t>grounds to suspect</w:t>
      </w:r>
      <w:r>
        <w:t xml:space="preserve"> that part of a geological </w:t>
      </w:r>
      <w:r w:rsidRPr="00CF0354">
        <w:t>formation within a relevant title area could be an</w:t>
      </w:r>
      <w:r w:rsidR="00333848">
        <w:t xml:space="preserve"> </w:t>
      </w:r>
      <w:r w:rsidR="00333848" w:rsidRPr="00E334C0">
        <w:rPr>
          <w:i/>
          <w:iCs/>
        </w:rPr>
        <w:t>eligible GHG storage formation</w:t>
      </w:r>
      <w:r w:rsidR="00333848">
        <w:t>.</w:t>
      </w:r>
    </w:p>
    <w:p w14:paraId="54171CF5" w14:textId="2726F965" w:rsidR="00D80930" w:rsidRPr="00D80930" w:rsidRDefault="00D80930" w:rsidP="00A82A81">
      <w:pPr>
        <w:pStyle w:val="Heading2"/>
      </w:pPr>
      <w:bookmarkStart w:id="17" w:name="_Toc122614787"/>
      <w:r w:rsidRPr="00D80930">
        <w:lastRenderedPageBreak/>
        <w:t>Eligible GHG storage formation</w:t>
      </w:r>
      <w:bookmarkEnd w:id="17"/>
    </w:p>
    <w:p w14:paraId="54171CF6" w14:textId="6D3CA502" w:rsidR="00D80930" w:rsidRDefault="00333848" w:rsidP="003C596C">
      <w:pPr>
        <w:pStyle w:val="Level2"/>
      </w:pPr>
      <w:r>
        <w:t xml:space="preserve">An </w:t>
      </w:r>
      <w:r w:rsidR="00D80930" w:rsidRPr="00333848">
        <w:rPr>
          <w:i/>
        </w:rPr>
        <w:t>eligible GHG storage formation</w:t>
      </w:r>
      <w:r w:rsidR="00D80930" w:rsidRPr="00F1125C">
        <w:t xml:space="preserve"> is a part of a geological formation that is suitable, with or without engineering enhancements, for the permanent storage of a particular amount (at least 100,000</w:t>
      </w:r>
      <w:r w:rsidR="005C00F4">
        <w:t> </w:t>
      </w:r>
      <w:r w:rsidR="00D80930" w:rsidRPr="00F1125C">
        <w:t>tonnes) of a GHG substance, injected at a particular point(s) over a particular period of time</w:t>
      </w:r>
      <w:r>
        <w:t>, per</w:t>
      </w:r>
      <w:r w:rsidR="00D80930">
        <w:t xml:space="preserve"> </w:t>
      </w:r>
      <w:hyperlink r:id="rId41" w:history="1">
        <w:r w:rsidR="00616BF9">
          <w:rPr>
            <w:rStyle w:val="Hyperlink"/>
          </w:rPr>
          <w:t>subsections 21(1) and (2) of the OPGGS Act</w:t>
        </w:r>
      </w:hyperlink>
      <w:r w:rsidR="00D80930" w:rsidRPr="00F1125C">
        <w:t>.</w:t>
      </w:r>
    </w:p>
    <w:p w14:paraId="54171CF7" w14:textId="106AA4E4" w:rsidR="00D80930" w:rsidRPr="00A82A81" w:rsidRDefault="00D80930" w:rsidP="00333848">
      <w:pPr>
        <w:pStyle w:val="Heading3"/>
        <w:ind w:right="-57"/>
      </w:pPr>
      <w:bookmarkStart w:id="18" w:name="_Toc79063862"/>
      <w:r w:rsidRPr="00A82A81">
        <w:t>Notification of an eligible GHG storage formation</w:t>
      </w:r>
      <w:bookmarkEnd w:id="18"/>
    </w:p>
    <w:bookmarkStart w:id="19" w:name="_Ref118972393"/>
    <w:p w14:paraId="54171CF8" w14:textId="34090D0E" w:rsidR="00D80930" w:rsidRDefault="000C43C3" w:rsidP="003C596C">
      <w:pPr>
        <w:pStyle w:val="Level2"/>
      </w:pPr>
      <w:r>
        <w:rPr>
          <w:rStyle w:val="Hyperlink"/>
        </w:rPr>
        <w:fldChar w:fldCharType="begin"/>
      </w:r>
      <w:r>
        <w:rPr>
          <w:rStyle w:val="Hyperlink"/>
        </w:rPr>
        <w:instrText xml:space="preserve"> HYPERLINK "https://www.legislation.gov.au/Series/C2006A00014" </w:instrText>
      </w:r>
      <w:r>
        <w:rPr>
          <w:rStyle w:val="Hyperlink"/>
        </w:rPr>
      </w:r>
      <w:r>
        <w:rPr>
          <w:rStyle w:val="Hyperlink"/>
        </w:rPr>
        <w:fldChar w:fldCharType="separate"/>
      </w:r>
      <w:r w:rsidR="008E4539" w:rsidRPr="00F5521E">
        <w:rPr>
          <w:rStyle w:val="Hyperlink"/>
        </w:rPr>
        <w:t>S</w:t>
      </w:r>
      <w:r w:rsidR="008E4539">
        <w:rPr>
          <w:rStyle w:val="Hyperlink"/>
        </w:rPr>
        <w:t>ub</w:t>
      </w:r>
      <w:r w:rsidR="008E4539" w:rsidRPr="00F5521E">
        <w:rPr>
          <w:rStyle w:val="Hyperlink"/>
        </w:rPr>
        <w:t>section</w:t>
      </w:r>
      <w:r w:rsidR="00D80930" w:rsidRPr="00F5521E">
        <w:rPr>
          <w:rStyle w:val="Hyperlink"/>
        </w:rPr>
        <w:t xml:space="preserve"> 451</w:t>
      </w:r>
      <w:r w:rsidR="006C4020">
        <w:rPr>
          <w:rStyle w:val="Hyperlink"/>
        </w:rPr>
        <w:t>(2)</w:t>
      </w:r>
      <w:r w:rsidR="00D80930" w:rsidRPr="00F5521E">
        <w:rPr>
          <w:rStyle w:val="Hyperlink"/>
        </w:rPr>
        <w:t xml:space="preserve"> of the OPGGS Act</w:t>
      </w:r>
      <w:r>
        <w:rPr>
          <w:rStyle w:val="Hyperlink"/>
        </w:rPr>
        <w:fldChar w:fldCharType="end"/>
      </w:r>
      <w:r w:rsidR="00D80930" w:rsidRPr="00F1125C">
        <w:t xml:space="preserve"> requires a GHG</w:t>
      </w:r>
      <w:r w:rsidR="00065B50">
        <w:t xml:space="preserve"> titleholder to inform the RCM</w:t>
      </w:r>
      <w:r w:rsidR="005C00F4">
        <w:t xml:space="preserve"> (via </w:t>
      </w:r>
      <w:hyperlink r:id="rId42" w:history="1">
        <w:r w:rsidR="005C00F4" w:rsidRPr="006946E6">
          <w:rPr>
            <w:rStyle w:val="Hyperlink"/>
          </w:rPr>
          <w:t>NOPTA</w:t>
        </w:r>
      </w:hyperlink>
      <w:r w:rsidR="005C00F4">
        <w:t xml:space="preserve">) </w:t>
      </w:r>
      <w:r w:rsidR="00D80930" w:rsidRPr="00F1125C">
        <w:t xml:space="preserve">within 30 days of developing reasonable </w:t>
      </w:r>
      <w:r w:rsidR="00D80930">
        <w:t>grounds to suspect</w:t>
      </w:r>
      <w:r w:rsidR="00D80930" w:rsidRPr="00F1125C">
        <w:t xml:space="preserve"> that a part of a geological formation </w:t>
      </w:r>
      <w:r w:rsidR="00D80930">
        <w:t xml:space="preserve">that </w:t>
      </w:r>
      <w:r w:rsidR="00D80930" w:rsidRPr="00F1125C">
        <w:t>is wholly situated within a GHG title area</w:t>
      </w:r>
      <w:r w:rsidR="00333848">
        <w:t xml:space="preserve"> (including assessment permit,</w:t>
      </w:r>
      <w:r w:rsidR="00333848" w:rsidRPr="00333848">
        <w:t xml:space="preserve"> holding lease and/</w:t>
      </w:r>
      <w:r w:rsidR="00333848">
        <w:t xml:space="preserve"> </w:t>
      </w:r>
      <w:r w:rsidR="00333848" w:rsidRPr="00333848">
        <w:t>or injection licence</w:t>
      </w:r>
      <w:r w:rsidR="00333848">
        <w:t>)</w:t>
      </w:r>
      <w:r w:rsidR="00D80930" w:rsidRPr="00F1125C">
        <w:t xml:space="preserve"> could be a</w:t>
      </w:r>
      <w:r w:rsidR="00333848">
        <w:t xml:space="preserve">n </w:t>
      </w:r>
      <w:r w:rsidR="00333848" w:rsidRPr="00333848">
        <w:rPr>
          <w:i/>
        </w:rPr>
        <w:t>eligible GHG storage formation</w:t>
      </w:r>
      <w:r w:rsidR="00D80930" w:rsidRPr="00F1125C">
        <w:t>.</w:t>
      </w:r>
      <w:r w:rsidR="00BA515C">
        <w:t xml:space="preserve"> </w:t>
      </w:r>
      <w:r w:rsidR="00D80930" w:rsidRPr="00F1125C">
        <w:t xml:space="preserve">The notification is not required to set out the </w:t>
      </w:r>
      <w:r w:rsidR="00D80930" w:rsidRPr="00333848">
        <w:rPr>
          <w:i/>
        </w:rPr>
        <w:t>fundamental suitability determinants</w:t>
      </w:r>
      <w:r w:rsidR="00D80930">
        <w:t xml:space="preserve">, </w:t>
      </w:r>
      <w:r w:rsidR="00D80930" w:rsidRPr="0058383F">
        <w:t xml:space="preserve">but must be accompanied by a written statement that </w:t>
      </w:r>
      <w:r w:rsidR="005C00F4">
        <w:t xml:space="preserve">demonstrates that </w:t>
      </w:r>
      <w:r w:rsidR="00D80930" w:rsidRPr="0058383F">
        <w:t xml:space="preserve">the </w:t>
      </w:r>
      <w:r w:rsidR="00D80930">
        <w:t>titleholder</w:t>
      </w:r>
      <w:r w:rsidR="00D80930" w:rsidRPr="0058383F">
        <w:t xml:space="preserve"> has reasonable grounds to suspect that the part of the geological formation is suitable for the permanent storage of a specified amount of a</w:t>
      </w:r>
      <w:r w:rsidR="00D80930">
        <w:t xml:space="preserve"> specified GHG substance</w:t>
      </w:r>
      <w:r w:rsidR="00333848">
        <w:t>, per</w:t>
      </w:r>
      <w:r w:rsidR="00D80930">
        <w:t xml:space="preserve"> </w:t>
      </w:r>
      <w:hyperlink r:id="rId43" w:history="1">
        <w:r w:rsidR="00D80930" w:rsidRPr="001A50EE">
          <w:rPr>
            <w:rStyle w:val="Hyperlink"/>
          </w:rPr>
          <w:t>s</w:t>
        </w:r>
        <w:r w:rsidR="001C4AC4">
          <w:rPr>
            <w:rStyle w:val="Hyperlink"/>
          </w:rPr>
          <w:t>ubsection</w:t>
        </w:r>
        <w:r w:rsidR="00D80930" w:rsidRPr="001A50EE">
          <w:rPr>
            <w:rStyle w:val="Hyperlink"/>
          </w:rPr>
          <w:t xml:space="preserve"> 451(5) of the OPGGS Act</w:t>
        </w:r>
      </w:hyperlink>
      <w:r w:rsidR="00D80930">
        <w:t>.</w:t>
      </w:r>
      <w:bookmarkEnd w:id="19"/>
    </w:p>
    <w:p w14:paraId="28E2C2F0" w14:textId="3E10C9B8" w:rsidR="000000A6" w:rsidRDefault="00D80930" w:rsidP="003C596C">
      <w:pPr>
        <w:pStyle w:val="Level2"/>
      </w:pPr>
      <w:r>
        <w:t>I</w:t>
      </w:r>
      <w:r w:rsidRPr="0058383F">
        <w:t xml:space="preserve">f the </w:t>
      </w:r>
      <w:r>
        <w:t>GHG titleholder</w:t>
      </w:r>
      <w:r w:rsidRPr="0058383F">
        <w:t xml:space="preserve"> has reasonable grounds to suspect that the part of the geological formation could be an </w:t>
      </w:r>
      <w:r w:rsidRPr="00E334C0">
        <w:rPr>
          <w:i/>
          <w:iCs/>
        </w:rPr>
        <w:t>eligible GHG storage formation</w:t>
      </w:r>
      <w:r w:rsidRPr="0058383F">
        <w:t xml:space="preserve"> with engineering enhancements, the notification must be accompanied by a written statement describing the engineering enhancements</w:t>
      </w:r>
      <w:r w:rsidR="00333848">
        <w:t>, per</w:t>
      </w:r>
      <w:r w:rsidRPr="0058383F">
        <w:t xml:space="preserve"> </w:t>
      </w:r>
      <w:hyperlink r:id="rId44" w:history="1">
        <w:r w:rsidR="00333848">
          <w:rPr>
            <w:rStyle w:val="Hyperlink"/>
          </w:rPr>
          <w:t>subsection </w:t>
        </w:r>
        <w:r w:rsidR="001C4AC4" w:rsidRPr="001C4AC4">
          <w:rPr>
            <w:rStyle w:val="Hyperlink"/>
          </w:rPr>
          <w:t>451(6) of the OPGGS Act</w:t>
        </w:r>
      </w:hyperlink>
      <w:r w:rsidRPr="0058383F">
        <w:t>.</w:t>
      </w:r>
    </w:p>
    <w:p w14:paraId="54171CFA" w14:textId="3DF67413" w:rsidR="00D80930" w:rsidRPr="00333781" w:rsidRDefault="00D80930" w:rsidP="003C596C">
      <w:pPr>
        <w:pStyle w:val="Level2"/>
      </w:pPr>
      <w:r w:rsidRPr="00333781">
        <w:t>Notification to the RCM</w:t>
      </w:r>
      <w:r w:rsidR="00333848">
        <w:t xml:space="preserve">, </w:t>
      </w:r>
      <w:r w:rsidR="008E4539">
        <w:t>per</w:t>
      </w:r>
      <w:r w:rsidR="008E4539" w:rsidRPr="006C4020">
        <w:t xml:space="preserve"> subsection</w:t>
      </w:r>
      <w:r w:rsidR="006C4020" w:rsidRPr="006C4020">
        <w:t xml:space="preserve"> 451(2)</w:t>
      </w:r>
      <w:r w:rsidR="006C4020">
        <w:t xml:space="preserve"> of the OPGGS Act </w:t>
      </w:r>
      <w:r w:rsidR="00333848">
        <w:t>,</w:t>
      </w:r>
      <w:r w:rsidRPr="00333781">
        <w:t xml:space="preserve"> is not required </w:t>
      </w:r>
      <w:r w:rsidR="006C4020">
        <w:t xml:space="preserve">by a </w:t>
      </w:r>
      <w:r w:rsidR="00AD3013">
        <w:t>titleholder</w:t>
      </w:r>
      <w:r w:rsidR="006C4020">
        <w:t xml:space="preserve"> </w:t>
      </w:r>
      <w:r w:rsidRPr="00333781">
        <w:t>where a former titleholder of the permit</w:t>
      </w:r>
      <w:r w:rsidR="00D3447A">
        <w:t>/</w:t>
      </w:r>
      <w:r w:rsidRPr="00333781">
        <w:t xml:space="preserve"> lease</w:t>
      </w:r>
      <w:r w:rsidR="00D3447A">
        <w:t>/</w:t>
      </w:r>
      <w:r w:rsidRPr="00333781">
        <w:t xml:space="preserve"> licence has previously complied with </w:t>
      </w:r>
      <w:hyperlink r:id="rId45" w:history="1">
        <w:r w:rsidR="00D3447A">
          <w:rPr>
            <w:rStyle w:val="Hyperlink"/>
          </w:rPr>
          <w:t>subsections</w:t>
        </w:r>
        <w:r w:rsidR="00AD3013">
          <w:rPr>
            <w:rStyle w:val="Hyperlink"/>
          </w:rPr>
          <w:t> </w:t>
        </w:r>
        <w:r w:rsidR="00D3447A">
          <w:rPr>
            <w:rStyle w:val="Hyperlink"/>
          </w:rPr>
          <w:t>451(2), (5) and (6) of the OPGGS Act</w:t>
        </w:r>
      </w:hyperlink>
      <w:r>
        <w:t xml:space="preserve"> </w:t>
      </w:r>
      <w:r w:rsidRPr="00333781">
        <w:t>in relation to that part of the formation</w:t>
      </w:r>
      <w:r w:rsidR="00D3447A">
        <w:t xml:space="preserve">, per </w:t>
      </w:r>
      <w:hyperlink r:id="rId46" w:history="1">
        <w:r w:rsidRPr="001A50EE">
          <w:rPr>
            <w:rStyle w:val="Hyperlink"/>
          </w:rPr>
          <w:t>s</w:t>
        </w:r>
        <w:r w:rsidR="00A43EF0">
          <w:rPr>
            <w:rStyle w:val="Hyperlink"/>
          </w:rPr>
          <w:t>ubs</w:t>
        </w:r>
        <w:r w:rsidR="001C4AC4">
          <w:rPr>
            <w:rStyle w:val="Hyperlink"/>
          </w:rPr>
          <w:t>ection</w:t>
        </w:r>
        <w:r w:rsidRPr="001A50EE">
          <w:rPr>
            <w:rStyle w:val="Hyperlink"/>
          </w:rPr>
          <w:t xml:space="preserve"> 451(7) of the OPGGS Act</w:t>
        </w:r>
      </w:hyperlink>
      <w:r>
        <w:t>.</w:t>
      </w:r>
    </w:p>
    <w:p w14:paraId="671A6DD9" w14:textId="2D8770CF" w:rsidR="00042940" w:rsidRDefault="00042940" w:rsidP="00042940">
      <w:pPr>
        <w:pStyle w:val="Heading3"/>
      </w:pPr>
      <w:r w:rsidRPr="00042940">
        <w:t xml:space="preserve">Notification of an eligible GHG storage formation </w:t>
      </w:r>
      <w:r w:rsidR="006D1256">
        <w:t>for the purposes of obtaining a</w:t>
      </w:r>
      <w:r>
        <w:t xml:space="preserve"> </w:t>
      </w:r>
      <w:r w:rsidR="006D1256">
        <w:t>c</w:t>
      </w:r>
      <w:r>
        <w:t>ross-boundary GHG assessment permit</w:t>
      </w:r>
    </w:p>
    <w:p w14:paraId="54171CFB" w14:textId="68CD3B72" w:rsidR="00D80930" w:rsidRPr="00333781" w:rsidRDefault="00D80930" w:rsidP="00042940">
      <w:pPr>
        <w:pStyle w:val="Level2"/>
      </w:pPr>
      <w:r w:rsidRPr="00333781">
        <w:t xml:space="preserve">Under </w:t>
      </w:r>
      <w:hyperlink r:id="rId47" w:history="1">
        <w:r w:rsidRPr="00F731F4">
          <w:rPr>
            <w:rStyle w:val="Hyperlink"/>
          </w:rPr>
          <w:t>section 451A of the OPGGS Act</w:t>
        </w:r>
      </w:hyperlink>
      <w:r w:rsidRPr="00333781">
        <w:t>, the holder of a GHG assessment permit who is also the holder of a State/</w:t>
      </w:r>
      <w:r w:rsidR="00310297">
        <w:t xml:space="preserve"> </w:t>
      </w:r>
      <w:r w:rsidRPr="00333781">
        <w:t>Territory GHG assessment title may write to inform the RCM that:</w:t>
      </w:r>
    </w:p>
    <w:p w14:paraId="54171CFC" w14:textId="02A4C166" w:rsidR="00D80930" w:rsidRPr="00333781" w:rsidRDefault="00D80930" w:rsidP="003C596C">
      <w:pPr>
        <w:pStyle w:val="Level3"/>
      </w:pPr>
      <w:r>
        <w:t>a</w:t>
      </w:r>
      <w:r w:rsidRPr="00333781">
        <w:t>t least one block of the GHG assessment permit area has a side in common with at least one block of the State/</w:t>
      </w:r>
      <w:r w:rsidR="00310297">
        <w:t xml:space="preserve"> Territory GHG assessment title</w:t>
      </w:r>
    </w:p>
    <w:p w14:paraId="54171CFD" w14:textId="059C27B2" w:rsidR="00D80930" w:rsidRPr="00333781" w:rsidRDefault="00D80930" w:rsidP="003C596C">
      <w:pPr>
        <w:pStyle w:val="Level3"/>
      </w:pPr>
      <w:r w:rsidRPr="00333781">
        <w:t>a part of a geological formation is wholly situated within the area that consists of the combination of both the GHG assessment permit area and the State/</w:t>
      </w:r>
      <w:r w:rsidR="00310297">
        <w:t xml:space="preserve"> </w:t>
      </w:r>
      <w:r w:rsidRPr="00333781">
        <w:t>Terri</w:t>
      </w:r>
      <w:r w:rsidR="00310297">
        <w:t>tory GHG assessment title area</w:t>
      </w:r>
    </w:p>
    <w:p w14:paraId="54171CFE" w14:textId="62122EFF" w:rsidR="00D80930" w:rsidRDefault="00D80930" w:rsidP="003C596C">
      <w:pPr>
        <w:pStyle w:val="Level3"/>
      </w:pPr>
      <w:r w:rsidRPr="00333781">
        <w:t xml:space="preserve">the part of the geological formation extends to the permit area of the GHG assessment permit and to the </w:t>
      </w:r>
      <w:r w:rsidR="007E40EF">
        <w:t>title</w:t>
      </w:r>
      <w:r w:rsidR="007E40EF" w:rsidRPr="00333781">
        <w:t xml:space="preserve"> </w:t>
      </w:r>
      <w:r w:rsidRPr="00333781">
        <w:t>area of the State/</w:t>
      </w:r>
      <w:r w:rsidR="00310297">
        <w:t xml:space="preserve"> Territory GHG assessment title</w:t>
      </w:r>
    </w:p>
    <w:p w14:paraId="54171CFF" w14:textId="2C7DDFA5" w:rsidR="00D80930" w:rsidRDefault="00D80930" w:rsidP="003C596C">
      <w:pPr>
        <w:pStyle w:val="Level3"/>
      </w:pPr>
      <w:r w:rsidRPr="00333781">
        <w:t xml:space="preserve">the GHG </w:t>
      </w:r>
      <w:r w:rsidR="00AD3013">
        <w:t>titleholder</w:t>
      </w:r>
      <w:r w:rsidRPr="00333781">
        <w:t xml:space="preserve"> has reasonable grounds to sus</w:t>
      </w:r>
      <w:r w:rsidR="00310297">
        <w:t xml:space="preserve">pect that the part could be an </w:t>
      </w:r>
      <w:r w:rsidR="00310297" w:rsidRPr="00F83A52">
        <w:rPr>
          <w:i/>
        </w:rPr>
        <w:t>eligible GHG storage formation</w:t>
      </w:r>
      <w:r w:rsidRPr="00333781">
        <w:t>.</w:t>
      </w:r>
    </w:p>
    <w:p w14:paraId="0E3B6452" w14:textId="3AB16578" w:rsidR="00F83A52" w:rsidRPr="00902F53" w:rsidRDefault="00DE337D" w:rsidP="00F83A52">
      <w:pPr>
        <w:pStyle w:val="Level3"/>
        <w:numPr>
          <w:ilvl w:val="0"/>
          <w:numId w:val="0"/>
        </w:numPr>
        <w:ind w:left="720"/>
      </w:pPr>
      <w:r>
        <w:t xml:space="preserve">The notification is a prerequisite to an application for the grant of a cross-boundary GHG assessment permit, per </w:t>
      </w:r>
      <w:hyperlink r:id="rId48" w:history="1">
        <w:r>
          <w:rPr>
            <w:rStyle w:val="Hyperlink"/>
          </w:rPr>
          <w:t>paragraph</w:t>
        </w:r>
        <w:r w:rsidRPr="00F731F4">
          <w:rPr>
            <w:rStyle w:val="Hyperlink"/>
          </w:rPr>
          <w:t xml:space="preserve"> 307A(1)(d) of the OPGGS Act</w:t>
        </w:r>
      </w:hyperlink>
      <w:r>
        <w:t xml:space="preserve">. </w:t>
      </w:r>
      <w:r w:rsidR="00F83A52" w:rsidRPr="00F83A52">
        <w:t>The</w:t>
      </w:r>
      <w:r w:rsidR="00F83A52">
        <w:t xml:space="preserve"> </w:t>
      </w:r>
      <w:hyperlink r:id="rId49" w:history="1">
        <w:r w:rsidR="00F34397">
          <w:rPr>
            <w:rStyle w:val="Hyperlink"/>
          </w:rPr>
          <w:t>Offshore Greenhouse Gas Guideline for Consolidated Work–bid and Cross–boundary Greenhouse Gas Assessment Permits</w:t>
        </w:r>
      </w:hyperlink>
      <w:r w:rsidR="00F83A52">
        <w:t xml:space="preserve"> </w:t>
      </w:r>
      <w:r w:rsidR="00F83A52" w:rsidRPr="00F83A52">
        <w:t xml:space="preserve">will guide applications to unify adjacent </w:t>
      </w:r>
      <w:r w:rsidR="00D20192">
        <w:t>GHG</w:t>
      </w:r>
      <w:r w:rsidR="00F83A52" w:rsidRPr="00F83A52">
        <w:t xml:space="preserve"> assessment permits</w:t>
      </w:r>
      <w:r w:rsidR="00F83A52">
        <w:t>.</w:t>
      </w:r>
    </w:p>
    <w:p w14:paraId="54171D00" w14:textId="160CE928" w:rsidR="00D80930" w:rsidRPr="0058383F" w:rsidRDefault="00D80930" w:rsidP="003C596C">
      <w:pPr>
        <w:pStyle w:val="Level2"/>
      </w:pPr>
      <w:r>
        <w:lastRenderedPageBreak/>
        <w:t xml:space="preserve">The notification under </w:t>
      </w:r>
      <w:hyperlink r:id="rId50" w:history="1">
        <w:r w:rsidRPr="00F731F4">
          <w:rPr>
            <w:rStyle w:val="Hyperlink"/>
          </w:rPr>
          <w:t>section 451A of the OPGGS Act</w:t>
        </w:r>
      </w:hyperlink>
      <w:r>
        <w:t xml:space="preserve"> </w:t>
      </w:r>
      <w:r w:rsidRPr="0058383F">
        <w:t xml:space="preserve">is not required to set out the </w:t>
      </w:r>
      <w:r w:rsidRPr="00F83A52">
        <w:rPr>
          <w:i/>
        </w:rPr>
        <w:t>fundamental suitability determinants</w:t>
      </w:r>
      <w:r w:rsidR="00F83A52">
        <w:t xml:space="preserve">, per </w:t>
      </w:r>
      <w:hyperlink r:id="rId51" w:history="1">
        <w:r w:rsidRPr="00F731F4">
          <w:rPr>
            <w:rStyle w:val="Hyperlink"/>
          </w:rPr>
          <w:t>s</w:t>
        </w:r>
        <w:r w:rsidR="00F83A52">
          <w:rPr>
            <w:rStyle w:val="Hyperlink"/>
          </w:rPr>
          <w:t>ubs</w:t>
        </w:r>
        <w:r w:rsidRPr="00F731F4">
          <w:rPr>
            <w:rStyle w:val="Hyperlink"/>
          </w:rPr>
          <w:t>ection 451A(3) of the OPGGS Act</w:t>
        </w:r>
      </w:hyperlink>
      <w:r w:rsidRPr="0058383F">
        <w:t xml:space="preserve">, but must be accompanied by a written statement that </w:t>
      </w:r>
      <w:r w:rsidR="005C00F4">
        <w:t xml:space="preserve">demonstrates that </w:t>
      </w:r>
      <w:r w:rsidRPr="0058383F">
        <w:t xml:space="preserve">the </w:t>
      </w:r>
      <w:r w:rsidR="00AD3013">
        <w:t>titleholder</w:t>
      </w:r>
      <w:r w:rsidRPr="0058383F">
        <w:t xml:space="preserve"> has reasonable grounds to suspect that the part of the geological formation is suitable for the permanent storage of a specified amount of a specified GHG substance</w:t>
      </w:r>
      <w:r w:rsidR="00F83A52">
        <w:t>, per</w:t>
      </w:r>
      <w:r>
        <w:t xml:space="preserve"> </w:t>
      </w:r>
      <w:hyperlink r:id="rId52" w:history="1">
        <w:r w:rsidRPr="00F731F4">
          <w:rPr>
            <w:rStyle w:val="Hyperlink"/>
          </w:rPr>
          <w:t>s</w:t>
        </w:r>
        <w:r w:rsidR="00F731F4" w:rsidRPr="00F731F4">
          <w:rPr>
            <w:rStyle w:val="Hyperlink"/>
          </w:rPr>
          <w:t>ubsection</w:t>
        </w:r>
        <w:r w:rsidRPr="00F731F4">
          <w:rPr>
            <w:rStyle w:val="Hyperlink"/>
          </w:rPr>
          <w:t xml:space="preserve"> 451A(5) of the OPGGS Act</w:t>
        </w:r>
      </w:hyperlink>
      <w:r w:rsidRPr="0058383F">
        <w:t>.</w:t>
      </w:r>
    </w:p>
    <w:p w14:paraId="54171D01" w14:textId="69E3F16F" w:rsidR="00D80930" w:rsidRPr="00DE7291" w:rsidRDefault="00DE337D" w:rsidP="003C596C">
      <w:pPr>
        <w:pStyle w:val="Level2"/>
      </w:pPr>
      <w:r>
        <w:t>I</w:t>
      </w:r>
      <w:r w:rsidR="00D80930" w:rsidRPr="0058383F">
        <w:t xml:space="preserve">f the </w:t>
      </w:r>
      <w:r w:rsidR="00AD3013">
        <w:t>titleholder</w:t>
      </w:r>
      <w:r w:rsidR="00D80930" w:rsidRPr="0058383F">
        <w:t xml:space="preserve"> has reasonable grounds to suspect that the part of the geological formation could be an </w:t>
      </w:r>
      <w:r w:rsidR="00D80930" w:rsidRPr="00F83A52">
        <w:rPr>
          <w:i/>
        </w:rPr>
        <w:t>eligible GHG storage formation</w:t>
      </w:r>
      <w:r w:rsidR="00D80930" w:rsidRPr="0058383F">
        <w:t xml:space="preserve"> with engineering enhancements, the notification must be accompanied by a written statement describing the engineering enhancements</w:t>
      </w:r>
      <w:r w:rsidR="00F83A52">
        <w:t>, per</w:t>
      </w:r>
      <w:r w:rsidR="00D80930" w:rsidRPr="00DE7291">
        <w:t xml:space="preserve"> </w:t>
      </w:r>
      <w:hyperlink r:id="rId53" w:history="1">
        <w:r w:rsidR="00D80930" w:rsidRPr="00F83A52">
          <w:rPr>
            <w:rStyle w:val="Hyperlink"/>
          </w:rPr>
          <w:t>s</w:t>
        </w:r>
        <w:r w:rsidR="00F731F4" w:rsidRPr="00F83A52">
          <w:rPr>
            <w:rStyle w:val="Hyperlink"/>
          </w:rPr>
          <w:t>ubsection</w:t>
        </w:r>
        <w:r w:rsidR="00B45AE6">
          <w:rPr>
            <w:rStyle w:val="Hyperlink"/>
          </w:rPr>
          <w:t> </w:t>
        </w:r>
        <w:r w:rsidR="00D80930" w:rsidRPr="00F83A52">
          <w:rPr>
            <w:rStyle w:val="Hyperlink"/>
          </w:rPr>
          <w:t>451A(6) of the OPGGS Act</w:t>
        </w:r>
      </w:hyperlink>
      <w:r w:rsidR="00D80930" w:rsidRPr="00DE7291">
        <w:t>.</w:t>
      </w:r>
    </w:p>
    <w:p w14:paraId="1FC74A97" w14:textId="31881EC7" w:rsidR="00042940" w:rsidRDefault="00042940" w:rsidP="00042940">
      <w:pPr>
        <w:pStyle w:val="Heading3"/>
      </w:pPr>
      <w:r w:rsidRPr="00042940">
        <w:t xml:space="preserve">Notification of an eligible GHG storage formation </w:t>
      </w:r>
      <w:r w:rsidR="00F2490A" w:rsidRPr="00F2490A">
        <w:t xml:space="preserve">for the purposes of obtaining a </w:t>
      </w:r>
      <w:r w:rsidR="00F2490A">
        <w:t>c</w:t>
      </w:r>
      <w:r>
        <w:t>onsolidated GHG assessment permit</w:t>
      </w:r>
    </w:p>
    <w:p w14:paraId="54171D02" w14:textId="15A84D4C" w:rsidR="00D80930" w:rsidRPr="00333781" w:rsidRDefault="00D80930" w:rsidP="003C596C">
      <w:pPr>
        <w:pStyle w:val="Level2"/>
      </w:pPr>
      <w:r w:rsidRPr="00333781">
        <w:t xml:space="preserve">Under </w:t>
      </w:r>
      <w:hyperlink r:id="rId54" w:history="1">
        <w:r w:rsidR="007C4F5B">
          <w:rPr>
            <w:rStyle w:val="Hyperlink"/>
          </w:rPr>
          <w:t>section 451B of the OPGGS Act</w:t>
        </w:r>
      </w:hyperlink>
      <w:r w:rsidRPr="00333781">
        <w:t xml:space="preserve">, the holder of </w:t>
      </w:r>
      <w:r>
        <w:t>two work-bid</w:t>
      </w:r>
      <w:r w:rsidRPr="00333781">
        <w:t xml:space="preserve"> GHG assessment permit</w:t>
      </w:r>
      <w:r>
        <w:t>s</w:t>
      </w:r>
      <w:r w:rsidR="00065B50">
        <w:t xml:space="preserve"> may write to inform the RCM</w:t>
      </w:r>
      <w:r w:rsidRPr="00333781">
        <w:t xml:space="preserve"> that:</w:t>
      </w:r>
    </w:p>
    <w:p w14:paraId="54171D03" w14:textId="4F3A3825" w:rsidR="00D80930" w:rsidRPr="00333781" w:rsidRDefault="00D80930" w:rsidP="003C596C">
      <w:pPr>
        <w:pStyle w:val="Level3"/>
      </w:pPr>
      <w:r>
        <w:t>a</w:t>
      </w:r>
      <w:r w:rsidRPr="00333781">
        <w:t>t least one block of</w:t>
      </w:r>
      <w:r>
        <w:t xml:space="preserve"> the area of one of</w:t>
      </w:r>
      <w:r w:rsidRPr="00333781">
        <w:t xml:space="preserve"> the GHG assessment permit</w:t>
      </w:r>
      <w:r>
        <w:t>s</w:t>
      </w:r>
      <w:r w:rsidRPr="00333781">
        <w:t xml:space="preserve"> has a side in common with at least one block of the </w:t>
      </w:r>
      <w:r>
        <w:t>other GHG</w:t>
      </w:r>
      <w:r w:rsidRPr="00333781">
        <w:t xml:space="preserve"> assessment </w:t>
      </w:r>
      <w:r>
        <w:t>permit</w:t>
      </w:r>
    </w:p>
    <w:p w14:paraId="54171D04" w14:textId="2896DC99" w:rsidR="00D80930" w:rsidRPr="00333781" w:rsidRDefault="00D80930" w:rsidP="003C596C">
      <w:pPr>
        <w:pStyle w:val="Level3"/>
      </w:pPr>
      <w:r w:rsidRPr="00333781">
        <w:t xml:space="preserve">a part of a geological formation is wholly situated within the area that consists of the combination of both </w:t>
      </w:r>
      <w:r>
        <w:t xml:space="preserve">of </w:t>
      </w:r>
      <w:r w:rsidRPr="00333781">
        <w:t>the GHG assessment permit</w:t>
      </w:r>
      <w:r>
        <w:t>s</w:t>
      </w:r>
    </w:p>
    <w:p w14:paraId="54171D05" w14:textId="4E119906" w:rsidR="00D80930" w:rsidRDefault="00D80930" w:rsidP="003C596C">
      <w:pPr>
        <w:pStyle w:val="Level3"/>
      </w:pPr>
      <w:r w:rsidRPr="00333781">
        <w:t xml:space="preserve">the part of the geological formation extends to the permit area of </w:t>
      </w:r>
      <w:r>
        <w:t xml:space="preserve">each of </w:t>
      </w:r>
      <w:r w:rsidRPr="00333781">
        <w:t>the GHG assessment permit</w:t>
      </w:r>
      <w:r>
        <w:t>s</w:t>
      </w:r>
    </w:p>
    <w:p w14:paraId="54171D07" w14:textId="03CECE5D" w:rsidR="00D80930" w:rsidRPr="00333781" w:rsidRDefault="00D80930" w:rsidP="003C596C">
      <w:pPr>
        <w:pStyle w:val="Level3"/>
      </w:pPr>
      <w:r w:rsidRPr="00333781">
        <w:t xml:space="preserve">the GHG </w:t>
      </w:r>
      <w:r w:rsidR="00AD3013">
        <w:t>titleholder</w:t>
      </w:r>
      <w:r w:rsidRPr="00333781">
        <w:t xml:space="preserve"> has reasonable grounds to sus</w:t>
      </w:r>
      <w:r w:rsidR="00065B50">
        <w:t xml:space="preserve">pect that the part could be an </w:t>
      </w:r>
      <w:r w:rsidRPr="00065B50">
        <w:rPr>
          <w:i/>
        </w:rPr>
        <w:t>eligible GHG storage formation</w:t>
      </w:r>
      <w:r w:rsidRPr="00333781">
        <w:t>.</w:t>
      </w:r>
    </w:p>
    <w:p w14:paraId="54171D09" w14:textId="723CB6FC" w:rsidR="00D80930" w:rsidRPr="0058383F" w:rsidRDefault="00D80930" w:rsidP="003C596C">
      <w:pPr>
        <w:pStyle w:val="Level2"/>
      </w:pPr>
      <w:r>
        <w:t>The notification is a prerequisite to an application for the grant of a consolidated work-bid GHG assessment permit</w:t>
      </w:r>
      <w:r w:rsidR="007C4F5B">
        <w:t xml:space="preserve">, per </w:t>
      </w:r>
      <w:hyperlink r:id="rId55" w:history="1">
        <w:r w:rsidR="007C4F5B" w:rsidRPr="007C4F5B">
          <w:rPr>
            <w:rStyle w:val="Hyperlink"/>
          </w:rPr>
          <w:t>paragraph 302A(1)(f) of the OPGGS Act</w:t>
        </w:r>
      </w:hyperlink>
      <w:r>
        <w:t>.</w:t>
      </w:r>
      <w:r w:rsidR="00BA515C">
        <w:t xml:space="preserve"> </w:t>
      </w:r>
      <w:r>
        <w:t>T</w:t>
      </w:r>
      <w:r w:rsidRPr="0058383F">
        <w:t>he notification</w:t>
      </w:r>
      <w:r>
        <w:t xml:space="preserve"> under </w:t>
      </w:r>
      <w:hyperlink r:id="rId56" w:history="1">
        <w:r w:rsidRPr="00A9454C">
          <w:rPr>
            <w:rStyle w:val="Hyperlink"/>
          </w:rPr>
          <w:t>section 451B of the OPGGS Act</w:t>
        </w:r>
      </w:hyperlink>
      <w:r w:rsidRPr="0058383F">
        <w:t xml:space="preserve"> is not required to set out the fundamental suitability</w:t>
      </w:r>
      <w:r>
        <w:t xml:space="preserve"> </w:t>
      </w:r>
      <w:r w:rsidRPr="0058383F">
        <w:t>determinants</w:t>
      </w:r>
      <w:r w:rsidR="00042940">
        <w:t xml:space="preserve">, per </w:t>
      </w:r>
      <w:hyperlink r:id="rId57" w:history="1">
        <w:r w:rsidRPr="00A9454C">
          <w:rPr>
            <w:rStyle w:val="Hyperlink"/>
          </w:rPr>
          <w:t>s</w:t>
        </w:r>
        <w:r w:rsidR="00F731F4">
          <w:rPr>
            <w:rStyle w:val="Hyperlink"/>
          </w:rPr>
          <w:t>ubs</w:t>
        </w:r>
        <w:r w:rsidRPr="00A9454C">
          <w:rPr>
            <w:rStyle w:val="Hyperlink"/>
          </w:rPr>
          <w:t>ection</w:t>
        </w:r>
        <w:r w:rsidR="00AD3013">
          <w:rPr>
            <w:rStyle w:val="Hyperlink"/>
          </w:rPr>
          <w:t> </w:t>
        </w:r>
        <w:r w:rsidRPr="00A9454C">
          <w:rPr>
            <w:rStyle w:val="Hyperlink"/>
          </w:rPr>
          <w:t>451B(3) of the OPGGS Act</w:t>
        </w:r>
      </w:hyperlink>
      <w:r w:rsidRPr="0058383F">
        <w:t>, but must be accompanied by a written statement that</w:t>
      </w:r>
      <w:r w:rsidR="005C00F4" w:rsidRPr="005C00F4">
        <w:t xml:space="preserve"> </w:t>
      </w:r>
      <w:r w:rsidR="005C00F4">
        <w:t>demonstrates that</w:t>
      </w:r>
      <w:r w:rsidRPr="0058383F">
        <w:t xml:space="preserve"> the </w:t>
      </w:r>
      <w:r w:rsidR="00AD3013">
        <w:t>titleholder</w:t>
      </w:r>
      <w:r w:rsidRPr="0058383F">
        <w:t xml:space="preserve"> has reasonable grounds to suspect that the part of the geological formation is suitable for the permanent storage of a specified amount of a specified GHG substance</w:t>
      </w:r>
      <w:r w:rsidR="00042940">
        <w:t>, per</w:t>
      </w:r>
      <w:r>
        <w:t xml:space="preserve"> </w:t>
      </w:r>
      <w:hyperlink r:id="rId58" w:history="1">
        <w:r w:rsidRPr="00A9454C">
          <w:rPr>
            <w:rStyle w:val="Hyperlink"/>
          </w:rPr>
          <w:t>s</w:t>
        </w:r>
        <w:r w:rsidR="00F731F4">
          <w:rPr>
            <w:rStyle w:val="Hyperlink"/>
          </w:rPr>
          <w:t>ubsection</w:t>
        </w:r>
        <w:r w:rsidRPr="00A9454C">
          <w:rPr>
            <w:rStyle w:val="Hyperlink"/>
          </w:rPr>
          <w:t xml:space="preserve"> 451B(5) of the OPGGS Act</w:t>
        </w:r>
      </w:hyperlink>
      <w:r w:rsidRPr="0058383F">
        <w:t>.</w:t>
      </w:r>
    </w:p>
    <w:p w14:paraId="54171D0A" w14:textId="52A3DF5C" w:rsidR="00D80930" w:rsidRDefault="00863395" w:rsidP="003C596C">
      <w:pPr>
        <w:pStyle w:val="Level2"/>
      </w:pPr>
      <w:r>
        <w:t>I</w:t>
      </w:r>
      <w:r w:rsidR="00D80930" w:rsidRPr="0058383F">
        <w:t xml:space="preserve">f the </w:t>
      </w:r>
      <w:r w:rsidR="00AD3013">
        <w:t>titleholder</w:t>
      </w:r>
      <w:r w:rsidR="00D80930" w:rsidRPr="0058383F">
        <w:t xml:space="preserve"> has reasonable grounds to suspect that the part of the geological formation could be an </w:t>
      </w:r>
      <w:r w:rsidR="00D80930" w:rsidRPr="00042940">
        <w:rPr>
          <w:i/>
        </w:rPr>
        <w:t>eligible GHG storage formation</w:t>
      </w:r>
      <w:r w:rsidR="00D80930" w:rsidRPr="0058383F">
        <w:t xml:space="preserve"> with engineering enhancements, the notification must be accompanied by a written statement describing the engineering enhancements</w:t>
      </w:r>
      <w:r w:rsidR="00042940">
        <w:t>, per</w:t>
      </w:r>
      <w:r w:rsidR="00D80930" w:rsidRPr="0058383F">
        <w:t xml:space="preserve"> </w:t>
      </w:r>
      <w:hyperlink r:id="rId59" w:history="1">
        <w:r w:rsidR="00D80930" w:rsidRPr="0058383F">
          <w:rPr>
            <w:color w:val="0000FF"/>
            <w:u w:val="single"/>
          </w:rPr>
          <w:t>s</w:t>
        </w:r>
        <w:r w:rsidR="00F731F4">
          <w:rPr>
            <w:color w:val="0000FF"/>
            <w:u w:val="single"/>
          </w:rPr>
          <w:t>ubsection</w:t>
        </w:r>
        <w:r w:rsidR="00B45AE6">
          <w:rPr>
            <w:color w:val="0000FF"/>
            <w:u w:val="single"/>
          </w:rPr>
          <w:t> </w:t>
        </w:r>
        <w:r w:rsidR="00D80930" w:rsidRPr="0058383F">
          <w:rPr>
            <w:color w:val="0000FF"/>
            <w:u w:val="single"/>
          </w:rPr>
          <w:t>451</w:t>
        </w:r>
        <w:r w:rsidR="00D80930">
          <w:rPr>
            <w:color w:val="0000FF"/>
            <w:u w:val="single"/>
          </w:rPr>
          <w:t>B</w:t>
        </w:r>
        <w:r w:rsidR="00D80930" w:rsidRPr="0058383F">
          <w:rPr>
            <w:color w:val="0000FF"/>
            <w:u w:val="single"/>
          </w:rPr>
          <w:t>(6) of the OPGGS Act</w:t>
        </w:r>
      </w:hyperlink>
      <w:r w:rsidR="00D80930" w:rsidRPr="0058383F">
        <w:t>.</w:t>
      </w:r>
    </w:p>
    <w:p w14:paraId="52CE4A4B" w14:textId="285FBD36" w:rsidR="00C17F1F" w:rsidRPr="00F1125C" w:rsidRDefault="007C4F5B" w:rsidP="00C17F1F">
      <w:pPr>
        <w:pStyle w:val="Level2"/>
      </w:pPr>
      <w:r>
        <w:t>If</w:t>
      </w:r>
      <w:r w:rsidR="00C17F1F">
        <w:t xml:space="preserve"> a consolidated GHG assessment permit has been granted, a subsequent n</w:t>
      </w:r>
      <w:r w:rsidR="00C17F1F" w:rsidRPr="00042940">
        <w:t xml:space="preserve">otification of an </w:t>
      </w:r>
      <w:r w:rsidR="00C17F1F" w:rsidRPr="00C17F1F">
        <w:rPr>
          <w:i/>
          <w:iCs/>
        </w:rPr>
        <w:t>eligible GHG storage formation</w:t>
      </w:r>
      <w:r w:rsidR="00C17F1F">
        <w:t xml:space="preserve"> must be submitted for the newly granted permit, in accordance with </w:t>
      </w:r>
      <w:hyperlink r:id="rId60" w:history="1">
        <w:r>
          <w:rPr>
            <w:rStyle w:val="Hyperlink"/>
          </w:rPr>
          <w:t>subsections 451(2), (5) and (6) of the OPGGS Act</w:t>
        </w:r>
      </w:hyperlink>
      <w:r w:rsidR="00C17F1F">
        <w:t>.</w:t>
      </w:r>
    </w:p>
    <w:p w14:paraId="54171D0B" w14:textId="4BAB40D3" w:rsidR="00D80930" w:rsidRPr="00D80930" w:rsidRDefault="00D80930" w:rsidP="00A82A81">
      <w:pPr>
        <w:pStyle w:val="Heading2"/>
      </w:pPr>
      <w:bookmarkStart w:id="20" w:name="_Toc122614788"/>
      <w:r w:rsidRPr="00D80930">
        <w:t xml:space="preserve">Identified GHG </w:t>
      </w:r>
      <w:r w:rsidR="006E7EBC">
        <w:t xml:space="preserve">storage </w:t>
      </w:r>
      <w:r w:rsidRPr="00D80930">
        <w:t>formation</w:t>
      </w:r>
      <w:bookmarkEnd w:id="20"/>
    </w:p>
    <w:p w14:paraId="11E991A2" w14:textId="147D450D" w:rsidR="00985247" w:rsidRDefault="00042940" w:rsidP="003C596C">
      <w:pPr>
        <w:pStyle w:val="Level2"/>
      </w:pPr>
      <w:r>
        <w:t xml:space="preserve">An </w:t>
      </w:r>
      <w:r w:rsidR="00D80930" w:rsidRPr="00042940">
        <w:rPr>
          <w:i/>
        </w:rPr>
        <w:t>ident</w:t>
      </w:r>
      <w:r w:rsidRPr="00042940">
        <w:rPr>
          <w:i/>
        </w:rPr>
        <w:t>ified GHG storage formation</w:t>
      </w:r>
      <w:r w:rsidR="00D80930" w:rsidRPr="00F1125C">
        <w:t xml:space="preserve"> is an </w:t>
      </w:r>
      <w:r w:rsidR="00D80930" w:rsidRPr="00042940">
        <w:rPr>
          <w:i/>
        </w:rPr>
        <w:t>eligible GHG</w:t>
      </w:r>
      <w:r>
        <w:rPr>
          <w:i/>
        </w:rPr>
        <w:t xml:space="preserve"> storage</w:t>
      </w:r>
      <w:r w:rsidR="00D80930" w:rsidRPr="00042940">
        <w:rPr>
          <w:i/>
        </w:rPr>
        <w:t xml:space="preserve"> formation</w:t>
      </w:r>
      <w:r w:rsidR="00D80930" w:rsidRPr="00F1125C">
        <w:t xml:space="preserve"> that is declared by the RCM </w:t>
      </w:r>
      <w:r w:rsidR="008D5277">
        <w:t xml:space="preserve">as an </w:t>
      </w:r>
      <w:r w:rsidR="008D5277" w:rsidRPr="00042940">
        <w:rPr>
          <w:i/>
        </w:rPr>
        <w:t>identified GH</w:t>
      </w:r>
      <w:r w:rsidR="00D80930" w:rsidRPr="00042940">
        <w:rPr>
          <w:i/>
        </w:rPr>
        <w:t>G storage formation</w:t>
      </w:r>
      <w:r w:rsidR="00D80930">
        <w:t xml:space="preserve"> </w:t>
      </w:r>
      <w:r w:rsidR="00D80930" w:rsidRPr="00F1125C">
        <w:t xml:space="preserve">under </w:t>
      </w:r>
      <w:hyperlink r:id="rId61" w:history="1">
        <w:r w:rsidR="00D80930" w:rsidRPr="006946E6">
          <w:rPr>
            <w:rStyle w:val="Hyperlink"/>
          </w:rPr>
          <w:t>s</w:t>
        </w:r>
        <w:r w:rsidR="00F731F4">
          <w:rPr>
            <w:rStyle w:val="Hyperlink"/>
          </w:rPr>
          <w:t>ubs</w:t>
        </w:r>
        <w:r w:rsidR="00D80930" w:rsidRPr="006946E6">
          <w:rPr>
            <w:rStyle w:val="Hyperlink"/>
          </w:rPr>
          <w:t>ection 312</w:t>
        </w:r>
        <w:r w:rsidR="00D80930" w:rsidRPr="00602D7D">
          <w:rPr>
            <w:rStyle w:val="Hyperlink"/>
          </w:rPr>
          <w:t>(11)</w:t>
        </w:r>
        <w:r w:rsidR="00D80930" w:rsidRPr="00A9454C">
          <w:rPr>
            <w:rStyle w:val="Hyperlink"/>
          </w:rPr>
          <w:t xml:space="preserve"> of the OPGGS Act</w:t>
        </w:r>
      </w:hyperlink>
      <w:r w:rsidR="00863395">
        <w:t xml:space="preserve">, </w:t>
      </w:r>
      <w:r w:rsidR="00D80930">
        <w:t xml:space="preserve">or </w:t>
      </w:r>
      <w:hyperlink r:id="rId62" w:history="1">
        <w:r>
          <w:rPr>
            <w:rStyle w:val="Hyperlink"/>
          </w:rPr>
          <w:t>subsection 312A(11) of the OPGGS Act</w:t>
        </w:r>
      </w:hyperlink>
      <w:r>
        <w:t xml:space="preserve"> for cross-boundary GHG titles.</w:t>
      </w:r>
    </w:p>
    <w:p w14:paraId="54171D0D" w14:textId="29F50A17" w:rsidR="00D80930" w:rsidRDefault="00D80930" w:rsidP="003C596C">
      <w:pPr>
        <w:pStyle w:val="Level2"/>
      </w:pPr>
      <w:r>
        <w:t>If</w:t>
      </w:r>
      <w:r w:rsidRPr="002757A6">
        <w:t xml:space="preserve"> a GHG titleholder</w:t>
      </w:r>
      <w:r w:rsidR="00F470F2">
        <w:t xml:space="preserve">, </w:t>
      </w:r>
      <w:r w:rsidRPr="002757A6">
        <w:t xml:space="preserve">or </w:t>
      </w:r>
      <w:r>
        <w:t>the</w:t>
      </w:r>
      <w:r w:rsidRPr="002757A6">
        <w:t xml:space="preserve"> holder of a petroleum retention lease or petroleum production licen</w:t>
      </w:r>
      <w:r>
        <w:t>c</w:t>
      </w:r>
      <w:r w:rsidRPr="002757A6">
        <w:t xml:space="preserve">e, has reasonable grounds to believe that a part of a geological formation </w:t>
      </w:r>
      <w:r>
        <w:t xml:space="preserve">wholly situated </w:t>
      </w:r>
      <w:r w:rsidRPr="002757A6">
        <w:t xml:space="preserve">in </w:t>
      </w:r>
      <w:r>
        <w:t>the</w:t>
      </w:r>
      <w:r w:rsidRPr="002757A6">
        <w:t xml:space="preserve"> </w:t>
      </w:r>
      <w:r>
        <w:t>title</w:t>
      </w:r>
      <w:r w:rsidRPr="002757A6">
        <w:t xml:space="preserve"> </w:t>
      </w:r>
      <w:r w:rsidRPr="002757A6">
        <w:lastRenderedPageBreak/>
        <w:t xml:space="preserve">area is an </w:t>
      </w:r>
      <w:r w:rsidRPr="00042940">
        <w:rPr>
          <w:i/>
        </w:rPr>
        <w:t>eligible GHG storage formation</w:t>
      </w:r>
      <w:r w:rsidRPr="002757A6">
        <w:t xml:space="preserve">, the </w:t>
      </w:r>
      <w:r>
        <w:t>titleholder</w:t>
      </w:r>
      <w:r w:rsidRPr="002757A6">
        <w:t xml:space="preserve"> </w:t>
      </w:r>
      <w:r>
        <w:t>may</w:t>
      </w:r>
      <w:r w:rsidRPr="002757A6">
        <w:t xml:space="preserve"> apply to the RCM to declare the </w:t>
      </w:r>
      <w:r>
        <w:t xml:space="preserve">part of the </w:t>
      </w:r>
      <w:r w:rsidRPr="002757A6">
        <w:t xml:space="preserve">storage formation </w:t>
      </w:r>
      <w:r>
        <w:t xml:space="preserve">as </w:t>
      </w:r>
      <w:r w:rsidR="00042940">
        <w:t xml:space="preserve">an </w:t>
      </w:r>
      <w:r w:rsidRPr="00042940">
        <w:rPr>
          <w:i/>
        </w:rPr>
        <w:t>identified GHG storage formation</w:t>
      </w:r>
      <w:r w:rsidR="00042940">
        <w:t>, per</w:t>
      </w:r>
      <w:r>
        <w:t xml:space="preserve"> </w:t>
      </w:r>
      <w:hyperlink r:id="rId63" w:history="1">
        <w:r w:rsidR="00F731F4" w:rsidRPr="00A9454C">
          <w:rPr>
            <w:rStyle w:val="Hyperlink"/>
          </w:rPr>
          <w:t>s</w:t>
        </w:r>
        <w:r w:rsidR="00F731F4">
          <w:rPr>
            <w:rStyle w:val="Hyperlink"/>
          </w:rPr>
          <w:t>ub</w:t>
        </w:r>
        <w:r w:rsidR="00F731F4" w:rsidRPr="00A9454C">
          <w:rPr>
            <w:rStyle w:val="Hyperlink"/>
          </w:rPr>
          <w:t>s</w:t>
        </w:r>
        <w:r w:rsidR="00F731F4">
          <w:rPr>
            <w:rStyle w:val="Hyperlink"/>
          </w:rPr>
          <w:t>ections</w:t>
        </w:r>
        <w:r w:rsidRPr="00A9454C">
          <w:rPr>
            <w:rStyle w:val="Hyperlink"/>
          </w:rPr>
          <w:t xml:space="preserve"> 312(1) and (2) of the OPGGS Act</w:t>
        </w:r>
      </w:hyperlink>
      <w:r>
        <w:t>.</w:t>
      </w:r>
    </w:p>
    <w:p w14:paraId="54171D0E" w14:textId="50E2D2CE" w:rsidR="00D80930" w:rsidRPr="00064FBC" w:rsidRDefault="00D80930" w:rsidP="003C596C">
      <w:pPr>
        <w:pStyle w:val="Level2"/>
      </w:pPr>
      <w:r>
        <w:t>If</w:t>
      </w:r>
      <w:r w:rsidRPr="002757A6">
        <w:t xml:space="preserve"> a cross-boundary GHG </w:t>
      </w:r>
      <w:r w:rsidR="00042940">
        <w:t>title</w:t>
      </w:r>
      <w:r w:rsidRPr="002757A6">
        <w:t>holder has reasonable grounds to believe that:</w:t>
      </w:r>
    </w:p>
    <w:p w14:paraId="54171D0F" w14:textId="580CBACD" w:rsidR="00D80930" w:rsidRPr="002757A6" w:rsidRDefault="00D80930" w:rsidP="003C596C">
      <w:pPr>
        <w:pStyle w:val="Level3"/>
      </w:pPr>
      <w:r w:rsidRPr="002757A6">
        <w:t xml:space="preserve">a part of a geological formation is an </w:t>
      </w:r>
      <w:r w:rsidR="00042940" w:rsidRPr="00E334C0">
        <w:rPr>
          <w:i/>
          <w:iCs/>
        </w:rPr>
        <w:t>eligible GHG storage formation</w:t>
      </w:r>
    </w:p>
    <w:p w14:paraId="54171D10" w14:textId="11E650EB" w:rsidR="00D80930" w:rsidRPr="002757A6" w:rsidRDefault="00D80930" w:rsidP="003C596C">
      <w:pPr>
        <w:pStyle w:val="Level3"/>
      </w:pPr>
      <w:r w:rsidRPr="002757A6">
        <w:t>the part is whol</w:t>
      </w:r>
      <w:r w:rsidR="00042940">
        <w:t>ly situated in the permit area</w:t>
      </w:r>
    </w:p>
    <w:p w14:paraId="6F013A3E" w14:textId="0074ADA9" w:rsidR="007D1BC9" w:rsidRDefault="00D80930" w:rsidP="003C596C">
      <w:pPr>
        <w:pStyle w:val="Level3"/>
      </w:pPr>
      <w:r w:rsidRPr="002757A6">
        <w:t>the part of the geological formation extends to the permit area of the precursor GHG assessment permit and the relevant area of the precursor State/</w:t>
      </w:r>
      <w:r w:rsidR="00042940">
        <w:t xml:space="preserve"> </w:t>
      </w:r>
      <w:r w:rsidRPr="002757A6">
        <w:t>Territory GHG assessment title</w:t>
      </w:r>
      <w:r w:rsidR="007D1BC9">
        <w:t>, and</w:t>
      </w:r>
    </w:p>
    <w:p w14:paraId="6466D2E7" w14:textId="4486D744" w:rsidR="007D1BC9" w:rsidRDefault="00D80930" w:rsidP="007D1BC9">
      <w:pPr>
        <w:pStyle w:val="Level3"/>
      </w:pPr>
      <w:r w:rsidRPr="002757A6">
        <w:t xml:space="preserve">there is no </w:t>
      </w:r>
      <w:r w:rsidRPr="007D1BC9">
        <w:rPr>
          <w:i/>
        </w:rPr>
        <w:t>identified GHG storage formation</w:t>
      </w:r>
      <w:r w:rsidRPr="002757A6">
        <w:t xml:space="preserve"> wholly situated within the permit area of the precursor GHG assessment permit or precursor State/</w:t>
      </w:r>
      <w:r w:rsidR="00042940">
        <w:t xml:space="preserve"> </w:t>
      </w:r>
      <w:r w:rsidRPr="002757A6">
        <w:t>Territory GHG assessment title</w:t>
      </w:r>
      <w:r w:rsidR="00D20192">
        <w:t>.</w:t>
      </w:r>
    </w:p>
    <w:p w14:paraId="54171D13" w14:textId="25C4E2C0" w:rsidR="00D80930" w:rsidRPr="00CA31DB" w:rsidRDefault="00D80930" w:rsidP="003C596C">
      <w:pPr>
        <w:pStyle w:val="Level2"/>
        <w:numPr>
          <w:ilvl w:val="0"/>
          <w:numId w:val="0"/>
        </w:numPr>
        <w:ind w:left="720"/>
      </w:pPr>
      <w:r w:rsidRPr="002757A6">
        <w:t xml:space="preserve">the assessment permit holder </w:t>
      </w:r>
      <w:r>
        <w:t>may</w:t>
      </w:r>
      <w:r w:rsidRPr="002757A6">
        <w:t xml:space="preserve"> apply to the RCM to declare</w:t>
      </w:r>
      <w:r>
        <w:t xml:space="preserve"> the part of the storage formation</w:t>
      </w:r>
      <w:r w:rsidRPr="002757A6">
        <w:t xml:space="preserve"> as an </w:t>
      </w:r>
      <w:r w:rsidRPr="00042940">
        <w:rPr>
          <w:i/>
        </w:rPr>
        <w:t>identified GHG storage formation</w:t>
      </w:r>
      <w:r w:rsidR="00042940">
        <w:t>, per</w:t>
      </w:r>
      <w:r>
        <w:t xml:space="preserve"> </w:t>
      </w:r>
      <w:hyperlink r:id="rId64" w:history="1">
        <w:r w:rsidRPr="00A9454C">
          <w:rPr>
            <w:rStyle w:val="Hyperlink"/>
          </w:rPr>
          <w:t>s</w:t>
        </w:r>
        <w:r w:rsidR="00F731F4">
          <w:rPr>
            <w:rStyle w:val="Hyperlink"/>
          </w:rPr>
          <w:t>ub</w:t>
        </w:r>
        <w:r w:rsidRPr="00A9454C">
          <w:rPr>
            <w:rStyle w:val="Hyperlink"/>
          </w:rPr>
          <w:t>s</w:t>
        </w:r>
        <w:r w:rsidR="00F731F4">
          <w:rPr>
            <w:rStyle w:val="Hyperlink"/>
          </w:rPr>
          <w:t>ections</w:t>
        </w:r>
        <w:r w:rsidRPr="00A9454C">
          <w:rPr>
            <w:rStyle w:val="Hyperlink"/>
          </w:rPr>
          <w:t xml:space="preserve"> 312A(1) and (2) of the OPGGS Act</w:t>
        </w:r>
      </w:hyperlink>
      <w:r w:rsidRPr="002757A6">
        <w:t>.</w:t>
      </w:r>
    </w:p>
    <w:p w14:paraId="54171D14" w14:textId="44E76313" w:rsidR="00D80930" w:rsidRPr="002757A6" w:rsidRDefault="00D80930" w:rsidP="003C596C">
      <w:pPr>
        <w:pStyle w:val="Level2"/>
      </w:pPr>
      <w:r>
        <w:t>The application requirements are the same for all GHG titles, including cross-boundary</w:t>
      </w:r>
      <w:r w:rsidR="00863395">
        <w:t>, and petroleum titles</w:t>
      </w:r>
      <w:r w:rsidR="00557EDB">
        <w:t>.</w:t>
      </w:r>
      <w:r>
        <w:t xml:space="preserve"> </w:t>
      </w:r>
      <w:r w:rsidR="00557EDB">
        <w:t>S</w:t>
      </w:r>
      <w:r w:rsidRPr="002757A6">
        <w:t>ee</w:t>
      </w:r>
      <w:r w:rsidR="00F731F4">
        <w:t xml:space="preserve"> </w:t>
      </w:r>
      <w:r w:rsidR="00557EDB" w:rsidRPr="00557EDB">
        <w:rPr>
          <w:color w:val="000000" w:themeColor="text1"/>
          <w:u w:val="single"/>
        </w:rPr>
        <w:t xml:space="preserve">section </w:t>
      </w:r>
      <w:r w:rsidR="00557EDB" w:rsidRPr="00557EDB">
        <w:rPr>
          <w:color w:val="000000" w:themeColor="text1"/>
          <w:u w:val="single"/>
        </w:rPr>
        <w:fldChar w:fldCharType="begin" w:fldLock="1"/>
      </w:r>
      <w:r w:rsidR="00557EDB" w:rsidRPr="00557EDB">
        <w:rPr>
          <w:color w:val="000000" w:themeColor="text1"/>
          <w:u w:val="single"/>
        </w:rPr>
        <w:instrText xml:space="preserve"> REF _Ref427225518 \r \h </w:instrText>
      </w:r>
      <w:r w:rsidR="00557EDB" w:rsidRPr="00557EDB">
        <w:rPr>
          <w:color w:val="000000" w:themeColor="text1"/>
          <w:u w:val="single"/>
        </w:rPr>
      </w:r>
      <w:r w:rsidR="00557EDB" w:rsidRPr="00557EDB">
        <w:rPr>
          <w:color w:val="000000" w:themeColor="text1"/>
          <w:u w:val="single"/>
        </w:rPr>
        <w:fldChar w:fldCharType="separate"/>
      </w:r>
      <w:r w:rsidR="001F4A12">
        <w:rPr>
          <w:color w:val="000000" w:themeColor="text1"/>
          <w:u w:val="single"/>
        </w:rPr>
        <w:t>5</w:t>
      </w:r>
      <w:r w:rsidR="00557EDB" w:rsidRPr="00557EDB">
        <w:rPr>
          <w:color w:val="000000" w:themeColor="text1"/>
        </w:rPr>
        <w:fldChar w:fldCharType="end"/>
      </w:r>
      <w:r w:rsidR="00557EDB" w:rsidRPr="00557EDB">
        <w:rPr>
          <w:color w:val="000000" w:themeColor="text1"/>
          <w:u w:val="single"/>
        </w:rPr>
        <w:t xml:space="preserve"> of this Guideline</w:t>
      </w:r>
      <w:r w:rsidR="00557EDB" w:rsidRPr="00557EDB">
        <w:rPr>
          <w:color w:val="000000" w:themeColor="text1"/>
        </w:rPr>
        <w:t xml:space="preserve"> for further information</w:t>
      </w:r>
      <w:r w:rsidRPr="002757A6">
        <w:t>.</w:t>
      </w:r>
    </w:p>
    <w:p w14:paraId="54171D17" w14:textId="0E4C185D" w:rsidR="00D80930" w:rsidRPr="00F1125C" w:rsidRDefault="00D80930" w:rsidP="003C596C">
      <w:pPr>
        <w:pStyle w:val="Level2"/>
      </w:pPr>
      <w:r w:rsidRPr="00F1125C">
        <w:t xml:space="preserve">It is possible to have a second or subsequent </w:t>
      </w:r>
      <w:r w:rsidRPr="000C43C3">
        <w:rPr>
          <w:i/>
        </w:rPr>
        <w:t>identified GHG storage formation</w:t>
      </w:r>
      <w:r w:rsidRPr="00F1125C">
        <w:t xml:space="preserve"> declared </w:t>
      </w:r>
      <w:r w:rsidR="0092400B">
        <w:t>in</w:t>
      </w:r>
      <w:r>
        <w:t xml:space="preserve"> a</w:t>
      </w:r>
      <w:r w:rsidR="0090221D">
        <w:t xml:space="preserve"> GHG title, a cross-boundary GHG title, a </w:t>
      </w:r>
      <w:r>
        <w:t xml:space="preserve">petroleum retention lease or a petroleum production licence, </w:t>
      </w:r>
      <w:r w:rsidRPr="00F1125C">
        <w:t xml:space="preserve">provided each </w:t>
      </w:r>
      <w:r w:rsidRPr="0090221D">
        <w:rPr>
          <w:i/>
        </w:rPr>
        <w:t xml:space="preserve">eligible </w:t>
      </w:r>
      <w:r w:rsidR="0090221D" w:rsidRPr="0090221D">
        <w:rPr>
          <w:i/>
        </w:rPr>
        <w:t>GHG storage</w:t>
      </w:r>
      <w:r w:rsidRPr="0090221D">
        <w:rPr>
          <w:i/>
        </w:rPr>
        <w:t xml:space="preserve"> formation</w:t>
      </w:r>
      <w:r w:rsidRPr="00F1125C">
        <w:t xml:space="preserve"> is wholly situated within the title area.</w:t>
      </w:r>
      <w:r w:rsidR="00BA515C">
        <w:t xml:space="preserve"> </w:t>
      </w:r>
      <w:r w:rsidRPr="00F1125C">
        <w:t xml:space="preserve">The RCM’s declaration will be in accordance with the requirements </w:t>
      </w:r>
      <w:r w:rsidR="0092400B">
        <w:t>of</w:t>
      </w:r>
      <w:r w:rsidRPr="00F1125C">
        <w:t xml:space="preserve"> </w:t>
      </w:r>
      <w:hyperlink r:id="rId65" w:history="1">
        <w:r w:rsidRPr="008E6437">
          <w:rPr>
            <w:rStyle w:val="Hyperlink"/>
          </w:rPr>
          <w:t xml:space="preserve">section 312 </w:t>
        </w:r>
        <w:r w:rsidR="00863395">
          <w:rPr>
            <w:rStyle w:val="Hyperlink"/>
          </w:rPr>
          <w:t xml:space="preserve">or 312A </w:t>
        </w:r>
        <w:r w:rsidRPr="008E6437">
          <w:rPr>
            <w:rStyle w:val="Hyperlink"/>
          </w:rPr>
          <w:t>of the OPGGS Act</w:t>
        </w:r>
      </w:hyperlink>
      <w:r w:rsidRPr="00F1125C">
        <w:t>.</w:t>
      </w:r>
    </w:p>
    <w:p w14:paraId="54171D18" w14:textId="1A8C1B77" w:rsidR="00D80930" w:rsidRPr="00FB292B" w:rsidRDefault="00A4722F" w:rsidP="003C596C">
      <w:pPr>
        <w:pStyle w:val="Heading1"/>
      </w:pPr>
      <w:bookmarkStart w:id="21" w:name="_Fundamental_suitability_determinant"/>
      <w:bookmarkStart w:id="22" w:name="_Ref427225466"/>
      <w:bookmarkStart w:id="23" w:name="_Toc79063417"/>
      <w:bookmarkStart w:id="24" w:name="_Toc79063461"/>
      <w:bookmarkStart w:id="25" w:name="_Toc122614789"/>
      <w:bookmarkEnd w:id="21"/>
      <w:r w:rsidRPr="00FB292B">
        <w:t>Fundamental suitability determinants</w:t>
      </w:r>
      <w:bookmarkEnd w:id="22"/>
      <w:bookmarkEnd w:id="23"/>
      <w:bookmarkEnd w:id="24"/>
      <w:bookmarkEnd w:id="25"/>
    </w:p>
    <w:p w14:paraId="54171D19" w14:textId="67DD6F5F" w:rsidR="00D80930" w:rsidRPr="00F1125C" w:rsidRDefault="00D80930" w:rsidP="003C596C">
      <w:pPr>
        <w:pStyle w:val="Level2"/>
      </w:pPr>
      <w:r w:rsidRPr="00F1125C">
        <w:t>In applying for a declaration of</w:t>
      </w:r>
      <w:r w:rsidR="00E334C0">
        <w:t xml:space="preserve"> an</w:t>
      </w:r>
      <w:r w:rsidRPr="00F1125C">
        <w:t xml:space="preserve"> </w:t>
      </w:r>
      <w:r w:rsidRPr="00E334C0">
        <w:rPr>
          <w:i/>
          <w:iCs/>
        </w:rPr>
        <w:t>identified GHG storage formation</w:t>
      </w:r>
      <w:r w:rsidRPr="00F1125C">
        <w:t xml:space="preserve"> the titleholder must </w:t>
      </w:r>
      <w:r>
        <w:t>set out</w:t>
      </w:r>
      <w:r w:rsidRPr="00F1125C">
        <w:t xml:space="preserve"> the </w:t>
      </w:r>
      <w:r w:rsidRPr="00BD2807">
        <w:rPr>
          <w:i/>
        </w:rPr>
        <w:t>fundamental suitability determinants</w:t>
      </w:r>
      <w:r>
        <w:t xml:space="preserve"> </w:t>
      </w:r>
      <w:r w:rsidR="00BD2807">
        <w:t xml:space="preserve">per </w:t>
      </w:r>
      <w:hyperlink r:id="rId66" w:history="1">
        <w:r w:rsidR="00BD2807">
          <w:rPr>
            <w:rStyle w:val="Hyperlink"/>
          </w:rPr>
          <w:t>subparagraph</w:t>
        </w:r>
        <w:r w:rsidR="00F731F4" w:rsidRPr="003235FE">
          <w:rPr>
            <w:rStyle w:val="Hyperlink"/>
          </w:rPr>
          <w:t xml:space="preserve"> </w:t>
        </w:r>
        <w:r w:rsidRPr="003235FE">
          <w:rPr>
            <w:rStyle w:val="Hyperlink"/>
          </w:rPr>
          <w:t xml:space="preserve">312(3)(b)(i) </w:t>
        </w:r>
        <w:r w:rsidR="00BD2807">
          <w:rPr>
            <w:rStyle w:val="Hyperlink"/>
          </w:rPr>
          <w:t>or</w:t>
        </w:r>
        <w:r w:rsidRPr="003235FE">
          <w:rPr>
            <w:rStyle w:val="Hyperlink"/>
          </w:rPr>
          <w:t xml:space="preserve"> 312A(3)(b)(i)</w:t>
        </w:r>
        <w:r w:rsidR="00F731F4" w:rsidRPr="003235FE">
          <w:rPr>
            <w:rStyle w:val="Hyperlink"/>
          </w:rPr>
          <w:t xml:space="preserve"> of the OPGGS Act</w:t>
        </w:r>
      </w:hyperlink>
      <w:r>
        <w:t>.</w:t>
      </w:r>
      <w:r w:rsidR="00BA515C">
        <w:t xml:space="preserve"> </w:t>
      </w:r>
      <w:bookmarkStart w:id="26" w:name="_Hlk144815502"/>
      <w:r w:rsidR="00E24F59" w:rsidRPr="00CD7F04">
        <w:rPr>
          <w:i/>
          <w:iCs/>
        </w:rPr>
        <w:t>Fundamental suitability determinants</w:t>
      </w:r>
      <w:r w:rsidR="00E24F59" w:rsidRPr="002F610E">
        <w:t xml:space="preserve"> </w:t>
      </w:r>
      <w:r w:rsidR="00E24F59">
        <w:t xml:space="preserve">of an </w:t>
      </w:r>
      <w:r w:rsidR="00E24F59">
        <w:rPr>
          <w:i/>
          <w:iCs/>
        </w:rPr>
        <w:t xml:space="preserve">eligible GHG storage </w:t>
      </w:r>
      <w:r w:rsidR="00E24F59" w:rsidRPr="0033195D">
        <w:rPr>
          <w:i/>
          <w:iCs/>
        </w:rPr>
        <w:t>formation</w:t>
      </w:r>
      <w:bookmarkEnd w:id="26"/>
      <w:r w:rsidR="00E24F59">
        <w:t xml:space="preserve"> </w:t>
      </w:r>
      <w:r>
        <w:t>have the meaning given by</w:t>
      </w:r>
      <w:r w:rsidRPr="00F1125C">
        <w:t xml:space="preserve"> </w:t>
      </w:r>
      <w:hyperlink r:id="rId67" w:history="1">
        <w:r w:rsidR="00F731F4">
          <w:rPr>
            <w:rStyle w:val="Hyperlink"/>
          </w:rPr>
          <w:t>subsection 21(8) of the OPGGS Act</w:t>
        </w:r>
      </w:hyperlink>
      <w:r>
        <w:t>:</w:t>
      </w:r>
    </w:p>
    <w:p w14:paraId="54171D1A" w14:textId="56BBBD0D" w:rsidR="00D80930" w:rsidRPr="00F1125C" w:rsidRDefault="00D80930" w:rsidP="003C596C">
      <w:pPr>
        <w:pStyle w:val="Level3"/>
      </w:pPr>
      <w:r w:rsidRPr="00F1125C">
        <w:t>the amount of GHG substance that may be stored, noting that it must be at least 100,000 tonnes</w:t>
      </w:r>
      <w:r w:rsidR="00BD2807">
        <w:t>, per</w:t>
      </w:r>
      <w:r>
        <w:t xml:space="preserve"> </w:t>
      </w:r>
      <w:hyperlink r:id="rId68" w:history="1">
        <w:r w:rsidRPr="008E6437">
          <w:rPr>
            <w:rStyle w:val="Hyperlink"/>
          </w:rPr>
          <w:t>s</w:t>
        </w:r>
        <w:r w:rsidR="00F731F4">
          <w:rPr>
            <w:rStyle w:val="Hyperlink"/>
          </w:rPr>
          <w:t>ubsection</w:t>
        </w:r>
        <w:r w:rsidRPr="008E6437">
          <w:rPr>
            <w:rStyle w:val="Hyperlink"/>
          </w:rPr>
          <w:t xml:space="preserve">s 21(1) </w:t>
        </w:r>
        <w:r w:rsidR="00BD2807">
          <w:rPr>
            <w:rStyle w:val="Hyperlink"/>
          </w:rPr>
          <w:t>and</w:t>
        </w:r>
        <w:r w:rsidRPr="008E6437">
          <w:rPr>
            <w:rStyle w:val="Hyperlink"/>
          </w:rPr>
          <w:t xml:space="preserve"> (2) of the OPGGS Act</w:t>
        </w:r>
      </w:hyperlink>
    </w:p>
    <w:p w14:paraId="54171D1B" w14:textId="37591887" w:rsidR="00D80930" w:rsidRPr="00F1125C" w:rsidRDefault="00D80930" w:rsidP="003C596C">
      <w:pPr>
        <w:pStyle w:val="Level3"/>
      </w:pPr>
      <w:r w:rsidRPr="00F1125C">
        <w:t>the particular GHG substance which the storage formation is suitable to store</w:t>
      </w:r>
    </w:p>
    <w:p w14:paraId="54171D1C" w14:textId="77777777" w:rsidR="00D80930" w:rsidRPr="00F1125C" w:rsidRDefault="00D80930" w:rsidP="003C596C">
      <w:pPr>
        <w:pStyle w:val="Level3"/>
      </w:pPr>
      <w:r w:rsidRPr="00F1125C">
        <w:t>the proposed injection point or points</w:t>
      </w:r>
    </w:p>
    <w:p w14:paraId="54171D1D" w14:textId="77777777" w:rsidR="00D80930" w:rsidRPr="00F1125C" w:rsidRDefault="00D80930" w:rsidP="003C596C">
      <w:pPr>
        <w:pStyle w:val="Level3"/>
      </w:pPr>
      <w:r w:rsidRPr="00F1125C">
        <w:t>the proposed injection period</w:t>
      </w:r>
    </w:p>
    <w:p w14:paraId="54171D1E" w14:textId="44AB0602" w:rsidR="00D80930" w:rsidRPr="00F1125C" w:rsidRDefault="00D80930" w:rsidP="003C596C">
      <w:pPr>
        <w:pStyle w:val="Level3"/>
      </w:pPr>
      <w:r>
        <w:t>the</w:t>
      </w:r>
      <w:r w:rsidRPr="00F1125C">
        <w:t xml:space="preserve"> engineering enhancements required</w:t>
      </w:r>
      <w:r w:rsidR="002833F8">
        <w:t xml:space="preserve"> </w:t>
      </w:r>
      <w:r w:rsidR="002833F8" w:rsidRPr="00F1125C">
        <w:t>(if any)</w:t>
      </w:r>
    </w:p>
    <w:p w14:paraId="54171D1F" w14:textId="77777777" w:rsidR="00D80930" w:rsidRPr="00F1125C" w:rsidRDefault="00D80930" w:rsidP="003C596C">
      <w:pPr>
        <w:pStyle w:val="Level3"/>
      </w:pPr>
      <w:r w:rsidRPr="00F1125C">
        <w:t xml:space="preserve">the effective sealing feature, attribute or mechanism of the storage formation </w:t>
      </w:r>
      <w:r w:rsidRPr="00F1125C">
        <w:rPr>
          <w:iCs/>
        </w:rPr>
        <w:t>that enables permanent storage</w:t>
      </w:r>
      <w:r w:rsidRPr="00F1125C">
        <w:t>.</w:t>
      </w:r>
    </w:p>
    <w:p w14:paraId="5AE2095E" w14:textId="77777777" w:rsidR="00DC7253" w:rsidRDefault="007D1BC9" w:rsidP="00DC7253">
      <w:pPr>
        <w:pStyle w:val="Level2"/>
      </w:pPr>
      <w:r w:rsidRPr="007D1BC9">
        <w:t xml:space="preserve">Titleholders </w:t>
      </w:r>
      <w:r>
        <w:t>must</w:t>
      </w:r>
      <w:r w:rsidRPr="007D1BC9">
        <w:t xml:space="preserve"> analyse and describe the geological features of the storage formation in sufficient detail to accurately define and address each of the </w:t>
      </w:r>
      <w:r w:rsidR="00D80930" w:rsidRPr="007D1BC9">
        <w:rPr>
          <w:i/>
          <w:iCs/>
        </w:rPr>
        <w:t>fundamental suitability determinants</w:t>
      </w:r>
      <w:r w:rsidR="00D80930" w:rsidRPr="00F1125C">
        <w:t>.</w:t>
      </w:r>
    </w:p>
    <w:p w14:paraId="172A9108" w14:textId="395A5E57" w:rsidR="00DC7253" w:rsidRPr="00DC7253" w:rsidRDefault="00DC7253" w:rsidP="00DC7253">
      <w:pPr>
        <w:pStyle w:val="Level2"/>
        <w:numPr>
          <w:ilvl w:val="0"/>
          <w:numId w:val="0"/>
        </w:numPr>
      </w:pPr>
      <w:r>
        <w:br w:type="page"/>
      </w:r>
    </w:p>
    <w:p w14:paraId="54171D21" w14:textId="227C5ED2" w:rsidR="00D80930" w:rsidRPr="00FB292B" w:rsidRDefault="00A4722F" w:rsidP="003C596C">
      <w:pPr>
        <w:pStyle w:val="Heading1"/>
      </w:pPr>
      <w:bookmarkStart w:id="27" w:name="_Applying_for_a"/>
      <w:bookmarkStart w:id="28" w:name="_Ref427225518"/>
      <w:bookmarkStart w:id="29" w:name="_Toc79063418"/>
      <w:bookmarkStart w:id="30" w:name="_Toc79063462"/>
      <w:bookmarkStart w:id="31" w:name="_Toc122614790"/>
      <w:bookmarkEnd w:id="27"/>
      <w:r w:rsidRPr="00FB292B">
        <w:lastRenderedPageBreak/>
        <w:t>Applying for a declaration of an identified GHG storage formation (including cross-boundary)</w:t>
      </w:r>
      <w:bookmarkEnd w:id="28"/>
      <w:bookmarkEnd w:id="29"/>
      <w:bookmarkEnd w:id="30"/>
      <w:bookmarkEnd w:id="31"/>
    </w:p>
    <w:p w14:paraId="54171D22" w14:textId="57FD2F85" w:rsidR="00D80930" w:rsidRPr="00F1125C" w:rsidRDefault="00D80930" w:rsidP="003C596C">
      <w:pPr>
        <w:pStyle w:val="Level2"/>
      </w:pPr>
      <w:r w:rsidRPr="00F1125C">
        <w:t xml:space="preserve">A </w:t>
      </w:r>
      <w:r>
        <w:t>titleholder</w:t>
      </w:r>
      <w:r w:rsidRPr="00F1125C">
        <w:t xml:space="preserve"> may apply to the RCM for the declaration of a part of a geological formation as an </w:t>
      </w:r>
      <w:r w:rsidRPr="00B86922">
        <w:rPr>
          <w:i/>
        </w:rPr>
        <w:t>identified GHG storage formation</w:t>
      </w:r>
      <w:r w:rsidRPr="00F1125C">
        <w:t xml:space="preserve"> if </w:t>
      </w:r>
      <w:r>
        <w:t xml:space="preserve">they have </w:t>
      </w:r>
      <w:r w:rsidRPr="00B342BD">
        <w:t xml:space="preserve">reasonable grounds to believe that </w:t>
      </w:r>
      <w:r w:rsidR="009F44B2">
        <w:t>the</w:t>
      </w:r>
      <w:r w:rsidRPr="00B342BD">
        <w:t xml:space="preserve"> part of a geological formation is an </w:t>
      </w:r>
      <w:r w:rsidRPr="00E334C0">
        <w:rPr>
          <w:i/>
          <w:iCs/>
        </w:rPr>
        <w:t xml:space="preserve">eligible </w:t>
      </w:r>
      <w:r w:rsidR="00A4722F" w:rsidRPr="00E334C0">
        <w:rPr>
          <w:i/>
          <w:iCs/>
        </w:rPr>
        <w:t>GHG</w:t>
      </w:r>
      <w:r w:rsidRPr="00E334C0">
        <w:rPr>
          <w:i/>
          <w:iCs/>
        </w:rPr>
        <w:t xml:space="preserve"> storage formation</w:t>
      </w:r>
      <w:r w:rsidRPr="00B342BD">
        <w:t xml:space="preserve"> and that part is </w:t>
      </w:r>
      <w:r w:rsidRPr="00B86922">
        <w:rPr>
          <w:u w:val="single"/>
        </w:rPr>
        <w:t>wholly situated</w:t>
      </w:r>
      <w:r w:rsidRPr="00B342BD">
        <w:t xml:space="preserve"> in the </w:t>
      </w:r>
      <w:r>
        <w:t>title</w:t>
      </w:r>
      <w:r w:rsidRPr="00B342BD">
        <w:t xml:space="preserve"> area</w:t>
      </w:r>
      <w:r w:rsidR="00B86922">
        <w:t>, per</w:t>
      </w:r>
      <w:r>
        <w:t xml:space="preserve"> </w:t>
      </w:r>
      <w:hyperlink r:id="rId69" w:history="1">
        <w:r w:rsidR="007C4F5B">
          <w:rPr>
            <w:rStyle w:val="Hyperlink"/>
          </w:rPr>
          <w:t>subsections 312(1) and (2) or 312A(1) and (2) of the OPGGS Act</w:t>
        </w:r>
      </w:hyperlink>
      <w:r>
        <w:t>.</w:t>
      </w:r>
    </w:p>
    <w:p w14:paraId="54171D24" w14:textId="07FE0EA4" w:rsidR="00D80930" w:rsidRPr="00F1125C" w:rsidRDefault="00D80930" w:rsidP="003C596C">
      <w:pPr>
        <w:pStyle w:val="Level2"/>
      </w:pPr>
      <w:r w:rsidRPr="00F1125C">
        <w:t xml:space="preserve">Detail on the information that needs to be included in an application is set out in </w:t>
      </w:r>
      <w:hyperlink r:id="rId70" w:history="1">
        <w:r w:rsidR="002921D7">
          <w:rPr>
            <w:rStyle w:val="Hyperlink"/>
          </w:rPr>
          <w:t>Schedule 1 of the GHG Regulations</w:t>
        </w:r>
      </w:hyperlink>
      <w:r w:rsidRPr="00F1125C">
        <w:t xml:space="preserve">, and </w:t>
      </w:r>
      <w:r w:rsidRPr="00E5336F">
        <w:rPr>
          <w:color w:val="000000" w:themeColor="text1"/>
        </w:rPr>
        <w:t>summarised in</w:t>
      </w:r>
      <w:r w:rsidR="00E5336F" w:rsidRPr="00E5336F">
        <w:rPr>
          <w:color w:val="000000" w:themeColor="text1"/>
        </w:rPr>
        <w:t xml:space="preserve"> </w:t>
      </w:r>
      <w:r w:rsidR="00E5336F" w:rsidRPr="00E5336F">
        <w:rPr>
          <w:color w:val="000000" w:themeColor="text1"/>
          <w:u w:val="single"/>
        </w:rPr>
        <w:fldChar w:fldCharType="begin" w:fldLock="1"/>
      </w:r>
      <w:r w:rsidR="00E5336F" w:rsidRPr="00E5336F">
        <w:rPr>
          <w:color w:val="000000" w:themeColor="text1"/>
          <w:u w:val="single"/>
        </w:rPr>
        <w:instrText xml:space="preserve"> REF _Ref118973943 \h  \* MERGEFORMAT </w:instrText>
      </w:r>
      <w:r w:rsidR="00E5336F" w:rsidRPr="00E5336F">
        <w:rPr>
          <w:color w:val="000000" w:themeColor="text1"/>
          <w:u w:val="single"/>
        </w:rPr>
      </w:r>
      <w:r w:rsidR="00E5336F" w:rsidRPr="00E5336F">
        <w:rPr>
          <w:color w:val="000000" w:themeColor="text1"/>
          <w:u w:val="single"/>
        </w:rPr>
        <w:fldChar w:fldCharType="separate"/>
      </w:r>
      <w:r w:rsidR="001F4A12" w:rsidRPr="001F4A12">
        <w:rPr>
          <w:color w:val="000000" w:themeColor="text1"/>
          <w:u w:val="single"/>
        </w:rPr>
        <w:t>Appendix A</w:t>
      </w:r>
      <w:r w:rsidR="00E5336F" w:rsidRPr="00E5336F">
        <w:rPr>
          <w:color w:val="000000" w:themeColor="text1"/>
        </w:rPr>
        <w:fldChar w:fldCharType="end"/>
      </w:r>
      <w:r w:rsidR="00E5336F" w:rsidRPr="00E5336F">
        <w:rPr>
          <w:color w:val="000000" w:themeColor="text1"/>
          <w:u w:val="single"/>
        </w:rPr>
        <w:t xml:space="preserve"> of this Guideline</w:t>
      </w:r>
      <w:r w:rsidRPr="00E5336F">
        <w:rPr>
          <w:color w:val="000000" w:themeColor="text1"/>
        </w:rPr>
        <w:t>.</w:t>
      </w:r>
      <w:r w:rsidR="00BA515C" w:rsidRPr="00E5336F">
        <w:rPr>
          <w:color w:val="000000" w:themeColor="text1"/>
        </w:rPr>
        <w:t xml:space="preserve"> </w:t>
      </w:r>
      <w:r w:rsidRPr="00E5336F">
        <w:rPr>
          <w:color w:val="000000" w:themeColor="text1"/>
        </w:rPr>
        <w:t>See</w:t>
      </w:r>
      <w:r w:rsidR="00E5336F">
        <w:rPr>
          <w:color w:val="000000" w:themeColor="text1"/>
        </w:rPr>
        <w:t xml:space="preserve"> </w:t>
      </w:r>
      <w:r w:rsidR="00E5336F" w:rsidRPr="0092400B">
        <w:rPr>
          <w:color w:val="000000" w:themeColor="text1"/>
          <w:u w:val="single"/>
        </w:rPr>
        <w:fldChar w:fldCharType="begin" w:fldLock="1"/>
      </w:r>
      <w:r w:rsidR="00E5336F" w:rsidRPr="0092400B">
        <w:rPr>
          <w:color w:val="000000" w:themeColor="text1"/>
          <w:u w:val="single"/>
        </w:rPr>
        <w:instrText xml:space="preserve"> REF _Ref118973996 \h  \* MERGEFORMAT </w:instrText>
      </w:r>
      <w:r w:rsidR="00E5336F" w:rsidRPr="0092400B">
        <w:rPr>
          <w:color w:val="000000" w:themeColor="text1"/>
          <w:u w:val="single"/>
        </w:rPr>
      </w:r>
      <w:r w:rsidR="00E5336F" w:rsidRPr="0092400B">
        <w:rPr>
          <w:color w:val="000000" w:themeColor="text1"/>
          <w:u w:val="single"/>
        </w:rPr>
        <w:fldChar w:fldCharType="separate"/>
      </w:r>
      <w:r w:rsidR="001F4A12" w:rsidRPr="001F4A12">
        <w:rPr>
          <w:u w:val="single"/>
        </w:rPr>
        <w:t>Appendix B</w:t>
      </w:r>
      <w:r w:rsidR="00E5336F" w:rsidRPr="0092400B">
        <w:rPr>
          <w:color w:val="000000" w:themeColor="text1"/>
          <w:u w:val="single"/>
        </w:rPr>
        <w:fldChar w:fldCharType="end"/>
      </w:r>
      <w:r w:rsidR="00E5336F" w:rsidRPr="0092400B">
        <w:rPr>
          <w:color w:val="000000" w:themeColor="text1"/>
          <w:u w:val="single"/>
        </w:rPr>
        <w:t xml:space="preserve"> of this Guideline</w:t>
      </w:r>
      <w:r w:rsidRPr="00E5336F">
        <w:rPr>
          <w:color w:val="000000" w:themeColor="text1"/>
        </w:rPr>
        <w:t xml:space="preserve"> </w:t>
      </w:r>
      <w:r w:rsidR="00985247" w:rsidRPr="00E5336F">
        <w:rPr>
          <w:color w:val="000000" w:themeColor="text1"/>
        </w:rPr>
        <w:t xml:space="preserve">for suggested further information to support an application for </w:t>
      </w:r>
      <w:r w:rsidR="00985247" w:rsidRPr="00985247">
        <w:t xml:space="preserve">a declaration of </w:t>
      </w:r>
      <w:r w:rsidR="007C4F5B">
        <w:t xml:space="preserve">and </w:t>
      </w:r>
      <w:r w:rsidR="00985247" w:rsidRPr="007C4F5B">
        <w:rPr>
          <w:i/>
          <w:iCs/>
        </w:rPr>
        <w:t xml:space="preserve">identified </w:t>
      </w:r>
      <w:r w:rsidR="007C4F5B">
        <w:rPr>
          <w:i/>
          <w:iCs/>
        </w:rPr>
        <w:t xml:space="preserve">GHG </w:t>
      </w:r>
      <w:r w:rsidR="00985247" w:rsidRPr="007C4F5B">
        <w:rPr>
          <w:i/>
          <w:iCs/>
        </w:rPr>
        <w:t>storage formation</w:t>
      </w:r>
      <w:r w:rsidRPr="00F1125C">
        <w:t>.</w:t>
      </w:r>
    </w:p>
    <w:p w14:paraId="54171D25" w14:textId="4B4898DC" w:rsidR="00D80930" w:rsidRPr="00F1125C" w:rsidRDefault="00D80930" w:rsidP="003C596C">
      <w:pPr>
        <w:pStyle w:val="Level2"/>
      </w:pPr>
      <w:r w:rsidRPr="00F1125C">
        <w:t xml:space="preserve">In </w:t>
      </w:r>
      <w:r>
        <w:t xml:space="preserve">accordance with </w:t>
      </w:r>
      <w:hyperlink r:id="rId71" w:history="1">
        <w:r w:rsidR="007C4F5B">
          <w:rPr>
            <w:rStyle w:val="Hyperlink"/>
          </w:rPr>
          <w:t>paragraphs 312(3)(a)-(c) or 312A(3)(a)-(c) of the OPGGS Act</w:t>
        </w:r>
      </w:hyperlink>
      <w:r>
        <w:t xml:space="preserve">, </w:t>
      </w:r>
      <w:r w:rsidRPr="00F1125C">
        <w:t>the application must detail, with supporting information, the following:</w:t>
      </w:r>
    </w:p>
    <w:p w14:paraId="54171D26" w14:textId="77777777" w:rsidR="00D80930" w:rsidRPr="00F1125C" w:rsidRDefault="00D80930" w:rsidP="003C596C">
      <w:pPr>
        <w:pStyle w:val="Level3"/>
      </w:pPr>
      <w:r w:rsidRPr="00F1125C">
        <w:t xml:space="preserve">the reasons for believing that a part of a geological formation is an </w:t>
      </w:r>
      <w:r w:rsidRPr="00E5336F">
        <w:rPr>
          <w:i/>
        </w:rPr>
        <w:t>eligible GHG storage formation</w:t>
      </w:r>
    </w:p>
    <w:p w14:paraId="54171D27" w14:textId="6201270C" w:rsidR="00D80930" w:rsidRPr="003235FE" w:rsidRDefault="009928A5" w:rsidP="003C596C">
      <w:pPr>
        <w:pStyle w:val="Level3"/>
        <w:rPr>
          <w:color w:val="000000" w:themeColor="text1"/>
        </w:rPr>
      </w:pPr>
      <w:r>
        <w:t xml:space="preserve">assuming that the part is an </w:t>
      </w:r>
      <w:r>
        <w:rPr>
          <w:i/>
        </w:rPr>
        <w:t>eligible GHG storage formation</w:t>
      </w:r>
      <w:r>
        <w:t xml:space="preserve">, </w:t>
      </w:r>
      <w:r w:rsidR="00D80930" w:rsidRPr="00F1125C">
        <w:t xml:space="preserve">the </w:t>
      </w:r>
      <w:r w:rsidR="00D80930" w:rsidRPr="00E5336F">
        <w:rPr>
          <w:i/>
        </w:rPr>
        <w:t>fundamental suitability determinants</w:t>
      </w:r>
      <w:r w:rsidR="00D80930" w:rsidRPr="00F1125C">
        <w:t xml:space="preserve"> of the </w:t>
      </w:r>
      <w:r w:rsidR="00D80930" w:rsidRPr="00E5336F">
        <w:rPr>
          <w:i/>
        </w:rPr>
        <w:t>eligible GHG storage formation</w:t>
      </w:r>
      <w:r w:rsidR="00E5336F">
        <w:t>, per</w:t>
      </w:r>
      <w:r w:rsidR="003235FE" w:rsidRPr="003235FE">
        <w:rPr>
          <w:color w:val="000000" w:themeColor="text1"/>
        </w:rPr>
        <w:t xml:space="preserve"> </w:t>
      </w:r>
      <w:r w:rsidR="00E5336F" w:rsidRPr="00E5336F">
        <w:rPr>
          <w:color w:val="000000" w:themeColor="text1"/>
          <w:u w:val="single"/>
        </w:rPr>
        <w:t xml:space="preserve">section </w:t>
      </w:r>
      <w:r w:rsidR="00E5336F">
        <w:rPr>
          <w:color w:val="000000" w:themeColor="text1"/>
          <w:u w:val="single"/>
        </w:rPr>
        <w:fldChar w:fldCharType="begin" w:fldLock="1"/>
      </w:r>
      <w:r w:rsidR="00E5336F">
        <w:rPr>
          <w:color w:val="000000" w:themeColor="text1"/>
          <w:u w:val="single"/>
        </w:rPr>
        <w:instrText xml:space="preserve"> REF _Ref427225466 \r \h </w:instrText>
      </w:r>
      <w:r w:rsidR="00E5336F">
        <w:rPr>
          <w:color w:val="000000" w:themeColor="text1"/>
          <w:u w:val="single"/>
        </w:rPr>
      </w:r>
      <w:r w:rsidR="00E5336F">
        <w:rPr>
          <w:color w:val="000000" w:themeColor="text1"/>
          <w:u w:val="single"/>
        </w:rPr>
        <w:fldChar w:fldCharType="separate"/>
      </w:r>
      <w:r w:rsidR="001F4A12">
        <w:rPr>
          <w:color w:val="000000" w:themeColor="text1"/>
          <w:u w:val="single"/>
        </w:rPr>
        <w:t>4</w:t>
      </w:r>
      <w:r w:rsidR="00E5336F">
        <w:rPr>
          <w:color w:val="000000" w:themeColor="text1"/>
          <w:u w:val="single"/>
        </w:rPr>
        <w:fldChar w:fldCharType="end"/>
      </w:r>
      <w:r w:rsidR="00E5336F" w:rsidRPr="00E5336F">
        <w:rPr>
          <w:color w:val="000000" w:themeColor="text1"/>
          <w:u w:val="single"/>
        </w:rPr>
        <w:t xml:space="preserve"> of this Guideline</w:t>
      </w:r>
    </w:p>
    <w:p w14:paraId="54171D28" w14:textId="04D6BF82" w:rsidR="00D80930" w:rsidRPr="00F1125C" w:rsidRDefault="009928A5" w:rsidP="003C596C">
      <w:pPr>
        <w:pStyle w:val="Level3"/>
      </w:pPr>
      <w:r>
        <w:t xml:space="preserve">assuming that the part is an </w:t>
      </w:r>
      <w:r>
        <w:rPr>
          <w:i/>
        </w:rPr>
        <w:t>eligible GHG storage formation</w:t>
      </w:r>
      <w:r>
        <w:t xml:space="preserve">, </w:t>
      </w:r>
      <w:r w:rsidR="00D80930" w:rsidRPr="00F1125C">
        <w:t xml:space="preserve">an estimate of the </w:t>
      </w:r>
      <w:r w:rsidR="00E5336F">
        <w:t xml:space="preserve">spatial extent of the </w:t>
      </w:r>
      <w:r w:rsidR="00D80930" w:rsidRPr="00E5336F">
        <w:rPr>
          <w:i/>
        </w:rPr>
        <w:t>eligible GHG storage formation</w:t>
      </w:r>
      <w:r w:rsidR="00D80930" w:rsidRPr="00F1125C">
        <w:t xml:space="preserve"> </w:t>
      </w:r>
      <w:r w:rsidR="00E5336F">
        <w:t xml:space="preserve">– </w:t>
      </w:r>
      <w:r w:rsidR="00D80930" w:rsidRPr="00F1125C">
        <w:t xml:space="preserve">an estimate of spatial extent must comply with the requirements specified in </w:t>
      </w:r>
      <w:hyperlink r:id="rId72" w:history="1">
        <w:r w:rsidR="005835A9">
          <w:rPr>
            <w:rStyle w:val="Hyperlink"/>
          </w:rPr>
          <w:t>Part 3 of Schedule 1 of the GHG Regulations</w:t>
        </w:r>
      </w:hyperlink>
    </w:p>
    <w:p w14:paraId="54171D29" w14:textId="173FA190" w:rsidR="00D80930" w:rsidRPr="00F1125C" w:rsidRDefault="00D80930" w:rsidP="003C596C">
      <w:pPr>
        <w:pStyle w:val="Level3"/>
      </w:pPr>
      <w:r w:rsidRPr="00F1125C">
        <w:t>such other information (if any) as is specified in</w:t>
      </w:r>
      <w:r w:rsidR="002921D7">
        <w:t xml:space="preserve"> the</w:t>
      </w:r>
      <w:r w:rsidRPr="00F1125C">
        <w:t xml:space="preserve"> </w:t>
      </w:r>
      <w:hyperlink r:id="rId73" w:history="1">
        <w:r w:rsidR="002921D7">
          <w:rPr>
            <w:rStyle w:val="Hyperlink"/>
          </w:rPr>
          <w:t>GHG Regulations</w:t>
        </w:r>
      </w:hyperlink>
      <w:r w:rsidRPr="00F1125C">
        <w:t>.</w:t>
      </w:r>
    </w:p>
    <w:p w14:paraId="54171D2A" w14:textId="737B421B" w:rsidR="00D80930" w:rsidRPr="00F1125C" w:rsidRDefault="00D80930" w:rsidP="003C596C">
      <w:pPr>
        <w:pStyle w:val="Level2"/>
      </w:pPr>
      <w:r w:rsidRPr="00F1125C">
        <w:t xml:space="preserve">The RCM </w:t>
      </w:r>
      <w:r w:rsidR="00E4094D">
        <w:t>may, by written notice,</w:t>
      </w:r>
      <w:r w:rsidRPr="00F1125C">
        <w:t xml:space="preserve"> require the applicant to give further information</w:t>
      </w:r>
      <w:r w:rsidR="009928A5">
        <w:t xml:space="preserve"> in connection with the application</w:t>
      </w:r>
      <w:r w:rsidRPr="00F1125C">
        <w:t xml:space="preserve">, or to carry out further analysis of information </w:t>
      </w:r>
      <w:r w:rsidR="00E4094D">
        <w:t>as specified in the notice</w:t>
      </w:r>
      <w:r w:rsidR="009928A5">
        <w:t>,</w:t>
      </w:r>
      <w:r w:rsidR="00F51D2F">
        <w:t xml:space="preserve"> under</w:t>
      </w:r>
      <w:r w:rsidRPr="00F1125C">
        <w:t xml:space="preserve"> </w:t>
      </w:r>
      <w:hyperlink r:id="rId74" w:history="1">
        <w:r w:rsidRPr="00B9779F">
          <w:rPr>
            <w:rStyle w:val="Hyperlink"/>
          </w:rPr>
          <w:t>s</w:t>
        </w:r>
        <w:r w:rsidR="003235FE">
          <w:rPr>
            <w:rStyle w:val="Hyperlink"/>
          </w:rPr>
          <w:t>ub</w:t>
        </w:r>
        <w:r w:rsidRPr="00B9779F">
          <w:rPr>
            <w:rStyle w:val="Hyperlink"/>
          </w:rPr>
          <w:t>s</w:t>
        </w:r>
        <w:r w:rsidR="003235FE">
          <w:rPr>
            <w:rStyle w:val="Hyperlink"/>
          </w:rPr>
          <w:t>ection</w:t>
        </w:r>
        <w:r w:rsidRPr="00B9779F">
          <w:rPr>
            <w:rStyle w:val="Hyperlink"/>
          </w:rPr>
          <w:t xml:space="preserve"> 312(5) </w:t>
        </w:r>
        <w:r w:rsidR="00F51D2F">
          <w:rPr>
            <w:rStyle w:val="Hyperlink"/>
          </w:rPr>
          <w:t>or</w:t>
        </w:r>
        <w:r w:rsidRPr="00B9779F">
          <w:rPr>
            <w:rStyle w:val="Hyperlink"/>
          </w:rPr>
          <w:t xml:space="preserve"> 312A(5) of the OPGGS Act</w:t>
        </w:r>
      </w:hyperlink>
      <w:r w:rsidRPr="00F1125C">
        <w:t>.</w:t>
      </w:r>
      <w:r w:rsidR="00BA515C">
        <w:t xml:space="preserve"> </w:t>
      </w:r>
      <w:r w:rsidR="00F51D2F">
        <w:t>If </w:t>
      </w:r>
      <w:r w:rsidRPr="00F1125C">
        <w:t>the applicant fails to provide the further information or analysis, the RCM may refuse to progress the application</w:t>
      </w:r>
      <w:r w:rsidR="00F51D2F">
        <w:t xml:space="preserve"> per</w:t>
      </w:r>
      <w:r>
        <w:t xml:space="preserve"> </w:t>
      </w:r>
      <w:hyperlink r:id="rId75" w:history="1">
        <w:r w:rsidRPr="00B9779F">
          <w:rPr>
            <w:rStyle w:val="Hyperlink"/>
          </w:rPr>
          <w:t>s</w:t>
        </w:r>
        <w:r w:rsidR="003235FE">
          <w:rPr>
            <w:rStyle w:val="Hyperlink"/>
          </w:rPr>
          <w:t>ub</w:t>
        </w:r>
        <w:r w:rsidRPr="00B9779F">
          <w:rPr>
            <w:rStyle w:val="Hyperlink"/>
          </w:rPr>
          <w:t>s</w:t>
        </w:r>
        <w:r w:rsidR="003235FE">
          <w:rPr>
            <w:rStyle w:val="Hyperlink"/>
          </w:rPr>
          <w:t>ection</w:t>
        </w:r>
        <w:r w:rsidRPr="00B9779F">
          <w:rPr>
            <w:rStyle w:val="Hyperlink"/>
          </w:rPr>
          <w:t xml:space="preserve"> 312(6) </w:t>
        </w:r>
        <w:r w:rsidR="00F51D2F">
          <w:rPr>
            <w:rStyle w:val="Hyperlink"/>
          </w:rPr>
          <w:t>or</w:t>
        </w:r>
        <w:r w:rsidRPr="00B9779F">
          <w:rPr>
            <w:rStyle w:val="Hyperlink"/>
          </w:rPr>
          <w:t xml:space="preserve"> 312A(6) of the OPGGS Act</w:t>
        </w:r>
      </w:hyperlink>
      <w:r w:rsidRPr="00F1125C">
        <w:t>.</w:t>
      </w:r>
    </w:p>
    <w:p w14:paraId="54171D2B" w14:textId="0E25062E" w:rsidR="00D80930" w:rsidRPr="00F1125C" w:rsidRDefault="00D80930" w:rsidP="003C596C">
      <w:pPr>
        <w:pStyle w:val="Level2"/>
      </w:pPr>
      <w:r w:rsidRPr="00F1125C">
        <w:t>If the RCM is satisfied that</w:t>
      </w:r>
      <w:r w:rsidR="00E4416C">
        <w:t>,</w:t>
      </w:r>
      <w:r>
        <w:t xml:space="preserve"> using the </w:t>
      </w:r>
      <w:r w:rsidRPr="00766874">
        <w:rPr>
          <w:i/>
        </w:rPr>
        <w:t>fundamental suitability determinants</w:t>
      </w:r>
      <w:r>
        <w:t xml:space="preserve"> set out in the application</w:t>
      </w:r>
      <w:r w:rsidRPr="00F1125C">
        <w:t>:</w:t>
      </w:r>
    </w:p>
    <w:p w14:paraId="54171D2C" w14:textId="34C92736" w:rsidR="00D80930" w:rsidRPr="00F1125C" w:rsidRDefault="009928A5" w:rsidP="003C596C">
      <w:pPr>
        <w:pStyle w:val="Level3"/>
      </w:pPr>
      <w:r>
        <w:t>the</w:t>
      </w:r>
      <w:r w:rsidR="00D80930" w:rsidRPr="00F1125C">
        <w:t xml:space="preserve"> part of a geological formation is an </w:t>
      </w:r>
      <w:r w:rsidR="00D80930" w:rsidRPr="00766874">
        <w:rPr>
          <w:i/>
        </w:rPr>
        <w:t>eligible GHG storage formation</w:t>
      </w:r>
      <w:r w:rsidR="00E4416C">
        <w:t>, and</w:t>
      </w:r>
    </w:p>
    <w:p w14:paraId="54171D2D" w14:textId="6CF4E51E" w:rsidR="00D80930" w:rsidRPr="00F1125C" w:rsidRDefault="00D80930" w:rsidP="003C596C">
      <w:pPr>
        <w:pStyle w:val="Level3"/>
      </w:pPr>
      <w:r w:rsidRPr="00F1125C">
        <w:t xml:space="preserve">the estimate of the spatial extent set out in the application is a reasonable estimate of the spatial extent of the </w:t>
      </w:r>
      <w:r w:rsidRPr="00766874">
        <w:rPr>
          <w:i/>
        </w:rPr>
        <w:t xml:space="preserve">eligible </w:t>
      </w:r>
      <w:r w:rsidR="00A4722F" w:rsidRPr="00766874">
        <w:rPr>
          <w:i/>
        </w:rPr>
        <w:t>GHG</w:t>
      </w:r>
      <w:r w:rsidRPr="00766874">
        <w:rPr>
          <w:i/>
        </w:rPr>
        <w:t xml:space="preserve"> storage formation</w:t>
      </w:r>
    </w:p>
    <w:p w14:paraId="54171D2E" w14:textId="77777777" w:rsidR="00D80930" w:rsidRPr="00F1125C" w:rsidRDefault="00D80930" w:rsidP="003C596C">
      <w:pPr>
        <w:pStyle w:val="Level2"/>
        <w:numPr>
          <w:ilvl w:val="0"/>
          <w:numId w:val="0"/>
        </w:numPr>
        <w:ind w:left="720"/>
      </w:pPr>
      <w:r w:rsidRPr="00F1125C">
        <w:t>the RCM must, by writing:</w:t>
      </w:r>
    </w:p>
    <w:p w14:paraId="54171D2F" w14:textId="51F7C4F3" w:rsidR="00D80930" w:rsidRPr="00F1125C" w:rsidRDefault="00D80930" w:rsidP="003C596C">
      <w:pPr>
        <w:pStyle w:val="Level3"/>
      </w:pPr>
      <w:r w:rsidRPr="00F1125C">
        <w:t xml:space="preserve">declare that part of a geological formation to be an </w:t>
      </w:r>
      <w:r w:rsidRPr="00766874">
        <w:rPr>
          <w:i/>
        </w:rPr>
        <w:t xml:space="preserve">identified </w:t>
      </w:r>
      <w:r w:rsidR="00A4722F" w:rsidRPr="00766874">
        <w:rPr>
          <w:i/>
        </w:rPr>
        <w:t>GHG</w:t>
      </w:r>
      <w:r w:rsidRPr="00766874">
        <w:rPr>
          <w:i/>
        </w:rPr>
        <w:t xml:space="preserve"> storage formation</w:t>
      </w:r>
    </w:p>
    <w:p w14:paraId="54171D30" w14:textId="2D66AC51" w:rsidR="00D80930" w:rsidRPr="00F1125C" w:rsidRDefault="00D80930" w:rsidP="003C596C">
      <w:pPr>
        <w:pStyle w:val="Level3"/>
      </w:pPr>
      <w:r w:rsidRPr="00F1125C">
        <w:t xml:space="preserve">declare the spatial extent of the </w:t>
      </w:r>
      <w:r w:rsidRPr="00E334C0">
        <w:rPr>
          <w:i/>
          <w:iCs/>
        </w:rPr>
        <w:t xml:space="preserve">identified </w:t>
      </w:r>
      <w:r w:rsidR="00A4722F" w:rsidRPr="00E334C0">
        <w:rPr>
          <w:i/>
          <w:iCs/>
        </w:rPr>
        <w:t>GHG</w:t>
      </w:r>
      <w:r w:rsidRPr="00E334C0">
        <w:rPr>
          <w:i/>
          <w:iCs/>
        </w:rPr>
        <w:t xml:space="preserve"> storage formation</w:t>
      </w:r>
      <w:r w:rsidRPr="00F1125C">
        <w:t xml:space="preserve"> is the spatial extent estimated in the application</w:t>
      </w:r>
      <w:r w:rsidR="0001013A">
        <w:t>, and</w:t>
      </w:r>
    </w:p>
    <w:p w14:paraId="54171D31" w14:textId="4847FEDB" w:rsidR="00D80930" w:rsidRPr="00F1125C" w:rsidRDefault="00D80930" w:rsidP="003C596C">
      <w:pPr>
        <w:pStyle w:val="Level3"/>
      </w:pPr>
      <w:r w:rsidRPr="00F1125C">
        <w:t xml:space="preserve">declare that the </w:t>
      </w:r>
      <w:r w:rsidRPr="00766874">
        <w:rPr>
          <w:i/>
        </w:rPr>
        <w:t>fundamental suitability determinants</w:t>
      </w:r>
      <w:r w:rsidRPr="00F1125C">
        <w:t xml:space="preserve"> specified in the application are the </w:t>
      </w:r>
      <w:r w:rsidRPr="00766874">
        <w:rPr>
          <w:i/>
        </w:rPr>
        <w:t>fundamental suitability determinants</w:t>
      </w:r>
      <w:r w:rsidRPr="00F1125C">
        <w:t xml:space="preserve"> of the </w:t>
      </w:r>
      <w:r w:rsidRPr="00766874">
        <w:rPr>
          <w:i/>
        </w:rPr>
        <w:t xml:space="preserve">identified </w:t>
      </w:r>
      <w:r w:rsidR="00A4722F" w:rsidRPr="00766874">
        <w:rPr>
          <w:i/>
        </w:rPr>
        <w:t>GHG</w:t>
      </w:r>
      <w:r w:rsidRPr="00766874">
        <w:rPr>
          <w:i/>
        </w:rPr>
        <w:t xml:space="preserve"> storage formation</w:t>
      </w:r>
      <w:r w:rsidRPr="00F1125C">
        <w:t>.</w:t>
      </w:r>
    </w:p>
    <w:p w14:paraId="54171D32" w14:textId="23F214BE" w:rsidR="00D80930" w:rsidRPr="00F1125C" w:rsidRDefault="00D80930" w:rsidP="003C596C">
      <w:pPr>
        <w:pStyle w:val="Level2"/>
      </w:pPr>
      <w:bookmarkStart w:id="32" w:name="_Ref332715844"/>
      <w:bookmarkStart w:id="33" w:name="_Ref335913201"/>
      <w:r w:rsidRPr="00F1125C">
        <w:t>If an application has been lodged</w:t>
      </w:r>
      <w:r>
        <w:t>,</w:t>
      </w:r>
      <w:r w:rsidRPr="00F1125C">
        <w:t xml:space="preserve"> the RCM </w:t>
      </w:r>
      <w:r>
        <w:t xml:space="preserve">must, by writing, advise </w:t>
      </w:r>
      <w:r w:rsidR="00C61A73">
        <w:t xml:space="preserve">the applicant </w:t>
      </w:r>
      <w:r>
        <w:t xml:space="preserve">of refusal to declare an </w:t>
      </w:r>
      <w:r w:rsidRPr="00AD0479">
        <w:rPr>
          <w:i/>
        </w:rPr>
        <w:t>identified GHG storage formation</w:t>
      </w:r>
      <w:r>
        <w:t xml:space="preserve"> if the RCM </w:t>
      </w:r>
      <w:r w:rsidRPr="00F1125C">
        <w:t xml:space="preserve">is </w:t>
      </w:r>
      <w:r w:rsidRPr="00BB63F7">
        <w:t>not</w:t>
      </w:r>
      <w:r w:rsidRPr="00F1125C">
        <w:t xml:space="preserve"> satisfied that</w:t>
      </w:r>
      <w:r w:rsidR="00C61A73">
        <w:t xml:space="preserve">, using the </w:t>
      </w:r>
      <w:r w:rsidR="00C61A73" w:rsidRPr="00AD0479">
        <w:rPr>
          <w:i/>
        </w:rPr>
        <w:t>fundamental suitability determinants</w:t>
      </w:r>
      <w:r w:rsidR="00C61A73">
        <w:t xml:space="preserve"> set out in the application</w:t>
      </w:r>
      <w:r w:rsidRPr="00F1125C">
        <w:t>:</w:t>
      </w:r>
    </w:p>
    <w:p w14:paraId="54171D33" w14:textId="7EC16232" w:rsidR="00D80930" w:rsidRPr="00F1125C" w:rsidRDefault="00C61A73" w:rsidP="003C596C">
      <w:pPr>
        <w:pStyle w:val="Level3"/>
      </w:pPr>
      <w:r>
        <w:t>the</w:t>
      </w:r>
      <w:r w:rsidR="00D80930" w:rsidRPr="00F1125C">
        <w:t xml:space="preserve"> part of a geological formation is an </w:t>
      </w:r>
      <w:r w:rsidR="00D80930" w:rsidRPr="00766874">
        <w:rPr>
          <w:i/>
        </w:rPr>
        <w:t>eligible GHG storage formation</w:t>
      </w:r>
      <w:r w:rsidR="00EA320F">
        <w:t>,</w:t>
      </w:r>
      <w:r w:rsidR="00D80930" w:rsidRPr="00F1125C">
        <w:t xml:space="preserve"> </w:t>
      </w:r>
      <w:r w:rsidR="00D80930">
        <w:t>and/</w:t>
      </w:r>
      <w:r w:rsidR="00766874">
        <w:t xml:space="preserve"> </w:t>
      </w:r>
      <w:r w:rsidR="00D80930">
        <w:t>or</w:t>
      </w:r>
    </w:p>
    <w:p w14:paraId="54171D34" w14:textId="47F4AF5E" w:rsidR="00D80930" w:rsidRDefault="00D80930" w:rsidP="003C596C">
      <w:pPr>
        <w:pStyle w:val="Level3"/>
      </w:pPr>
      <w:r w:rsidRPr="007507B0">
        <w:lastRenderedPageBreak/>
        <w:t xml:space="preserve">the estimate of the spatial extent set out in the application is a reasonable estimate of the spatial extent of the </w:t>
      </w:r>
      <w:r w:rsidRPr="00AD0479">
        <w:rPr>
          <w:i/>
        </w:rPr>
        <w:t>eligible GHG storage formation</w:t>
      </w:r>
      <w:r>
        <w:t>.</w:t>
      </w:r>
    </w:p>
    <w:p w14:paraId="10F887C9" w14:textId="3F2543FE" w:rsidR="00F15133" w:rsidRDefault="00F15133" w:rsidP="00F15133">
      <w:pPr>
        <w:pStyle w:val="Level2"/>
      </w:pPr>
      <w:r>
        <w:t>D</w:t>
      </w:r>
      <w:r w:rsidRPr="00F15133">
        <w:t>eclaration</w:t>
      </w:r>
      <w:r>
        <w:t>s</w:t>
      </w:r>
      <w:r w:rsidRPr="00F15133">
        <w:t xml:space="preserve"> of </w:t>
      </w:r>
      <w:r w:rsidRPr="00E334C0">
        <w:rPr>
          <w:i/>
          <w:iCs/>
        </w:rPr>
        <w:t>identified GHG storage formations</w:t>
      </w:r>
      <w:r>
        <w:t xml:space="preserve"> made under </w:t>
      </w:r>
      <w:hyperlink r:id="rId76" w:history="1">
        <w:r w:rsidRPr="00B9779F">
          <w:rPr>
            <w:rStyle w:val="Hyperlink"/>
          </w:rPr>
          <w:t>section 312 or 312A of the OPGGS Act</w:t>
        </w:r>
      </w:hyperlink>
      <w:r w:rsidR="00941ECC">
        <w:t xml:space="preserve">, including variations and revocations, </w:t>
      </w:r>
      <w:r>
        <w:t>are maintained via an online register</w:t>
      </w:r>
      <w:r w:rsidR="00941ECC">
        <w:t xml:space="preserve"> published by </w:t>
      </w:r>
      <w:hyperlink r:id="rId77" w:history="1">
        <w:r w:rsidR="00941ECC" w:rsidRPr="006946E6">
          <w:rPr>
            <w:rStyle w:val="Hyperlink"/>
          </w:rPr>
          <w:t>NOPTA</w:t>
        </w:r>
      </w:hyperlink>
      <w:r w:rsidR="00941ECC" w:rsidRPr="00941ECC">
        <w:t>.</w:t>
      </w:r>
    </w:p>
    <w:p w14:paraId="54171D35" w14:textId="77777777" w:rsidR="00D80930" w:rsidRPr="000000A6" w:rsidRDefault="00D80930" w:rsidP="00A82A81">
      <w:pPr>
        <w:pStyle w:val="Heading2"/>
      </w:pPr>
      <w:bookmarkStart w:id="34" w:name="_Toc122614791"/>
      <w:r w:rsidRPr="000000A6">
        <w:t>Timing</w:t>
      </w:r>
      <w:bookmarkEnd w:id="34"/>
    </w:p>
    <w:p w14:paraId="54171D37" w14:textId="080D43E1" w:rsidR="00D80930" w:rsidRPr="00F1125C" w:rsidRDefault="00D80930" w:rsidP="003C596C">
      <w:pPr>
        <w:pStyle w:val="Level2"/>
      </w:pPr>
      <w:r w:rsidRPr="00F1125C">
        <w:t xml:space="preserve">Given the detailed level of analysis that is required by </w:t>
      </w:r>
      <w:hyperlink r:id="rId78" w:history="1">
        <w:r w:rsidRPr="006946E6">
          <w:rPr>
            <w:rStyle w:val="Hyperlink"/>
          </w:rPr>
          <w:t>NOPTA</w:t>
        </w:r>
      </w:hyperlink>
      <w:r w:rsidR="005835A9">
        <w:t xml:space="preserve">, the </w:t>
      </w:r>
      <w:hyperlink r:id="rId79" w:history="1">
        <w:r w:rsidR="005835A9" w:rsidRPr="005835A9">
          <w:rPr>
            <w:rStyle w:val="Hyperlink"/>
          </w:rPr>
          <w:t>National Offshore Safety and Environmental Management Authority</w:t>
        </w:r>
      </w:hyperlink>
      <w:r w:rsidR="005835A9">
        <w:t xml:space="preserve">, </w:t>
      </w:r>
      <w:r w:rsidRPr="00F1125C">
        <w:t>and the RCM in assessing an application of this type, it is recommended that the titleholder allow at least six months for a decision to be made, noting any requests for further information are likely to extend this process.</w:t>
      </w:r>
    </w:p>
    <w:p w14:paraId="54171D38" w14:textId="5CCA2DD4" w:rsidR="00D80930" w:rsidRPr="00FB292B" w:rsidRDefault="00A4722F" w:rsidP="003C596C">
      <w:pPr>
        <w:pStyle w:val="Heading1"/>
      </w:pPr>
      <w:bookmarkStart w:id="35" w:name="_Variation_of_an"/>
      <w:bookmarkStart w:id="36" w:name="_Toc79063419"/>
      <w:bookmarkStart w:id="37" w:name="_Toc79063463"/>
      <w:bookmarkStart w:id="38" w:name="_Ref118975378"/>
      <w:bookmarkStart w:id="39" w:name="_Toc122614792"/>
      <w:bookmarkStart w:id="40" w:name="_Ref184648000"/>
      <w:bookmarkEnd w:id="35"/>
      <w:r w:rsidRPr="00FB292B">
        <w:t>Variation of an application for a declaration of identified GHG storage formation</w:t>
      </w:r>
      <w:bookmarkEnd w:id="36"/>
      <w:bookmarkEnd w:id="37"/>
      <w:bookmarkEnd w:id="38"/>
      <w:bookmarkEnd w:id="39"/>
      <w:bookmarkEnd w:id="40"/>
    </w:p>
    <w:p w14:paraId="54171D39" w14:textId="7A4417AC" w:rsidR="00D80930" w:rsidRPr="00F1125C" w:rsidRDefault="00F06057" w:rsidP="003C596C">
      <w:pPr>
        <w:pStyle w:val="Level2"/>
      </w:pPr>
      <w:hyperlink r:id="rId80" w:history="1">
        <w:r w:rsidR="00D80930" w:rsidRPr="00B9779F">
          <w:rPr>
            <w:rStyle w:val="Hyperlink"/>
          </w:rPr>
          <w:t>S</w:t>
        </w:r>
        <w:r w:rsidR="003235FE">
          <w:rPr>
            <w:rStyle w:val="Hyperlink"/>
          </w:rPr>
          <w:t>ubs</w:t>
        </w:r>
        <w:r w:rsidR="00D80930" w:rsidRPr="00B9779F">
          <w:rPr>
            <w:rStyle w:val="Hyperlink"/>
          </w:rPr>
          <w:t>ection</w:t>
        </w:r>
        <w:r w:rsidR="00D80930">
          <w:rPr>
            <w:rStyle w:val="Hyperlink"/>
          </w:rPr>
          <w:t>s</w:t>
        </w:r>
        <w:r w:rsidR="00D80930" w:rsidRPr="00B9779F">
          <w:rPr>
            <w:rStyle w:val="Hyperlink"/>
          </w:rPr>
          <w:t xml:space="preserve"> 312(7) </w:t>
        </w:r>
        <w:r w:rsidR="00C61A73">
          <w:rPr>
            <w:rStyle w:val="Hyperlink"/>
          </w:rPr>
          <w:t>and</w:t>
        </w:r>
        <w:r w:rsidR="00D80930" w:rsidRPr="00B9779F">
          <w:rPr>
            <w:rStyle w:val="Hyperlink"/>
          </w:rPr>
          <w:t xml:space="preserve"> 312A(7) of the OPGGS Act</w:t>
        </w:r>
      </w:hyperlink>
      <w:r w:rsidR="00D80930">
        <w:t xml:space="preserve"> provide that a</w:t>
      </w:r>
      <w:r w:rsidR="00D80930" w:rsidRPr="00F1125C">
        <w:t xml:space="preserve">t any time before the RCM makes a decision on an application for a declaration of </w:t>
      </w:r>
      <w:r w:rsidR="00D80930" w:rsidRPr="00E334C0">
        <w:rPr>
          <w:i/>
          <w:iCs/>
        </w:rPr>
        <w:t>identified GHG storage formation</w:t>
      </w:r>
      <w:r w:rsidR="00D80930" w:rsidRPr="00F1125C">
        <w:t>, the applicant may</w:t>
      </w:r>
      <w:r w:rsidR="00D80930">
        <w:t>, by written notice given</w:t>
      </w:r>
      <w:r w:rsidR="00D80930" w:rsidRPr="00F1125C">
        <w:t xml:space="preserve"> to the RCM</w:t>
      </w:r>
      <w:r w:rsidR="00D80930">
        <w:t>,</w:t>
      </w:r>
      <w:r w:rsidR="00D80930" w:rsidRPr="00F1125C">
        <w:t xml:space="preserve"> vary:</w:t>
      </w:r>
    </w:p>
    <w:p w14:paraId="54171D3A" w14:textId="66F78E4E" w:rsidR="00D80930" w:rsidRPr="00F1125C" w:rsidRDefault="00D80930" w:rsidP="003C596C">
      <w:pPr>
        <w:pStyle w:val="Level3"/>
      </w:pPr>
      <w:r w:rsidRPr="00F1125C">
        <w:t xml:space="preserve">any or all of the </w:t>
      </w:r>
      <w:r w:rsidRPr="004E7D4D">
        <w:rPr>
          <w:i/>
        </w:rPr>
        <w:t>fundamental suitability determinants</w:t>
      </w:r>
      <w:r w:rsidRPr="00F1125C">
        <w:t xml:space="preserve"> specified in the application</w:t>
      </w:r>
      <w:r w:rsidR="00EA320F">
        <w:t>,</w:t>
      </w:r>
      <w:r w:rsidRPr="00F1125C">
        <w:t xml:space="preserve"> or</w:t>
      </w:r>
    </w:p>
    <w:p w14:paraId="54171D3B" w14:textId="77777777" w:rsidR="00D80930" w:rsidRPr="00F1125C" w:rsidRDefault="00D80930" w:rsidP="003C596C">
      <w:pPr>
        <w:pStyle w:val="Level3"/>
      </w:pPr>
      <w:r w:rsidRPr="00F1125C">
        <w:t>the spatial extent estimated in the application</w:t>
      </w:r>
      <w:r>
        <w:t>.</w:t>
      </w:r>
    </w:p>
    <w:p w14:paraId="54171D3C" w14:textId="5D128494" w:rsidR="00D80930" w:rsidRDefault="00D80930" w:rsidP="003C596C">
      <w:pPr>
        <w:pStyle w:val="Level2"/>
      </w:pPr>
      <w:r w:rsidRPr="00F1125C">
        <w:t xml:space="preserve">A </w:t>
      </w:r>
      <w:r w:rsidR="00C61A73">
        <w:t xml:space="preserve">variation of an </w:t>
      </w:r>
      <w:r w:rsidRPr="00F1125C">
        <w:t>application must set out the proposed variation and specify the reasons and provide supporting evidence.</w:t>
      </w:r>
      <w:r w:rsidR="00C61A73">
        <w:t xml:space="preserve"> The variation must be made in an approved manner. A variation may be made on the applicant’s own initiative or at the request of the RCM.</w:t>
      </w:r>
    </w:p>
    <w:p w14:paraId="54171D3E" w14:textId="222115E6" w:rsidR="00D80930" w:rsidRPr="00FB292B" w:rsidRDefault="00A4722F" w:rsidP="003C596C">
      <w:pPr>
        <w:pStyle w:val="Heading1"/>
      </w:pPr>
      <w:bookmarkStart w:id="41" w:name="_Toc79063420"/>
      <w:bookmarkStart w:id="42" w:name="_Toc79063464"/>
      <w:bookmarkStart w:id="43" w:name="_Toc122614793"/>
      <w:r w:rsidRPr="00FB292B">
        <w:t>Variation of a declaration of identified GHG storage formation</w:t>
      </w:r>
      <w:bookmarkEnd w:id="41"/>
      <w:bookmarkEnd w:id="42"/>
      <w:bookmarkEnd w:id="43"/>
    </w:p>
    <w:p w14:paraId="54171D3F" w14:textId="6EC0F35F" w:rsidR="00D80930" w:rsidRDefault="00C61A73" w:rsidP="003C596C">
      <w:pPr>
        <w:pStyle w:val="Level2"/>
      </w:pPr>
      <w:r>
        <w:t>If</w:t>
      </w:r>
      <w:r w:rsidR="00D80930" w:rsidRPr="00F1125C">
        <w:t xml:space="preserve"> a declaration is in force under </w:t>
      </w:r>
      <w:hyperlink r:id="rId81" w:history="1">
        <w:r w:rsidR="00D80930" w:rsidRPr="00B9779F">
          <w:rPr>
            <w:rStyle w:val="Hyperlink"/>
          </w:rPr>
          <w:t>section 312 or 312A of the OPGGS Act</w:t>
        </w:r>
      </w:hyperlink>
      <w:r w:rsidR="00D80930" w:rsidRPr="00F1125C">
        <w:t xml:space="preserve">, the RCM may </w:t>
      </w:r>
      <w:r>
        <w:t>at any time</w:t>
      </w:r>
      <w:r w:rsidR="00AA1320">
        <w:t>, by writing,</w:t>
      </w:r>
      <w:r>
        <w:t xml:space="preserve"> </w:t>
      </w:r>
      <w:r w:rsidR="00D80930" w:rsidRPr="00F1125C">
        <w:t xml:space="preserve">vary the declaration </w:t>
      </w:r>
      <w:r w:rsidR="00AA1320">
        <w:t xml:space="preserve">under </w:t>
      </w:r>
      <w:hyperlink r:id="rId82" w:history="1">
        <w:r w:rsidR="00AA1320" w:rsidRPr="00B63163">
          <w:rPr>
            <w:rStyle w:val="Hyperlink"/>
          </w:rPr>
          <w:t>section 313 of the OPGGS Act</w:t>
        </w:r>
      </w:hyperlink>
      <w:r w:rsidR="00AA1320">
        <w:t xml:space="preserve">, </w:t>
      </w:r>
      <w:r w:rsidR="00D80930" w:rsidRPr="00F1125C">
        <w:t xml:space="preserve">either on application by the titleholder or </w:t>
      </w:r>
      <w:r w:rsidR="00D80930">
        <w:t>on</w:t>
      </w:r>
      <w:r w:rsidR="00D80930" w:rsidRPr="00F1125C">
        <w:t xml:space="preserve"> the </w:t>
      </w:r>
      <w:r w:rsidR="00D80930">
        <w:t>RCM</w:t>
      </w:r>
      <w:r w:rsidR="00D80930" w:rsidRPr="00F1125C">
        <w:t>’s own initiative.</w:t>
      </w:r>
      <w:r w:rsidR="00BA515C">
        <w:t xml:space="preserve"> </w:t>
      </w:r>
      <w:r w:rsidR="00D80930" w:rsidRPr="00F1125C">
        <w:t xml:space="preserve">Before varying a declaration on the RCM’s own initiative, the RCM must consult with the </w:t>
      </w:r>
      <w:r w:rsidR="00D80930">
        <w:t>relevant</w:t>
      </w:r>
      <w:r w:rsidR="00D80930" w:rsidRPr="00F1125C">
        <w:t xml:space="preserve"> titleholder</w:t>
      </w:r>
      <w:r w:rsidR="004E7D4D">
        <w:t xml:space="preserve"> per</w:t>
      </w:r>
      <w:r w:rsidR="00D80930">
        <w:t xml:space="preserve"> </w:t>
      </w:r>
      <w:hyperlink r:id="rId83" w:history="1">
        <w:r w:rsidR="00D80930" w:rsidRPr="00B9779F">
          <w:rPr>
            <w:rStyle w:val="Hyperlink"/>
          </w:rPr>
          <w:t>s</w:t>
        </w:r>
        <w:r w:rsidR="00AA1320">
          <w:rPr>
            <w:rStyle w:val="Hyperlink"/>
          </w:rPr>
          <w:t>ubs</w:t>
        </w:r>
        <w:r w:rsidR="003235FE">
          <w:rPr>
            <w:rStyle w:val="Hyperlink"/>
          </w:rPr>
          <w:t>ection</w:t>
        </w:r>
        <w:r w:rsidR="00D80930" w:rsidRPr="00B9779F">
          <w:rPr>
            <w:rStyle w:val="Hyperlink"/>
          </w:rPr>
          <w:t xml:space="preserve"> 313</w:t>
        </w:r>
        <w:r w:rsidR="00AA1320">
          <w:rPr>
            <w:rStyle w:val="Hyperlink"/>
          </w:rPr>
          <w:t>(6)</w:t>
        </w:r>
        <w:r w:rsidR="00D80930" w:rsidRPr="00B9779F">
          <w:rPr>
            <w:rStyle w:val="Hyperlink"/>
          </w:rPr>
          <w:t xml:space="preserve"> of the OPGGS Act</w:t>
        </w:r>
      </w:hyperlink>
      <w:r w:rsidR="00D80930">
        <w:t>.</w:t>
      </w:r>
      <w:r w:rsidR="007C5EFA">
        <w:t xml:space="preserve"> Matters that can be varied include:</w:t>
      </w:r>
    </w:p>
    <w:p w14:paraId="434D84C8" w14:textId="2C52B24E" w:rsidR="007C5EFA" w:rsidRDefault="007C5EFA" w:rsidP="007C5EFA">
      <w:pPr>
        <w:pStyle w:val="Level3"/>
      </w:pPr>
      <w:r>
        <w:t xml:space="preserve">any or all of the </w:t>
      </w:r>
      <w:r>
        <w:rPr>
          <w:i/>
          <w:iCs/>
        </w:rPr>
        <w:t>fundamental suitability determinants</w:t>
      </w:r>
      <w:r>
        <w:t xml:space="preserve"> specified in the declaration, or</w:t>
      </w:r>
    </w:p>
    <w:p w14:paraId="556A8A3B" w14:textId="7165A500" w:rsidR="007C5EFA" w:rsidRPr="00F1125C" w:rsidRDefault="007C5EFA" w:rsidP="007C5EFA">
      <w:pPr>
        <w:pStyle w:val="Level3"/>
      </w:pPr>
      <w:r>
        <w:t>the spatial extent estimated in the declaration.</w:t>
      </w:r>
    </w:p>
    <w:p w14:paraId="54171D46" w14:textId="16B2DACF" w:rsidR="00D80930" w:rsidRPr="00F1125C" w:rsidRDefault="00D80930" w:rsidP="003C596C">
      <w:pPr>
        <w:pStyle w:val="Level2"/>
      </w:pPr>
      <w:r w:rsidRPr="00F1125C">
        <w:t xml:space="preserve">An application </w:t>
      </w:r>
      <w:r w:rsidR="00AA1320">
        <w:t xml:space="preserve">by a titleholder to vary a declaration </w:t>
      </w:r>
      <w:r w:rsidRPr="00F1125C">
        <w:t>must set out the proposed variation and specify the reasons and provide supporting evidence.</w:t>
      </w:r>
      <w:r w:rsidR="00BA515C">
        <w:t xml:space="preserve"> </w:t>
      </w:r>
      <w:r w:rsidRPr="00F1125C">
        <w:t xml:space="preserve">In deciding </w:t>
      </w:r>
      <w:r w:rsidR="00AA1320">
        <w:t xml:space="preserve">whether </w:t>
      </w:r>
      <w:r w:rsidRPr="00F1125C">
        <w:t>to vary the declaration the RCM must have regard to any new information, analysis, relevant scientific or technological developments and other matters as the RCM considers relevant.</w:t>
      </w:r>
    </w:p>
    <w:p w14:paraId="40B37AB4" w14:textId="34E094F8" w:rsidR="00773CC7" w:rsidRDefault="00D80930" w:rsidP="004E7D4D">
      <w:pPr>
        <w:pStyle w:val="Level2"/>
      </w:pPr>
      <w:r w:rsidRPr="00F1125C">
        <w:t>A copy of a variation must be published in the</w:t>
      </w:r>
      <w:r w:rsidR="004E7D4D">
        <w:t xml:space="preserve"> </w:t>
      </w:r>
      <w:bookmarkStart w:id="44" w:name="_Hlk184812670"/>
      <w:r w:rsidR="00930B2D">
        <w:fldChar w:fldCharType="begin"/>
      </w:r>
      <w:r w:rsidR="00930B2D">
        <w:instrText>HYPERLINK "https://www.legislation.gov.au/search/status(InForce)/collection(Gazette)"</w:instrText>
      </w:r>
      <w:r w:rsidR="00930B2D">
        <w:fldChar w:fldCharType="separate"/>
      </w:r>
      <w:r w:rsidR="004E7D4D" w:rsidRPr="004E7D4D">
        <w:rPr>
          <w:rStyle w:val="Hyperlink"/>
        </w:rPr>
        <w:t>Australian Government Gazette</w:t>
      </w:r>
      <w:r w:rsidR="00930B2D">
        <w:rPr>
          <w:rStyle w:val="Hyperlink"/>
        </w:rPr>
        <w:fldChar w:fldCharType="end"/>
      </w:r>
      <w:bookmarkEnd w:id="44"/>
      <w:r w:rsidRPr="00F1125C">
        <w:t>.</w:t>
      </w:r>
    </w:p>
    <w:p w14:paraId="2A3F72DA" w14:textId="6E63D152" w:rsidR="004B486C" w:rsidRPr="007C5EFA" w:rsidRDefault="002321A2" w:rsidP="007C5EFA">
      <w:pPr>
        <w:pStyle w:val="Level2"/>
      </w:pPr>
      <w:r>
        <w:t>M</w:t>
      </w:r>
      <w:r w:rsidR="00B63163">
        <w:t xml:space="preserve">atters specified by the GHG injection licence per </w:t>
      </w:r>
      <w:hyperlink r:id="rId84" w:history="1">
        <w:r w:rsidR="00B63163">
          <w:rPr>
            <w:rStyle w:val="Hyperlink"/>
          </w:rPr>
          <w:t>paragraphs 358(3)(d) to (k) or 358A(3)(d) to (k) of the OPGGS Act</w:t>
        </w:r>
      </w:hyperlink>
      <w:r>
        <w:t xml:space="preserve"> may need to be varied if</w:t>
      </w:r>
      <w:r w:rsidRPr="002321A2">
        <w:t xml:space="preserve"> </w:t>
      </w:r>
      <w:r>
        <w:t>varying of a declaration</w:t>
      </w:r>
      <w:r w:rsidRPr="00B63163">
        <w:t xml:space="preserve"> </w:t>
      </w:r>
      <w:r>
        <w:t xml:space="preserve">under </w:t>
      </w:r>
      <w:hyperlink r:id="rId85" w:history="1">
        <w:r w:rsidRPr="00B63163">
          <w:rPr>
            <w:rStyle w:val="Hyperlink"/>
          </w:rPr>
          <w:t>section 313 of the OPGGS Act</w:t>
        </w:r>
      </w:hyperlink>
      <w:r>
        <w:t xml:space="preserve"> results in any inconsistencies with the GHG injection licence matters. A site plan variation may also be required. Titleholders are recommended to engage with </w:t>
      </w:r>
      <w:hyperlink r:id="rId86" w:history="1">
        <w:r w:rsidRPr="006946E6">
          <w:rPr>
            <w:rStyle w:val="Hyperlink"/>
          </w:rPr>
          <w:t>NOPTA</w:t>
        </w:r>
      </w:hyperlink>
      <w:r>
        <w:t xml:space="preserve"> if this situation arises.</w:t>
      </w:r>
    </w:p>
    <w:p w14:paraId="54171D48" w14:textId="1E79FBD9" w:rsidR="00D80930" w:rsidRPr="00FB292B" w:rsidRDefault="00A4722F" w:rsidP="003C596C">
      <w:pPr>
        <w:pStyle w:val="Heading1"/>
      </w:pPr>
      <w:bookmarkStart w:id="45" w:name="_Toc79063421"/>
      <w:bookmarkStart w:id="46" w:name="_Toc79063465"/>
      <w:bookmarkStart w:id="47" w:name="_Toc122614794"/>
      <w:r w:rsidRPr="00FB292B">
        <w:lastRenderedPageBreak/>
        <w:t>Revocation of declaration of identified GHG storage formation</w:t>
      </w:r>
      <w:bookmarkEnd w:id="45"/>
      <w:bookmarkEnd w:id="46"/>
      <w:bookmarkEnd w:id="47"/>
    </w:p>
    <w:p w14:paraId="54171D49" w14:textId="1360B3D0" w:rsidR="00D80930" w:rsidRPr="00F1125C" w:rsidRDefault="00587EF0" w:rsidP="003C596C">
      <w:pPr>
        <w:pStyle w:val="Level2"/>
      </w:pPr>
      <w:r>
        <w:t>If</w:t>
      </w:r>
      <w:r w:rsidR="00D80930" w:rsidRPr="00F1125C">
        <w:t xml:space="preserve"> a declaration is in force under </w:t>
      </w:r>
      <w:hyperlink r:id="rId87" w:history="1">
        <w:r w:rsidR="00D80930" w:rsidRPr="00B9779F">
          <w:rPr>
            <w:rStyle w:val="Hyperlink"/>
          </w:rPr>
          <w:t>section 312 or 312A of the OPGGS Act</w:t>
        </w:r>
      </w:hyperlink>
      <w:r w:rsidR="00D80930" w:rsidRPr="00F1125C">
        <w:t xml:space="preserve">, the RCM may </w:t>
      </w:r>
      <w:r>
        <w:t xml:space="preserve">at any time </w:t>
      </w:r>
      <w:r w:rsidR="00D80930" w:rsidRPr="00F1125C">
        <w:t xml:space="preserve">revoke the declaration if </w:t>
      </w:r>
      <w:r w:rsidR="00D80930">
        <w:t>the RCM is satisfied that</w:t>
      </w:r>
      <w:r>
        <w:t xml:space="preserve">, using any set of </w:t>
      </w:r>
      <w:r w:rsidRPr="00B444EC">
        <w:rPr>
          <w:i/>
        </w:rPr>
        <w:t>fundamental suitability determinants</w:t>
      </w:r>
      <w:r>
        <w:t>,</w:t>
      </w:r>
      <w:r w:rsidR="00D80930">
        <w:t xml:space="preserve"> the part of the formation is not suitable </w:t>
      </w:r>
      <w:r w:rsidR="00D80930" w:rsidRPr="00F1125C">
        <w:t xml:space="preserve">for the permanent storage of a GHG substance, </w:t>
      </w:r>
      <w:r w:rsidR="004E7D4D">
        <w:t>per</w:t>
      </w:r>
      <w:r w:rsidR="00D80930">
        <w:t xml:space="preserve"> </w:t>
      </w:r>
      <w:hyperlink r:id="rId88" w:history="1">
        <w:r w:rsidR="00D80930" w:rsidRPr="00B9779F">
          <w:rPr>
            <w:rStyle w:val="Hyperlink"/>
          </w:rPr>
          <w:t>s</w:t>
        </w:r>
        <w:r w:rsidR="003235FE">
          <w:rPr>
            <w:rStyle w:val="Hyperlink"/>
          </w:rPr>
          <w:t>ection</w:t>
        </w:r>
        <w:r w:rsidR="00D80930" w:rsidRPr="00B9779F">
          <w:rPr>
            <w:rStyle w:val="Hyperlink"/>
          </w:rPr>
          <w:t xml:space="preserve"> 314 of the OPGGS Act</w:t>
        </w:r>
      </w:hyperlink>
      <w:r w:rsidR="00D80930">
        <w:t>.</w:t>
      </w:r>
      <w:r w:rsidR="006C4DCA">
        <w:t xml:space="preserve"> This may be, for example, </w:t>
      </w:r>
      <w:r w:rsidR="00B444EC">
        <w:t>because of</w:t>
      </w:r>
      <w:r w:rsidR="006C4DCA">
        <w:t xml:space="preserve"> new information about the integrity of the storage formation.</w:t>
      </w:r>
    </w:p>
    <w:p w14:paraId="54171D4A" w14:textId="77777777" w:rsidR="00D80930" w:rsidRPr="00F1125C" w:rsidRDefault="00D80930" w:rsidP="003C596C">
      <w:pPr>
        <w:pStyle w:val="Level2"/>
      </w:pPr>
      <w:r w:rsidRPr="00F1125C">
        <w:t>The RCM must consult with the titleholder before revoking the declaration.</w:t>
      </w:r>
    </w:p>
    <w:p w14:paraId="54171D4B" w14:textId="22FFC444" w:rsidR="00D80930" w:rsidRDefault="00D80930" w:rsidP="003C596C">
      <w:pPr>
        <w:pStyle w:val="Level2"/>
      </w:pPr>
      <w:r w:rsidRPr="00F1125C">
        <w:t xml:space="preserve">Before revoking the </w:t>
      </w:r>
      <w:r w:rsidR="00B444EC" w:rsidRPr="00F1125C">
        <w:t>declaration,</w:t>
      </w:r>
      <w:r w:rsidRPr="00F1125C">
        <w:t xml:space="preserve"> the RCM must consider whether the declaration should instead be varied.</w:t>
      </w:r>
      <w:bookmarkEnd w:id="32"/>
      <w:bookmarkEnd w:id="33"/>
    </w:p>
    <w:p w14:paraId="470A5757" w14:textId="2FD4D5BF" w:rsidR="006C4DCA" w:rsidRPr="00F1125C" w:rsidRDefault="006C4DCA" w:rsidP="006C4DCA">
      <w:pPr>
        <w:pStyle w:val="Level2"/>
      </w:pPr>
      <w:r w:rsidRPr="00F1125C">
        <w:t xml:space="preserve">A copy of a </w:t>
      </w:r>
      <w:r>
        <w:t>revocation</w:t>
      </w:r>
      <w:r w:rsidRPr="00F1125C">
        <w:t xml:space="preserve"> must be published in the</w:t>
      </w:r>
      <w:r>
        <w:t xml:space="preserve"> </w:t>
      </w:r>
      <w:hyperlink r:id="rId89" w:history="1">
        <w:r w:rsidRPr="004E7D4D">
          <w:rPr>
            <w:rStyle w:val="Hyperlink"/>
          </w:rPr>
          <w:t>Australian Government Gazette</w:t>
        </w:r>
      </w:hyperlink>
      <w:r w:rsidRPr="00F1125C">
        <w:t>.</w:t>
      </w:r>
    </w:p>
    <w:p w14:paraId="54171D4C" w14:textId="2D54B6A8" w:rsidR="00D80930" w:rsidRPr="00FB292B" w:rsidRDefault="00A4722F" w:rsidP="003C596C">
      <w:pPr>
        <w:pStyle w:val="Heading1"/>
      </w:pPr>
      <w:bookmarkStart w:id="48" w:name="_Toc79063422"/>
      <w:bookmarkStart w:id="49" w:name="_Toc79063466"/>
      <w:bookmarkStart w:id="50" w:name="_Toc122614795"/>
      <w:r w:rsidRPr="00FB292B">
        <w:t>Other matters</w:t>
      </w:r>
      <w:bookmarkEnd w:id="48"/>
      <w:bookmarkEnd w:id="49"/>
      <w:bookmarkEnd w:id="50"/>
    </w:p>
    <w:p w14:paraId="78F4D1BF" w14:textId="37D83E84" w:rsidR="002321A2" w:rsidRPr="00C96585" w:rsidRDefault="002321A2" w:rsidP="002321A2">
      <w:pPr>
        <w:pStyle w:val="Level2"/>
      </w:pPr>
      <w:r>
        <w:t xml:space="preserve">A GHG injection licence or a cross-boundary GHG injection licence is subject to the condition that the licensee will not inject or permanently store a GHG substance in an </w:t>
      </w:r>
      <w:r w:rsidRPr="00497900">
        <w:rPr>
          <w:i/>
          <w:iCs/>
        </w:rPr>
        <w:t>identified GHG storage formation</w:t>
      </w:r>
      <w:r>
        <w:t xml:space="preserve"> unless it is in accordance with certain matters specified in the licence per </w:t>
      </w:r>
      <w:hyperlink r:id="rId90" w:history="1">
        <w:r>
          <w:rPr>
            <w:rStyle w:val="Hyperlink"/>
          </w:rPr>
          <w:t>paragraphs 358(3)(d) to (k) or 358A(3)(d) to (k) of the OPGGS Act</w:t>
        </w:r>
      </w:hyperlink>
      <w:r>
        <w:t>.</w:t>
      </w:r>
    </w:p>
    <w:p w14:paraId="54171D4D" w14:textId="0CAB9D3E" w:rsidR="00D80930" w:rsidRDefault="00D80930" w:rsidP="003C596C">
      <w:pPr>
        <w:pStyle w:val="Level2"/>
      </w:pPr>
      <w:r w:rsidRPr="00C96585">
        <w:t xml:space="preserve">The matters specified in a GHG injection licence or a cross-boundary GHG injection licence must not be inconsistent with the </w:t>
      </w:r>
      <w:r w:rsidRPr="004E7D4D">
        <w:rPr>
          <w:i/>
        </w:rPr>
        <w:t>fundamental suitability determinants</w:t>
      </w:r>
      <w:r w:rsidRPr="00C96585">
        <w:t xml:space="preserve"> of the </w:t>
      </w:r>
      <w:r w:rsidRPr="004E7D4D">
        <w:rPr>
          <w:i/>
        </w:rPr>
        <w:t>identified GH</w:t>
      </w:r>
      <w:r w:rsidR="00ED5E0D" w:rsidRPr="004E7D4D">
        <w:rPr>
          <w:i/>
        </w:rPr>
        <w:t>G</w:t>
      </w:r>
      <w:r w:rsidRPr="004E7D4D">
        <w:rPr>
          <w:i/>
        </w:rPr>
        <w:t xml:space="preserve"> storage formation</w:t>
      </w:r>
      <w:r w:rsidRPr="00C96585">
        <w:t xml:space="preserve"> concerned</w:t>
      </w:r>
      <w:r w:rsidR="004E7D4D">
        <w:t>, per</w:t>
      </w:r>
      <w:r w:rsidRPr="00C96585">
        <w:t xml:space="preserve"> </w:t>
      </w:r>
      <w:hyperlink r:id="rId91" w:history="1">
        <w:r w:rsidR="004E7D4D">
          <w:rPr>
            <w:rStyle w:val="Hyperlink"/>
          </w:rPr>
          <w:t>subsection 358(4) or 358A(4) of the OPGGS Act</w:t>
        </w:r>
      </w:hyperlink>
      <w:r w:rsidR="004E7D4D">
        <w:t>.</w:t>
      </w:r>
    </w:p>
    <w:p w14:paraId="4FFD2412" w14:textId="1661E75C" w:rsidR="00E334C0" w:rsidRPr="00B63163" w:rsidRDefault="00F1466F" w:rsidP="00B63163">
      <w:pPr>
        <w:pStyle w:val="Level2"/>
        <w:rPr>
          <w:color w:val="000000" w:themeColor="text1"/>
        </w:rPr>
      </w:pPr>
      <w:bookmarkStart w:id="51" w:name="_Hlk129867201"/>
      <w:r>
        <w:t>T</w:t>
      </w:r>
      <w:r w:rsidR="00D80930" w:rsidRPr="006E41BC">
        <w:t xml:space="preserve">he </w:t>
      </w:r>
      <w:r>
        <w:t xml:space="preserve">information in an application for a </w:t>
      </w:r>
      <w:r w:rsidR="00D80930" w:rsidRPr="006E41BC">
        <w:t xml:space="preserve">declaration of </w:t>
      </w:r>
      <w:r w:rsidR="004E7D4D">
        <w:t xml:space="preserve">an </w:t>
      </w:r>
      <w:r w:rsidR="004E7D4D" w:rsidRPr="00E334C0">
        <w:rPr>
          <w:i/>
          <w:iCs/>
        </w:rPr>
        <w:t xml:space="preserve">identified </w:t>
      </w:r>
      <w:r w:rsidR="00D80930" w:rsidRPr="00E334C0">
        <w:rPr>
          <w:i/>
          <w:iCs/>
        </w:rPr>
        <w:t>GHG storage formation</w:t>
      </w:r>
      <w:r w:rsidR="00D80930" w:rsidRPr="006E41BC">
        <w:t xml:space="preserve"> will form the basis of the information</w:t>
      </w:r>
      <w:r w:rsidR="004E7D4D">
        <w:t xml:space="preserve"> required by</w:t>
      </w:r>
      <w:r w:rsidR="002321A2">
        <w:t xml:space="preserve"> components of Part A and</w:t>
      </w:r>
      <w:r w:rsidR="004E7D4D">
        <w:t xml:space="preserve"> Part B of the Site Plan under </w:t>
      </w:r>
      <w:hyperlink r:id="rId92" w:history="1">
        <w:r w:rsidR="002921D7">
          <w:rPr>
            <w:rStyle w:val="Hyperlink"/>
          </w:rPr>
          <w:t>Schedule 2 of the GHG Regulations</w:t>
        </w:r>
      </w:hyperlink>
      <w:r w:rsidR="002321A2">
        <w:t>,</w:t>
      </w:r>
      <w:r w:rsidR="004E7D4D">
        <w:t xml:space="preserve"> </w:t>
      </w:r>
      <w:r w:rsidR="002321A2">
        <w:t xml:space="preserve">in particular </w:t>
      </w:r>
      <w:r w:rsidR="00D80930" w:rsidRPr="006E41BC">
        <w:t>the integrity of the storage formation and plume mi</w:t>
      </w:r>
      <w:r w:rsidR="004E7D4D">
        <w:t>gration modelling respectively</w:t>
      </w:r>
      <w:r w:rsidR="00D80930" w:rsidRPr="006E41BC">
        <w:t>.</w:t>
      </w:r>
      <w:r w:rsidR="002321A2">
        <w:t xml:space="preserve"> This information may need to be revised for the purposes of the Site Plan if, for example, it is necessary to vary the declaration </w:t>
      </w:r>
      <w:r w:rsidR="002321A2" w:rsidRPr="00F1125C">
        <w:t xml:space="preserve">of </w:t>
      </w:r>
      <w:r w:rsidR="002321A2" w:rsidRPr="00E334C0">
        <w:rPr>
          <w:i/>
          <w:iCs/>
        </w:rPr>
        <w:t>identified GHG storage formation</w:t>
      </w:r>
      <w:r w:rsidR="002321A2">
        <w:t>. S</w:t>
      </w:r>
      <w:r w:rsidR="002321A2" w:rsidRPr="002757A6">
        <w:t>ee</w:t>
      </w:r>
      <w:r w:rsidR="002321A2">
        <w:t xml:space="preserve"> </w:t>
      </w:r>
      <w:r w:rsidR="002321A2" w:rsidRPr="00557EDB">
        <w:rPr>
          <w:color w:val="000000" w:themeColor="text1"/>
          <w:u w:val="single"/>
        </w:rPr>
        <w:t xml:space="preserve">section </w:t>
      </w:r>
      <w:r w:rsidR="002321A2">
        <w:rPr>
          <w:color w:val="000000" w:themeColor="text1"/>
          <w:u w:val="single"/>
        </w:rPr>
        <w:fldChar w:fldCharType="begin" w:fldLock="1"/>
      </w:r>
      <w:r w:rsidR="002321A2">
        <w:rPr>
          <w:color w:val="000000" w:themeColor="text1"/>
          <w:u w:val="single"/>
        </w:rPr>
        <w:instrText xml:space="preserve"> REF _Ref184648000 \r \h </w:instrText>
      </w:r>
      <w:r w:rsidR="002321A2">
        <w:rPr>
          <w:color w:val="000000" w:themeColor="text1"/>
          <w:u w:val="single"/>
        </w:rPr>
      </w:r>
      <w:r w:rsidR="002321A2">
        <w:rPr>
          <w:color w:val="000000" w:themeColor="text1"/>
          <w:u w:val="single"/>
        </w:rPr>
        <w:fldChar w:fldCharType="separate"/>
      </w:r>
      <w:r w:rsidR="001F4A12">
        <w:rPr>
          <w:color w:val="000000" w:themeColor="text1"/>
          <w:u w:val="single"/>
        </w:rPr>
        <w:t>6</w:t>
      </w:r>
      <w:r w:rsidR="002321A2">
        <w:rPr>
          <w:color w:val="000000" w:themeColor="text1"/>
          <w:u w:val="single"/>
        </w:rPr>
        <w:fldChar w:fldCharType="end"/>
      </w:r>
      <w:r w:rsidR="002321A2" w:rsidRPr="00557EDB">
        <w:rPr>
          <w:color w:val="000000" w:themeColor="text1"/>
          <w:u w:val="single"/>
        </w:rPr>
        <w:t xml:space="preserve"> of this Guideline</w:t>
      </w:r>
      <w:r w:rsidR="002321A2" w:rsidRPr="00557EDB">
        <w:rPr>
          <w:color w:val="000000" w:themeColor="text1"/>
        </w:rPr>
        <w:t xml:space="preserve"> for further information</w:t>
      </w:r>
      <w:r w:rsidR="002321A2">
        <w:rPr>
          <w:color w:val="000000" w:themeColor="text1"/>
        </w:rPr>
        <w:t>.</w:t>
      </w:r>
    </w:p>
    <w:p w14:paraId="0AC2A96C" w14:textId="5998A9B7" w:rsidR="00E334C0" w:rsidRPr="00B647CF" w:rsidRDefault="00E334C0" w:rsidP="00E334C0">
      <w:pPr>
        <w:pStyle w:val="Level2"/>
        <w:numPr>
          <w:ilvl w:val="0"/>
          <w:numId w:val="0"/>
        </w:numPr>
        <w:rPr>
          <w:color w:val="000000" w:themeColor="text1"/>
        </w:rPr>
        <w:sectPr w:rsidR="00E334C0" w:rsidRPr="00B647CF" w:rsidSect="00A01BEE">
          <w:headerReference w:type="default" r:id="rId93"/>
          <w:footerReference w:type="even" r:id="rId94"/>
          <w:footerReference w:type="default" r:id="rId95"/>
          <w:headerReference w:type="first" r:id="rId96"/>
          <w:footerReference w:type="first" r:id="rId97"/>
          <w:pgSz w:w="11906" w:h="16838" w:code="9"/>
          <w:pgMar w:top="822" w:right="1077" w:bottom="1134" w:left="1077" w:header="709" w:footer="709" w:gutter="0"/>
          <w:cols w:space="708"/>
          <w:titlePg/>
          <w:docGrid w:linePitch="360"/>
        </w:sectPr>
      </w:pPr>
    </w:p>
    <w:p w14:paraId="2F33865F" w14:textId="77777777" w:rsidR="00E5336F" w:rsidRDefault="00FB292B" w:rsidP="009674DE">
      <w:pPr>
        <w:pStyle w:val="Heading1"/>
        <w:numPr>
          <w:ilvl w:val="0"/>
          <w:numId w:val="0"/>
        </w:numPr>
        <w:spacing w:before="0"/>
      </w:pPr>
      <w:bookmarkStart w:id="52" w:name="_Appendix_A:_Summary"/>
      <w:bookmarkStart w:id="53" w:name="_Ref118973943"/>
      <w:bookmarkStart w:id="54" w:name="_Toc122614796"/>
      <w:bookmarkStart w:id="55" w:name="_Ref118973863"/>
      <w:bookmarkStart w:id="56" w:name="_Toc79063423"/>
      <w:bookmarkStart w:id="57" w:name="_Toc79063467"/>
      <w:bookmarkEnd w:id="51"/>
      <w:bookmarkEnd w:id="52"/>
      <w:r w:rsidRPr="00FB292B">
        <w:lastRenderedPageBreak/>
        <w:t xml:space="preserve">Appendix </w:t>
      </w:r>
      <w:r>
        <w:t>A</w:t>
      </w:r>
      <w:bookmarkEnd w:id="53"/>
      <w:bookmarkEnd w:id="54"/>
    </w:p>
    <w:p w14:paraId="04C6769A" w14:textId="66B6AA59" w:rsidR="00A82A81" w:rsidRDefault="00FB292B" w:rsidP="00E5336F">
      <w:pPr>
        <w:pStyle w:val="Heading2"/>
      </w:pPr>
      <w:bookmarkStart w:id="58" w:name="_Toc118975525"/>
      <w:bookmarkStart w:id="59" w:name="_Toc122614797"/>
      <w:r>
        <w:t>S</w:t>
      </w:r>
      <w:r w:rsidRPr="00FB292B">
        <w:t>ummary of contents for an application for a declaration of id</w:t>
      </w:r>
      <w:r w:rsidR="00A82A81">
        <w:t>entified GHG storage formation</w:t>
      </w:r>
      <w:bookmarkEnd w:id="55"/>
      <w:bookmarkEnd w:id="58"/>
      <w:bookmarkEnd w:id="59"/>
    </w:p>
    <w:p w14:paraId="5624D619" w14:textId="0FC905CE" w:rsidR="00534EAB" w:rsidRDefault="00A82A81" w:rsidP="00E5336F">
      <w:pPr>
        <w:pStyle w:val="Level2"/>
        <w:numPr>
          <w:ilvl w:val="0"/>
          <w:numId w:val="0"/>
        </w:numPr>
        <w:ind w:left="720" w:hanging="720"/>
      </w:pPr>
      <w:r w:rsidRPr="00A82A81">
        <w:t>A</w:t>
      </w:r>
      <w:r w:rsidR="00FB292B" w:rsidRPr="00A82A81">
        <w:t xml:space="preserve">pplicants must refer to </w:t>
      </w:r>
      <w:hyperlink r:id="rId98" w:history="1">
        <w:r w:rsidR="002921D7">
          <w:rPr>
            <w:rStyle w:val="Hyperlink"/>
          </w:rPr>
          <w:t>Schedule 1 of the GHG Regulations</w:t>
        </w:r>
      </w:hyperlink>
      <w:r w:rsidR="00FB292B" w:rsidRPr="00A82A81">
        <w:t xml:space="preserve"> and </w:t>
      </w:r>
      <w:hyperlink r:id="rId99" w:history="1">
        <w:r w:rsidR="00FB292B" w:rsidRPr="00A82A81">
          <w:rPr>
            <w:rStyle w:val="Hyperlink"/>
          </w:rPr>
          <w:t>sections 21 and 312 or 312A of the OPGGS Act</w:t>
        </w:r>
      </w:hyperlink>
      <w:bookmarkEnd w:id="56"/>
      <w:bookmarkEnd w:id="57"/>
      <w:r w:rsidR="00E5336F">
        <w:t>.</w:t>
      </w:r>
    </w:p>
    <w:p w14:paraId="54171D51" w14:textId="47DBCBC3" w:rsidR="00D80930" w:rsidRPr="00A82A81" w:rsidRDefault="00C171F0" w:rsidP="00E5336F">
      <w:pPr>
        <w:pStyle w:val="Level2"/>
        <w:numPr>
          <w:ilvl w:val="0"/>
          <w:numId w:val="0"/>
        </w:numPr>
        <w:ind w:left="720" w:hanging="720"/>
      </w:pPr>
      <w:r>
        <w:t>Note that this specific page is formatted to A3 size.</w:t>
      </w:r>
    </w:p>
    <w:tbl>
      <w:tblPr>
        <w:tblStyle w:val="TableGrid"/>
        <w:tblW w:w="22056" w:type="dxa"/>
        <w:tblLook w:val="01E0" w:firstRow="1" w:lastRow="1" w:firstColumn="1" w:lastColumn="1" w:noHBand="0" w:noVBand="0"/>
        <w:tblCaption w:val="Summary of application contents for a declaration"/>
      </w:tblPr>
      <w:tblGrid>
        <w:gridCol w:w="3969"/>
        <w:gridCol w:w="6180"/>
        <w:gridCol w:w="3969"/>
        <w:gridCol w:w="3969"/>
        <w:gridCol w:w="3969"/>
      </w:tblGrid>
      <w:tr w:rsidR="000E2C65" w:rsidRPr="00B444EC" w14:paraId="54171D57" w14:textId="77777777" w:rsidTr="000E2C65">
        <w:trPr>
          <w:tblHeader/>
        </w:trPr>
        <w:tc>
          <w:tcPr>
            <w:tcW w:w="3969" w:type="dxa"/>
          </w:tcPr>
          <w:p w14:paraId="54171D52" w14:textId="77777777" w:rsidR="00D80930" w:rsidRPr="00B444EC" w:rsidRDefault="00D80930" w:rsidP="00282486">
            <w:pPr>
              <w:pStyle w:val="Level2"/>
              <w:numPr>
                <w:ilvl w:val="0"/>
                <w:numId w:val="0"/>
              </w:numPr>
              <w:jc w:val="center"/>
              <w:rPr>
                <w:b/>
                <w:bCs/>
              </w:rPr>
            </w:pPr>
            <w:r w:rsidRPr="00B444EC">
              <w:rPr>
                <w:b/>
                <w:bCs/>
              </w:rPr>
              <w:t>Fundamental suitability determinants of storage formation</w:t>
            </w:r>
          </w:p>
        </w:tc>
        <w:tc>
          <w:tcPr>
            <w:tcW w:w="6180" w:type="dxa"/>
          </w:tcPr>
          <w:p w14:paraId="54171D53" w14:textId="77777777" w:rsidR="00D80930" w:rsidRPr="00B444EC" w:rsidRDefault="00D80930" w:rsidP="00282486">
            <w:pPr>
              <w:pStyle w:val="Level2"/>
              <w:numPr>
                <w:ilvl w:val="0"/>
                <w:numId w:val="0"/>
              </w:numPr>
              <w:jc w:val="center"/>
              <w:rPr>
                <w:b/>
                <w:bCs/>
              </w:rPr>
            </w:pPr>
            <w:r w:rsidRPr="00B444EC">
              <w:rPr>
                <w:b/>
                <w:bCs/>
              </w:rPr>
              <w:t>Description of the geology of storage formation</w:t>
            </w:r>
          </w:p>
        </w:tc>
        <w:tc>
          <w:tcPr>
            <w:tcW w:w="3969" w:type="dxa"/>
          </w:tcPr>
          <w:p w14:paraId="54171D54" w14:textId="77777777" w:rsidR="00D80930" w:rsidRPr="00B444EC" w:rsidRDefault="00D80930" w:rsidP="00282486">
            <w:pPr>
              <w:pStyle w:val="Level2"/>
              <w:numPr>
                <w:ilvl w:val="0"/>
                <w:numId w:val="0"/>
              </w:numPr>
              <w:jc w:val="center"/>
              <w:rPr>
                <w:b/>
                <w:bCs/>
              </w:rPr>
            </w:pPr>
            <w:r w:rsidRPr="00B444EC">
              <w:rPr>
                <w:b/>
                <w:bCs/>
              </w:rPr>
              <w:t>Plume migration and predictions</w:t>
            </w:r>
          </w:p>
        </w:tc>
        <w:tc>
          <w:tcPr>
            <w:tcW w:w="3969" w:type="dxa"/>
          </w:tcPr>
          <w:p w14:paraId="54171D55" w14:textId="4D16D689" w:rsidR="00D80930" w:rsidRPr="00B444EC" w:rsidRDefault="00D80930" w:rsidP="00282486">
            <w:pPr>
              <w:pStyle w:val="Level2"/>
              <w:numPr>
                <w:ilvl w:val="0"/>
                <w:numId w:val="0"/>
              </w:numPr>
              <w:jc w:val="center"/>
              <w:rPr>
                <w:b/>
                <w:bCs/>
              </w:rPr>
            </w:pPr>
            <w:r w:rsidRPr="00B444EC">
              <w:rPr>
                <w:b/>
                <w:bCs/>
              </w:rPr>
              <w:t xml:space="preserve">Engineering </w:t>
            </w:r>
            <w:r w:rsidR="007C4F5B">
              <w:rPr>
                <w:b/>
                <w:bCs/>
              </w:rPr>
              <w:t>e</w:t>
            </w:r>
            <w:r w:rsidRPr="00B444EC">
              <w:rPr>
                <w:b/>
                <w:bCs/>
              </w:rPr>
              <w:t>nhancements</w:t>
            </w:r>
          </w:p>
        </w:tc>
        <w:tc>
          <w:tcPr>
            <w:tcW w:w="3969" w:type="dxa"/>
          </w:tcPr>
          <w:p w14:paraId="54171D56" w14:textId="77777777" w:rsidR="00D80930" w:rsidRPr="00B444EC" w:rsidRDefault="00D80930" w:rsidP="00282486">
            <w:pPr>
              <w:pStyle w:val="Level2"/>
              <w:numPr>
                <w:ilvl w:val="0"/>
                <w:numId w:val="0"/>
              </w:numPr>
              <w:jc w:val="center"/>
              <w:rPr>
                <w:b/>
                <w:bCs/>
              </w:rPr>
            </w:pPr>
            <w:r w:rsidRPr="00B444EC">
              <w:rPr>
                <w:b/>
                <w:bCs/>
              </w:rPr>
              <w:t>Spatial extent of the storage formation</w:t>
            </w:r>
          </w:p>
        </w:tc>
      </w:tr>
      <w:tr w:rsidR="000E2C65" w:rsidRPr="00B444EC" w14:paraId="54171D81" w14:textId="77777777" w:rsidTr="000E2C65">
        <w:tc>
          <w:tcPr>
            <w:tcW w:w="3969" w:type="dxa"/>
          </w:tcPr>
          <w:p w14:paraId="54171D58" w14:textId="09BD9814" w:rsidR="00D80930" w:rsidRPr="00777116" w:rsidRDefault="00D80930" w:rsidP="00282486">
            <w:pPr>
              <w:spacing w:after="120"/>
              <w:ind w:right="-57"/>
              <w:rPr>
                <w:rFonts w:asciiTheme="minorHAnsi" w:hAnsiTheme="minorHAnsi" w:cstheme="minorHAnsi"/>
                <w:sz w:val="22"/>
                <w:szCs w:val="22"/>
              </w:rPr>
            </w:pPr>
            <w:r w:rsidRPr="00777116">
              <w:rPr>
                <w:rFonts w:asciiTheme="minorHAnsi" w:hAnsiTheme="minorHAnsi" w:cstheme="minorHAnsi"/>
                <w:sz w:val="22"/>
                <w:szCs w:val="22"/>
              </w:rPr>
              <w:t>Must provide adequate information on the fundamental suitability determinants:</w:t>
            </w:r>
          </w:p>
          <w:p w14:paraId="54171D59" w14:textId="497FE2D6" w:rsidR="00D80930" w:rsidRPr="00777116" w:rsidRDefault="00D80930" w:rsidP="00282486">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the amount of GHG substance which the storage formation is suitable to store</w:t>
            </w:r>
          </w:p>
          <w:p w14:paraId="54171D5A" w14:textId="77777777" w:rsidR="00D80930" w:rsidRPr="00777116" w:rsidRDefault="00D80930" w:rsidP="00282486">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the chemical composition of the particular GHG substance that the formation is suitable to store</w:t>
            </w:r>
          </w:p>
          <w:p w14:paraId="54171D5B" w14:textId="77777777" w:rsidR="00D80930" w:rsidRPr="00777116" w:rsidRDefault="00D80930" w:rsidP="00282486">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the proposed injection point or points</w:t>
            </w:r>
          </w:p>
          <w:p w14:paraId="54171D5C" w14:textId="77777777" w:rsidR="00D80930" w:rsidRPr="00777116" w:rsidRDefault="00D80930" w:rsidP="00282486">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the proposed injection rate and period over which injection will take place</w:t>
            </w:r>
          </w:p>
          <w:p w14:paraId="54171D5D" w14:textId="77777777" w:rsidR="00D80930" w:rsidRPr="00777116" w:rsidRDefault="00D80930" w:rsidP="00282486">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the proposed engineering enhancements, if any, for the permanent storage of GHG substance in the storage formation</w:t>
            </w:r>
          </w:p>
          <w:p w14:paraId="54171D5E" w14:textId="4A2E0A57" w:rsidR="00D80930" w:rsidRPr="00777116" w:rsidRDefault="00D80930" w:rsidP="00282486">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the effective sealing feature</w:t>
            </w:r>
            <w:r w:rsidR="00D64912" w:rsidRPr="00777116">
              <w:rPr>
                <w:rFonts w:asciiTheme="minorHAnsi" w:hAnsiTheme="minorHAnsi" w:cstheme="minorHAnsi"/>
                <w:sz w:val="22"/>
                <w:szCs w:val="22"/>
              </w:rPr>
              <w:t>,</w:t>
            </w:r>
            <w:r w:rsidRPr="00777116">
              <w:rPr>
                <w:rFonts w:asciiTheme="minorHAnsi" w:hAnsiTheme="minorHAnsi" w:cstheme="minorHAnsi"/>
                <w:sz w:val="22"/>
                <w:szCs w:val="22"/>
              </w:rPr>
              <w:t xml:space="preserve"> </w:t>
            </w:r>
            <w:r w:rsidR="00D64912" w:rsidRPr="00777116">
              <w:rPr>
                <w:rFonts w:asciiTheme="minorHAnsi" w:hAnsiTheme="minorHAnsi" w:cstheme="minorHAnsi"/>
                <w:sz w:val="22"/>
                <w:szCs w:val="22"/>
              </w:rPr>
              <w:t xml:space="preserve">attribute or mechanism </w:t>
            </w:r>
            <w:r w:rsidRPr="00777116">
              <w:rPr>
                <w:rFonts w:asciiTheme="minorHAnsi" w:hAnsiTheme="minorHAnsi" w:cstheme="minorHAnsi"/>
                <w:sz w:val="22"/>
                <w:szCs w:val="22"/>
              </w:rPr>
              <w:t>that make the storage formation suitable for permanent GHG storage.</w:t>
            </w:r>
          </w:p>
          <w:p w14:paraId="54171D60" w14:textId="77777777" w:rsidR="00D80930" w:rsidRPr="00777116" w:rsidRDefault="00D80930" w:rsidP="00282486">
            <w:pPr>
              <w:spacing w:after="120"/>
              <w:ind w:right="-57"/>
              <w:rPr>
                <w:rFonts w:asciiTheme="minorHAnsi" w:hAnsiTheme="minorHAnsi" w:cstheme="minorHAnsi"/>
                <w:sz w:val="22"/>
                <w:szCs w:val="22"/>
              </w:rPr>
            </w:pPr>
            <w:r w:rsidRPr="00777116">
              <w:rPr>
                <w:rFonts w:asciiTheme="minorHAnsi" w:hAnsiTheme="minorHAnsi" w:cstheme="minorHAnsi"/>
                <w:sz w:val="22"/>
                <w:szCs w:val="22"/>
              </w:rPr>
              <w:t>Must provide sufficient information to demonstrate that the confining zones of the storage formation constitute an effective and sound sealing mechanism.</w:t>
            </w:r>
          </w:p>
        </w:tc>
        <w:tc>
          <w:tcPr>
            <w:tcW w:w="6180" w:type="dxa"/>
          </w:tcPr>
          <w:p w14:paraId="54171D61" w14:textId="77777777" w:rsidR="00D80930" w:rsidRPr="00777116" w:rsidRDefault="00D80930" w:rsidP="00282486">
            <w:pPr>
              <w:spacing w:after="120"/>
              <w:ind w:right="-57"/>
              <w:rPr>
                <w:rFonts w:asciiTheme="minorHAnsi" w:hAnsiTheme="minorHAnsi" w:cstheme="minorHAnsi"/>
                <w:sz w:val="22"/>
                <w:szCs w:val="22"/>
              </w:rPr>
            </w:pPr>
            <w:r w:rsidRPr="00777116">
              <w:rPr>
                <w:rFonts w:asciiTheme="minorHAnsi" w:hAnsiTheme="minorHAnsi" w:cstheme="minorHAnsi"/>
                <w:sz w:val="22"/>
                <w:szCs w:val="22"/>
              </w:rPr>
              <w:t>Must provide a detailed analysis of the geological features of the storage formation, including the effective sealing mechanism associated with the formation, discussing as a minimum:</w:t>
            </w:r>
          </w:p>
          <w:p w14:paraId="54171D62" w14:textId="77777777" w:rsidR="00D80930" w:rsidRPr="00777116" w:rsidRDefault="00D80930" w:rsidP="00282486">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stratigraphy, structure, rock types, and depositional model of the storage formation (both reservoir &amp; seal rocks)</w:t>
            </w:r>
          </w:p>
          <w:p w14:paraId="54171D63" w14:textId="7ADEA9E9" w:rsidR="00D80930" w:rsidRPr="00777116" w:rsidRDefault="00D80930" w:rsidP="00282486">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 xml:space="preserve">identification of any faults in either the </w:t>
            </w:r>
            <w:r w:rsidR="004F2389">
              <w:rPr>
                <w:rFonts w:asciiTheme="minorHAnsi" w:hAnsiTheme="minorHAnsi" w:cstheme="minorHAnsi"/>
                <w:sz w:val="22"/>
                <w:szCs w:val="22"/>
              </w:rPr>
              <w:t>reservoir</w:t>
            </w:r>
            <w:r w:rsidR="00F72D15" w:rsidRPr="00777116">
              <w:rPr>
                <w:rFonts w:asciiTheme="minorHAnsi" w:hAnsiTheme="minorHAnsi" w:cstheme="minorHAnsi"/>
                <w:sz w:val="22"/>
                <w:szCs w:val="22"/>
              </w:rPr>
              <w:t xml:space="preserve"> </w:t>
            </w:r>
            <w:r w:rsidRPr="00777116">
              <w:rPr>
                <w:rFonts w:asciiTheme="minorHAnsi" w:hAnsiTheme="minorHAnsi" w:cstheme="minorHAnsi"/>
                <w:sz w:val="22"/>
                <w:szCs w:val="22"/>
              </w:rPr>
              <w:t>or seal rocks</w:t>
            </w:r>
          </w:p>
          <w:p w14:paraId="54171D64" w14:textId="1BCFD955" w:rsidR="00D80930" w:rsidRPr="00777116" w:rsidRDefault="00D80930" w:rsidP="00282486">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 xml:space="preserve">porosity and permeability of </w:t>
            </w:r>
            <w:r w:rsidR="00F72D15" w:rsidRPr="00777116">
              <w:rPr>
                <w:rFonts w:asciiTheme="minorHAnsi" w:hAnsiTheme="minorHAnsi" w:cstheme="minorHAnsi"/>
                <w:sz w:val="22"/>
                <w:szCs w:val="22"/>
              </w:rPr>
              <w:t xml:space="preserve">the storage formation </w:t>
            </w:r>
            <w:r w:rsidRPr="00777116">
              <w:rPr>
                <w:rFonts w:asciiTheme="minorHAnsi" w:hAnsiTheme="minorHAnsi" w:cstheme="minorHAnsi"/>
                <w:sz w:val="22"/>
                <w:szCs w:val="22"/>
              </w:rPr>
              <w:t>and seal rocks</w:t>
            </w:r>
          </w:p>
          <w:p w14:paraId="54171D65" w14:textId="03FD3090" w:rsidR="00D80930" w:rsidRPr="00777116" w:rsidRDefault="00D80930" w:rsidP="00282486">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 xml:space="preserve">reactivity of rock types </w:t>
            </w:r>
            <w:r w:rsidR="00F72D15" w:rsidRPr="00777116">
              <w:rPr>
                <w:rFonts w:asciiTheme="minorHAnsi" w:hAnsiTheme="minorHAnsi" w:cstheme="minorHAnsi"/>
                <w:sz w:val="22"/>
                <w:szCs w:val="22"/>
              </w:rPr>
              <w:t xml:space="preserve">in both the reservoir and seal rocks </w:t>
            </w:r>
            <w:r w:rsidRPr="00777116">
              <w:rPr>
                <w:rFonts w:asciiTheme="minorHAnsi" w:hAnsiTheme="minorHAnsi" w:cstheme="minorHAnsi"/>
                <w:sz w:val="22"/>
                <w:szCs w:val="22"/>
              </w:rPr>
              <w:t>with the GHG substance</w:t>
            </w:r>
            <w:r w:rsidR="00F72D15" w:rsidRPr="00777116">
              <w:rPr>
                <w:rFonts w:asciiTheme="minorHAnsi" w:hAnsiTheme="minorHAnsi" w:cstheme="minorHAnsi"/>
                <w:sz w:val="22"/>
                <w:szCs w:val="22"/>
              </w:rPr>
              <w:t xml:space="preserve"> proposed to be stored</w:t>
            </w:r>
          </w:p>
          <w:p w14:paraId="54171D66" w14:textId="7DD45C6F" w:rsidR="00D80930" w:rsidRPr="00777116" w:rsidRDefault="004F2389" w:rsidP="00282486">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 xml:space="preserve">geomechanical </w:t>
            </w:r>
            <w:r w:rsidR="00F72D15" w:rsidRPr="00777116">
              <w:rPr>
                <w:rFonts w:asciiTheme="minorHAnsi" w:hAnsiTheme="minorHAnsi" w:cstheme="minorHAnsi"/>
                <w:sz w:val="22"/>
                <w:szCs w:val="22"/>
              </w:rPr>
              <w:t xml:space="preserve">assessment of the </w:t>
            </w:r>
            <w:r w:rsidR="00D80930" w:rsidRPr="00777116">
              <w:rPr>
                <w:rFonts w:asciiTheme="minorHAnsi" w:hAnsiTheme="minorHAnsi" w:cstheme="minorHAnsi"/>
                <w:sz w:val="22"/>
                <w:szCs w:val="22"/>
              </w:rPr>
              <w:t>local stress regime, fracture gradients, fault stability and the geomechanical response of the storage formation to injection</w:t>
            </w:r>
          </w:p>
          <w:p w14:paraId="54171D67" w14:textId="77777777" w:rsidR="00D80930" w:rsidRPr="00777116" w:rsidRDefault="00D80930" w:rsidP="00282486">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reservoir fluid parameters, including chemical composition, pressure and temperature</w:t>
            </w:r>
          </w:p>
          <w:p w14:paraId="54171D68" w14:textId="77777777" w:rsidR="00D80930" w:rsidRPr="00777116" w:rsidRDefault="00D80930" w:rsidP="00282486">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seismicity, including the history of earthquake activity in the area</w:t>
            </w:r>
          </w:p>
          <w:p w14:paraId="54171D69" w14:textId="77777777" w:rsidR="00D80930" w:rsidRPr="00777116" w:rsidRDefault="00D80930" w:rsidP="00282486">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well data (well performance and well testing) in the area</w:t>
            </w:r>
          </w:p>
          <w:p w14:paraId="54171D6A" w14:textId="5D1C0690" w:rsidR="00D80930" w:rsidRDefault="00946D2B" w:rsidP="00282486">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 xml:space="preserve">conduct of any previous exploration </w:t>
            </w:r>
            <w:r>
              <w:rPr>
                <w:rFonts w:asciiTheme="minorHAnsi" w:hAnsiTheme="minorHAnsi" w:cstheme="minorHAnsi"/>
                <w:sz w:val="22"/>
                <w:szCs w:val="22"/>
              </w:rPr>
              <w:t xml:space="preserve">and development </w:t>
            </w:r>
            <w:r w:rsidRPr="00777116">
              <w:rPr>
                <w:rFonts w:asciiTheme="minorHAnsi" w:hAnsiTheme="minorHAnsi" w:cstheme="minorHAnsi"/>
                <w:sz w:val="22"/>
                <w:szCs w:val="22"/>
              </w:rPr>
              <w:t>(petroleum and GHG) activities, if any, in the area, in</w:t>
            </w:r>
            <w:r>
              <w:rPr>
                <w:rFonts w:asciiTheme="minorHAnsi" w:hAnsiTheme="minorHAnsi" w:cstheme="minorHAnsi"/>
                <w:sz w:val="22"/>
                <w:szCs w:val="22"/>
              </w:rPr>
              <w:t>cluding</w:t>
            </w:r>
            <w:r w:rsidRPr="00777116">
              <w:rPr>
                <w:rFonts w:asciiTheme="minorHAnsi" w:hAnsiTheme="minorHAnsi" w:cstheme="minorHAnsi"/>
                <w:sz w:val="22"/>
                <w:szCs w:val="22"/>
              </w:rPr>
              <w:t xml:space="preserve"> abandoned wells and any available relevant information on their nature</w:t>
            </w:r>
            <w:r>
              <w:rPr>
                <w:rFonts w:asciiTheme="minorHAnsi" w:hAnsiTheme="minorHAnsi" w:cstheme="minorHAnsi"/>
                <w:sz w:val="22"/>
                <w:szCs w:val="22"/>
              </w:rPr>
              <w:t>, particularly as it relates to storage formation</w:t>
            </w:r>
            <w:r w:rsidRPr="00777116">
              <w:rPr>
                <w:rFonts w:asciiTheme="minorHAnsi" w:hAnsiTheme="minorHAnsi" w:cstheme="minorHAnsi"/>
                <w:sz w:val="22"/>
                <w:szCs w:val="22"/>
              </w:rPr>
              <w:t xml:space="preserve"> </w:t>
            </w:r>
            <w:r>
              <w:rPr>
                <w:rFonts w:asciiTheme="minorHAnsi" w:hAnsiTheme="minorHAnsi" w:cstheme="minorHAnsi"/>
                <w:sz w:val="22"/>
                <w:szCs w:val="22"/>
              </w:rPr>
              <w:t xml:space="preserve">integrity risk </w:t>
            </w:r>
            <w:r w:rsidRPr="00777116">
              <w:rPr>
                <w:rFonts w:asciiTheme="minorHAnsi" w:hAnsiTheme="minorHAnsi" w:cstheme="minorHAnsi"/>
                <w:sz w:val="22"/>
                <w:szCs w:val="22"/>
              </w:rPr>
              <w:t xml:space="preserve">(well locations, </w:t>
            </w:r>
            <w:r>
              <w:rPr>
                <w:rFonts w:asciiTheme="minorHAnsi" w:hAnsiTheme="minorHAnsi" w:cstheme="minorHAnsi"/>
                <w:sz w:val="22"/>
                <w:szCs w:val="22"/>
              </w:rPr>
              <w:t>well construction and</w:t>
            </w:r>
            <w:r w:rsidRPr="00777116">
              <w:rPr>
                <w:rFonts w:asciiTheme="minorHAnsi" w:hAnsiTheme="minorHAnsi" w:cstheme="minorHAnsi"/>
                <w:sz w:val="22"/>
                <w:szCs w:val="22"/>
              </w:rPr>
              <w:t xml:space="preserve"> plugging, type of cement used, </w:t>
            </w:r>
            <w:r>
              <w:rPr>
                <w:rFonts w:asciiTheme="minorHAnsi" w:hAnsiTheme="minorHAnsi" w:cstheme="minorHAnsi"/>
                <w:sz w:val="22"/>
                <w:szCs w:val="22"/>
              </w:rPr>
              <w:t xml:space="preserve">assessment methodology </w:t>
            </w:r>
            <w:r w:rsidRPr="00777116">
              <w:rPr>
                <w:rFonts w:asciiTheme="minorHAnsi" w:hAnsiTheme="minorHAnsi" w:cstheme="minorHAnsi"/>
                <w:sz w:val="22"/>
                <w:szCs w:val="22"/>
              </w:rPr>
              <w:t>etc.) and a map</w:t>
            </w:r>
            <w:r w:rsidR="00D80930" w:rsidRPr="00777116">
              <w:rPr>
                <w:rFonts w:asciiTheme="minorHAnsi" w:hAnsiTheme="minorHAnsi" w:cstheme="minorHAnsi"/>
                <w:sz w:val="22"/>
                <w:szCs w:val="22"/>
              </w:rPr>
              <w:t>.</w:t>
            </w:r>
          </w:p>
          <w:p w14:paraId="0CA0DDC1" w14:textId="0EF5451F" w:rsidR="00946D2B" w:rsidRPr="00946D2B" w:rsidRDefault="00946D2B" w:rsidP="00946D2B">
            <w:pPr>
              <w:spacing w:after="120"/>
              <w:ind w:right="-57"/>
              <w:rPr>
                <w:rFonts w:asciiTheme="minorHAnsi" w:hAnsiTheme="minorHAnsi" w:cstheme="minorHAnsi"/>
              </w:rPr>
            </w:pPr>
            <w:r w:rsidRPr="00946D2B">
              <w:rPr>
                <w:rFonts w:asciiTheme="minorHAnsi" w:hAnsiTheme="minorHAnsi" w:cstheme="minorHAnsi"/>
              </w:rPr>
              <w:t>Information relating to storage formation integrity must be provided by the applicant to satisfy the RCM that the applicant’s understanding of the geological environment is sufficient to allow the applicant to:</w:t>
            </w:r>
          </w:p>
          <w:p w14:paraId="1267FE3F" w14:textId="77B114B0" w:rsidR="00946D2B" w:rsidRPr="00946D2B" w:rsidRDefault="00946D2B" w:rsidP="00946D2B">
            <w:pPr>
              <w:pStyle w:val="ListParagraph"/>
              <w:numPr>
                <w:ilvl w:val="0"/>
                <w:numId w:val="13"/>
              </w:numPr>
              <w:spacing w:after="120"/>
              <w:ind w:left="171" w:right="-57" w:hanging="171"/>
              <w:rPr>
                <w:rFonts w:asciiTheme="minorHAnsi" w:hAnsiTheme="minorHAnsi" w:cstheme="minorHAnsi"/>
                <w:sz w:val="22"/>
                <w:szCs w:val="22"/>
              </w:rPr>
            </w:pPr>
            <w:r w:rsidRPr="00946D2B">
              <w:rPr>
                <w:rFonts w:asciiTheme="minorHAnsi" w:hAnsiTheme="minorHAnsi" w:cstheme="minorHAnsi"/>
                <w:sz w:val="22"/>
                <w:szCs w:val="22"/>
              </w:rPr>
              <w:t>identify all geological risks relating to the containment of the GHG substance in the storage formation</w:t>
            </w:r>
          </w:p>
          <w:p w14:paraId="3A917527" w14:textId="7019C585" w:rsidR="00946D2B" w:rsidRPr="00946D2B" w:rsidRDefault="00946D2B" w:rsidP="00946D2B">
            <w:pPr>
              <w:pStyle w:val="ListParagraph"/>
              <w:numPr>
                <w:ilvl w:val="0"/>
                <w:numId w:val="13"/>
              </w:numPr>
              <w:spacing w:after="120"/>
              <w:ind w:left="171" w:right="-57" w:hanging="171"/>
              <w:rPr>
                <w:rFonts w:asciiTheme="minorHAnsi" w:hAnsiTheme="minorHAnsi" w:cstheme="minorHAnsi"/>
                <w:sz w:val="22"/>
                <w:szCs w:val="22"/>
              </w:rPr>
            </w:pPr>
            <w:r w:rsidRPr="00946D2B">
              <w:rPr>
                <w:rFonts w:asciiTheme="minorHAnsi" w:hAnsiTheme="minorHAnsi" w:cstheme="minorHAnsi"/>
                <w:sz w:val="22"/>
                <w:szCs w:val="22"/>
              </w:rPr>
              <w:t>provide an explanation of how risks can be identified, and</w:t>
            </w:r>
          </w:p>
          <w:p w14:paraId="4C06C656" w14:textId="45242D56" w:rsidR="00946D2B" w:rsidRPr="00946D2B" w:rsidRDefault="00946D2B" w:rsidP="00946D2B">
            <w:pPr>
              <w:pStyle w:val="ListParagraph"/>
              <w:numPr>
                <w:ilvl w:val="0"/>
                <w:numId w:val="13"/>
              </w:numPr>
              <w:spacing w:after="120"/>
              <w:ind w:left="171" w:right="-57" w:hanging="171"/>
              <w:rPr>
                <w:rFonts w:asciiTheme="minorHAnsi" w:hAnsiTheme="minorHAnsi" w:cstheme="minorHAnsi"/>
                <w:sz w:val="22"/>
                <w:szCs w:val="22"/>
              </w:rPr>
            </w:pPr>
            <w:r w:rsidRPr="00946D2B">
              <w:rPr>
                <w:rFonts w:asciiTheme="minorHAnsi" w:hAnsiTheme="minorHAnsi" w:cstheme="minorHAnsi"/>
                <w:sz w:val="22"/>
                <w:szCs w:val="22"/>
              </w:rPr>
              <w:t>that strategies are proposed for the elimination or reduction and management of those risks</w:t>
            </w:r>
            <w:r>
              <w:rPr>
                <w:rFonts w:asciiTheme="minorHAnsi" w:hAnsiTheme="minorHAnsi" w:cstheme="minorHAnsi"/>
                <w:sz w:val="22"/>
                <w:szCs w:val="22"/>
              </w:rPr>
              <w:t>.</w:t>
            </w:r>
          </w:p>
          <w:p w14:paraId="54171D6B" w14:textId="39561D34" w:rsidR="00D80930" w:rsidRPr="00777116" w:rsidRDefault="00D80930" w:rsidP="00282486">
            <w:pPr>
              <w:spacing w:after="120"/>
              <w:ind w:right="-57"/>
              <w:rPr>
                <w:rFonts w:asciiTheme="minorHAnsi" w:hAnsiTheme="minorHAnsi" w:cstheme="minorHAnsi"/>
                <w:sz w:val="22"/>
                <w:szCs w:val="22"/>
              </w:rPr>
            </w:pPr>
            <w:r w:rsidRPr="00777116">
              <w:rPr>
                <w:rFonts w:asciiTheme="minorHAnsi" w:hAnsiTheme="minorHAnsi" w:cstheme="minorHAnsi"/>
                <w:sz w:val="22"/>
                <w:szCs w:val="22"/>
              </w:rPr>
              <w:t xml:space="preserve">Must also include any </w:t>
            </w:r>
            <w:r w:rsidR="00F72D15" w:rsidRPr="00777116">
              <w:rPr>
                <w:rFonts w:asciiTheme="minorHAnsi" w:hAnsiTheme="minorHAnsi" w:cstheme="minorHAnsi"/>
                <w:sz w:val="22"/>
                <w:szCs w:val="22"/>
              </w:rPr>
              <w:t xml:space="preserve">other </w:t>
            </w:r>
            <w:r w:rsidRPr="00777116">
              <w:rPr>
                <w:rFonts w:asciiTheme="minorHAnsi" w:hAnsiTheme="minorHAnsi" w:cstheme="minorHAnsi"/>
                <w:sz w:val="22"/>
                <w:szCs w:val="22"/>
              </w:rPr>
              <w:t>information relevant to the long-term (geological timeframes) safe and secure storage of the GHG substance.</w:t>
            </w:r>
            <w:r w:rsidR="00BA515C" w:rsidRPr="00777116">
              <w:rPr>
                <w:rFonts w:asciiTheme="minorHAnsi" w:hAnsiTheme="minorHAnsi" w:cstheme="minorHAnsi"/>
                <w:sz w:val="22"/>
                <w:szCs w:val="22"/>
              </w:rPr>
              <w:t xml:space="preserve"> </w:t>
            </w:r>
            <w:r w:rsidRPr="00777116">
              <w:rPr>
                <w:rFonts w:asciiTheme="minorHAnsi" w:hAnsiTheme="minorHAnsi" w:cstheme="minorHAnsi"/>
                <w:sz w:val="22"/>
                <w:szCs w:val="22"/>
              </w:rPr>
              <w:t xml:space="preserve">This may require data </w:t>
            </w:r>
            <w:r w:rsidR="000E2C65">
              <w:rPr>
                <w:rFonts w:asciiTheme="minorHAnsi" w:hAnsiTheme="minorHAnsi" w:cstheme="minorHAnsi"/>
                <w:sz w:val="22"/>
                <w:szCs w:val="22"/>
              </w:rPr>
              <w:t>for</w:t>
            </w:r>
            <w:r w:rsidRPr="00777116">
              <w:rPr>
                <w:rFonts w:asciiTheme="minorHAnsi" w:hAnsiTheme="minorHAnsi" w:cstheme="minorHAnsi"/>
                <w:sz w:val="22"/>
                <w:szCs w:val="22"/>
              </w:rPr>
              <w:t xml:space="preserve"> areas outside the title area.</w:t>
            </w:r>
          </w:p>
        </w:tc>
        <w:tc>
          <w:tcPr>
            <w:tcW w:w="3969" w:type="dxa"/>
          </w:tcPr>
          <w:p w14:paraId="54171D6C" w14:textId="77777777" w:rsidR="00D80930" w:rsidRPr="00777116" w:rsidRDefault="00D80930" w:rsidP="00282486">
            <w:pPr>
              <w:spacing w:after="120"/>
              <w:ind w:right="-57"/>
              <w:rPr>
                <w:rFonts w:asciiTheme="minorHAnsi" w:hAnsiTheme="minorHAnsi" w:cstheme="minorHAnsi"/>
                <w:sz w:val="22"/>
                <w:szCs w:val="22"/>
              </w:rPr>
            </w:pPr>
            <w:r w:rsidRPr="00777116">
              <w:rPr>
                <w:rFonts w:asciiTheme="minorHAnsi" w:hAnsiTheme="minorHAnsi" w:cstheme="minorHAnsi"/>
                <w:sz w:val="22"/>
                <w:szCs w:val="22"/>
              </w:rPr>
              <w:t>Must provide sufficient information on the expected migration pathway(s) of the injected GHG substance to inform the expected behaviour over the life of the GHG storage project and in the longer term.</w:t>
            </w:r>
          </w:p>
          <w:p w14:paraId="54171D6D" w14:textId="63566470" w:rsidR="00D80930" w:rsidRPr="00777116" w:rsidRDefault="00D80930" w:rsidP="00282486">
            <w:pPr>
              <w:spacing w:after="120"/>
              <w:ind w:right="-57"/>
              <w:rPr>
                <w:rFonts w:asciiTheme="minorHAnsi" w:hAnsiTheme="minorHAnsi" w:cstheme="minorHAnsi"/>
                <w:sz w:val="22"/>
                <w:szCs w:val="22"/>
              </w:rPr>
            </w:pPr>
            <w:r w:rsidRPr="00777116">
              <w:rPr>
                <w:rFonts w:asciiTheme="minorHAnsi" w:hAnsiTheme="minorHAnsi" w:cstheme="minorHAnsi"/>
                <w:sz w:val="22"/>
                <w:szCs w:val="22"/>
              </w:rPr>
              <w:t xml:space="preserve">All migration pathways </w:t>
            </w:r>
            <w:r w:rsidR="00585F9F" w:rsidRPr="00777116">
              <w:rPr>
                <w:rFonts w:asciiTheme="minorHAnsi" w:hAnsiTheme="minorHAnsi" w:cstheme="minorHAnsi"/>
                <w:sz w:val="22"/>
                <w:szCs w:val="22"/>
              </w:rPr>
              <w:t>for</w:t>
            </w:r>
            <w:r w:rsidRPr="00777116">
              <w:rPr>
                <w:rFonts w:asciiTheme="minorHAnsi" w:hAnsiTheme="minorHAnsi" w:cstheme="minorHAnsi"/>
                <w:sz w:val="22"/>
                <w:szCs w:val="22"/>
              </w:rPr>
              <w:t xml:space="preserve"> which the probability of occurrence is greater than 10% must be considered.</w:t>
            </w:r>
          </w:p>
          <w:p w14:paraId="54171D6E" w14:textId="77777777" w:rsidR="00D80930" w:rsidRPr="00777116" w:rsidRDefault="00D80930" w:rsidP="00282486">
            <w:pPr>
              <w:spacing w:after="120"/>
              <w:ind w:right="-57"/>
              <w:rPr>
                <w:rFonts w:asciiTheme="minorHAnsi" w:hAnsiTheme="minorHAnsi" w:cstheme="minorHAnsi"/>
                <w:sz w:val="22"/>
                <w:szCs w:val="22"/>
              </w:rPr>
            </w:pPr>
            <w:r w:rsidRPr="00777116">
              <w:rPr>
                <w:rFonts w:asciiTheme="minorHAnsi" w:hAnsiTheme="minorHAnsi" w:cstheme="minorHAnsi"/>
                <w:sz w:val="22"/>
                <w:szCs w:val="22"/>
              </w:rPr>
              <w:t>The predictions must be based on the fundamental suitability determinants of the storage formation.</w:t>
            </w:r>
          </w:p>
          <w:p w14:paraId="54171D6F" w14:textId="31886724" w:rsidR="00D80930" w:rsidRPr="00777116" w:rsidRDefault="00D80930" w:rsidP="00282486">
            <w:pPr>
              <w:spacing w:after="120"/>
              <w:ind w:right="-57"/>
              <w:rPr>
                <w:rFonts w:asciiTheme="minorHAnsi" w:hAnsiTheme="minorHAnsi" w:cstheme="minorHAnsi"/>
                <w:sz w:val="22"/>
                <w:szCs w:val="22"/>
              </w:rPr>
            </w:pPr>
            <w:r w:rsidRPr="00777116">
              <w:rPr>
                <w:rFonts w:asciiTheme="minorHAnsi" w:hAnsiTheme="minorHAnsi" w:cstheme="minorHAnsi"/>
                <w:sz w:val="22"/>
                <w:szCs w:val="22"/>
              </w:rPr>
              <w:t>Th</w:t>
            </w:r>
            <w:r w:rsidR="006B399C">
              <w:rPr>
                <w:rFonts w:asciiTheme="minorHAnsi" w:hAnsiTheme="minorHAnsi" w:cstheme="minorHAnsi"/>
                <w:sz w:val="22"/>
                <w:szCs w:val="22"/>
              </w:rPr>
              <w:t>e</w:t>
            </w:r>
            <w:r w:rsidRPr="00777116">
              <w:rPr>
                <w:rFonts w:asciiTheme="minorHAnsi" w:hAnsiTheme="minorHAnsi" w:cstheme="minorHAnsi"/>
                <w:sz w:val="22"/>
                <w:szCs w:val="22"/>
              </w:rPr>
              <w:t xml:space="preserve"> information </w:t>
            </w:r>
            <w:r w:rsidR="006B399C">
              <w:rPr>
                <w:rFonts w:asciiTheme="minorHAnsi" w:hAnsiTheme="minorHAnsi" w:cstheme="minorHAnsi"/>
                <w:sz w:val="22"/>
                <w:szCs w:val="22"/>
              </w:rPr>
              <w:t xml:space="preserve">submitted </w:t>
            </w:r>
            <w:r w:rsidRPr="00777116">
              <w:rPr>
                <w:rFonts w:asciiTheme="minorHAnsi" w:hAnsiTheme="minorHAnsi" w:cstheme="minorHAnsi"/>
                <w:sz w:val="22"/>
                <w:szCs w:val="22"/>
              </w:rPr>
              <w:t>must include:</w:t>
            </w:r>
          </w:p>
          <w:p w14:paraId="54171D70" w14:textId="77777777" w:rsidR="00D80930" w:rsidRPr="00777116" w:rsidRDefault="00D80930" w:rsidP="00282486">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details of all data used to generate the models</w:t>
            </w:r>
          </w:p>
          <w:p w14:paraId="54171D71" w14:textId="77777777" w:rsidR="00D80930" w:rsidRPr="00777116" w:rsidRDefault="00D80930" w:rsidP="00282486">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details of the modelling including methodology, spatial resolution, types of models and assumptions to predict plume migration pathways</w:t>
            </w:r>
          </w:p>
          <w:p w14:paraId="54171D72" w14:textId="77777777" w:rsidR="00D80930" w:rsidRPr="00777116" w:rsidRDefault="00D80930" w:rsidP="00282486">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predictions of the migration pathways and probability distributions associated with these predictions.</w:t>
            </w:r>
          </w:p>
          <w:p w14:paraId="54171D73" w14:textId="1C04D815" w:rsidR="00D80930" w:rsidRPr="00777116" w:rsidRDefault="00D80930" w:rsidP="00282486">
            <w:pPr>
              <w:spacing w:after="120"/>
              <w:ind w:right="-57"/>
              <w:rPr>
                <w:rFonts w:asciiTheme="minorHAnsi" w:hAnsiTheme="minorHAnsi" w:cstheme="minorHAnsi"/>
                <w:sz w:val="22"/>
                <w:szCs w:val="22"/>
              </w:rPr>
            </w:pPr>
            <w:r w:rsidRPr="00777116">
              <w:rPr>
                <w:rFonts w:asciiTheme="minorHAnsi" w:hAnsiTheme="minorHAnsi" w:cstheme="minorHAnsi"/>
                <w:sz w:val="22"/>
                <w:szCs w:val="22"/>
              </w:rPr>
              <w:t xml:space="preserve">These predictions should be provided at intervals over the life of the project and in the longer term, and </w:t>
            </w:r>
            <w:r w:rsidR="006B399C">
              <w:rPr>
                <w:rFonts w:asciiTheme="minorHAnsi" w:hAnsiTheme="minorHAnsi" w:cstheme="minorHAnsi"/>
                <w:sz w:val="22"/>
                <w:szCs w:val="22"/>
              </w:rPr>
              <w:t>should</w:t>
            </w:r>
            <w:r w:rsidRPr="00777116">
              <w:rPr>
                <w:rFonts w:asciiTheme="minorHAnsi" w:hAnsiTheme="minorHAnsi" w:cstheme="minorHAnsi"/>
                <w:sz w:val="22"/>
                <w:szCs w:val="22"/>
              </w:rPr>
              <w:t xml:space="preserve"> include at least:</w:t>
            </w:r>
          </w:p>
          <w:p w14:paraId="54171D74" w14:textId="77777777" w:rsidR="00D80930" w:rsidRPr="00777116" w:rsidRDefault="00D80930" w:rsidP="00282486">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five years after injection is expected to cease</w:t>
            </w:r>
          </w:p>
          <w:p w14:paraId="54171D75" w14:textId="77777777" w:rsidR="00D80930" w:rsidRPr="00777116" w:rsidRDefault="00D80930" w:rsidP="00282486">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the time when the GHG substance has effectively stabilised in the subsurface.</w:t>
            </w:r>
          </w:p>
        </w:tc>
        <w:tc>
          <w:tcPr>
            <w:tcW w:w="3969" w:type="dxa"/>
          </w:tcPr>
          <w:p w14:paraId="54171D76" w14:textId="77777777" w:rsidR="00D80930" w:rsidRPr="00777116" w:rsidRDefault="00D80930" w:rsidP="00282486">
            <w:pPr>
              <w:spacing w:after="120"/>
              <w:ind w:right="-57"/>
              <w:rPr>
                <w:rFonts w:asciiTheme="minorHAnsi" w:hAnsiTheme="minorHAnsi" w:cstheme="minorHAnsi"/>
                <w:sz w:val="22"/>
                <w:szCs w:val="22"/>
              </w:rPr>
            </w:pPr>
            <w:r w:rsidRPr="00777116">
              <w:rPr>
                <w:rFonts w:asciiTheme="minorHAnsi" w:hAnsiTheme="minorHAnsi" w:cstheme="minorHAnsi"/>
                <w:sz w:val="22"/>
                <w:szCs w:val="22"/>
              </w:rPr>
              <w:t>Must provide sufficient detail about any proposed engineering enhancements including:</w:t>
            </w:r>
          </w:p>
          <w:p w14:paraId="54171D77" w14:textId="584FDDAD" w:rsidR="00D80930" w:rsidRPr="00777116" w:rsidRDefault="00D80930" w:rsidP="00282486">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 xml:space="preserve">a description of the proposed engineering enhancements </w:t>
            </w:r>
            <w:r w:rsidR="00580470" w:rsidRPr="00777116">
              <w:rPr>
                <w:rFonts w:asciiTheme="minorHAnsi" w:hAnsiTheme="minorHAnsi" w:cstheme="minorHAnsi"/>
                <w:sz w:val="22"/>
                <w:szCs w:val="22"/>
              </w:rPr>
              <w:t xml:space="preserve">in relation </w:t>
            </w:r>
            <w:r w:rsidRPr="00777116">
              <w:rPr>
                <w:rFonts w:asciiTheme="minorHAnsi" w:hAnsiTheme="minorHAnsi" w:cstheme="minorHAnsi"/>
                <w:sz w:val="22"/>
                <w:szCs w:val="22"/>
              </w:rPr>
              <w:t>to the storage formation</w:t>
            </w:r>
          </w:p>
          <w:p w14:paraId="54171D78" w14:textId="252EA6B1" w:rsidR="00D80930" w:rsidRPr="00777116" w:rsidRDefault="00777116" w:rsidP="00282486">
            <w:pPr>
              <w:pStyle w:val="ListParagraph"/>
              <w:numPr>
                <w:ilvl w:val="0"/>
                <w:numId w:val="13"/>
              </w:numPr>
              <w:spacing w:after="120"/>
              <w:ind w:left="171" w:right="-57" w:hanging="171"/>
              <w:rPr>
                <w:rFonts w:asciiTheme="minorHAnsi" w:hAnsiTheme="minorHAnsi" w:cstheme="minorHAnsi"/>
                <w:sz w:val="22"/>
                <w:szCs w:val="22"/>
              </w:rPr>
            </w:pPr>
            <w:r>
              <w:rPr>
                <w:rFonts w:asciiTheme="minorHAnsi" w:hAnsiTheme="minorHAnsi" w:cstheme="minorHAnsi"/>
                <w:sz w:val="22"/>
                <w:szCs w:val="22"/>
              </w:rPr>
              <w:t>demonstrating</w:t>
            </w:r>
            <w:r w:rsidR="00D80930" w:rsidRPr="00777116">
              <w:rPr>
                <w:rFonts w:asciiTheme="minorHAnsi" w:hAnsiTheme="minorHAnsi" w:cstheme="minorHAnsi"/>
                <w:sz w:val="22"/>
                <w:szCs w:val="22"/>
              </w:rPr>
              <w:t xml:space="preserve"> that any risks to the integrity of the storage formation are likely to be acceptable</w:t>
            </w:r>
            <w:r w:rsidR="00580470" w:rsidRPr="00777116">
              <w:rPr>
                <w:rFonts w:asciiTheme="minorHAnsi" w:hAnsiTheme="minorHAnsi" w:cstheme="minorHAnsi"/>
                <w:sz w:val="22"/>
                <w:szCs w:val="22"/>
              </w:rPr>
              <w:t>, taking into account the proposed engineering enhancements</w:t>
            </w:r>
            <w:r w:rsidR="00D80930" w:rsidRPr="00777116">
              <w:rPr>
                <w:rFonts w:asciiTheme="minorHAnsi" w:hAnsiTheme="minorHAnsi" w:cstheme="minorHAnsi"/>
                <w:sz w:val="22"/>
                <w:szCs w:val="22"/>
              </w:rPr>
              <w:t>.</w:t>
            </w:r>
          </w:p>
          <w:p w14:paraId="54171D79" w14:textId="77777777" w:rsidR="00D80930" w:rsidRPr="00777116" w:rsidRDefault="00D80930" w:rsidP="00282486">
            <w:pPr>
              <w:spacing w:after="120"/>
              <w:ind w:right="-57"/>
              <w:rPr>
                <w:rFonts w:asciiTheme="minorHAnsi" w:hAnsiTheme="minorHAnsi" w:cstheme="minorHAnsi"/>
                <w:sz w:val="22"/>
                <w:szCs w:val="22"/>
              </w:rPr>
            </w:pPr>
            <w:r w:rsidRPr="00777116">
              <w:rPr>
                <w:rFonts w:asciiTheme="minorHAnsi" w:hAnsiTheme="minorHAnsi" w:cstheme="minorHAnsi"/>
                <w:sz w:val="22"/>
                <w:szCs w:val="22"/>
              </w:rPr>
              <w:t>Details of the risk assessment analysis (including description of the methodology used), covering the following for each risk factor:</w:t>
            </w:r>
          </w:p>
          <w:p w14:paraId="54171D7A" w14:textId="77777777" w:rsidR="00D80930" w:rsidRPr="00777116" w:rsidRDefault="00D80930" w:rsidP="00282486">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a description of the risk</w:t>
            </w:r>
          </w:p>
          <w:p w14:paraId="54171D7B" w14:textId="77777777" w:rsidR="00D80930" w:rsidRPr="00777116" w:rsidRDefault="00D80930" w:rsidP="00282486">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the possible consequences of the risk</w:t>
            </w:r>
          </w:p>
          <w:p w14:paraId="3E4192A0" w14:textId="09C7EA83" w:rsidR="00BA515C" w:rsidRDefault="00946D2B" w:rsidP="00282486">
            <w:pPr>
              <w:pStyle w:val="ListParagraph"/>
              <w:numPr>
                <w:ilvl w:val="0"/>
                <w:numId w:val="13"/>
              </w:numPr>
              <w:spacing w:after="120"/>
              <w:ind w:left="171" w:right="-57" w:hanging="171"/>
              <w:rPr>
                <w:rFonts w:asciiTheme="minorHAnsi" w:hAnsiTheme="minorHAnsi" w:cstheme="minorHAnsi"/>
                <w:sz w:val="22"/>
                <w:szCs w:val="22"/>
              </w:rPr>
            </w:pPr>
            <w:r w:rsidRPr="00946D2B">
              <w:rPr>
                <w:rFonts w:asciiTheme="minorHAnsi" w:hAnsiTheme="minorHAnsi" w:cstheme="minorHAnsi"/>
                <w:sz w:val="22"/>
                <w:szCs w:val="22"/>
              </w:rPr>
              <w:t>an assessment of the probability of occurrence of the risk</w:t>
            </w:r>
          </w:p>
          <w:p w14:paraId="170656DA" w14:textId="348C0A00" w:rsidR="00946D2B" w:rsidRPr="00777116" w:rsidRDefault="00946D2B" w:rsidP="00282486">
            <w:pPr>
              <w:pStyle w:val="ListParagraph"/>
              <w:numPr>
                <w:ilvl w:val="0"/>
                <w:numId w:val="13"/>
              </w:numPr>
              <w:spacing w:after="120"/>
              <w:ind w:left="171" w:right="-57" w:hanging="171"/>
              <w:rPr>
                <w:rFonts w:asciiTheme="minorHAnsi" w:hAnsiTheme="minorHAnsi" w:cstheme="minorHAnsi"/>
                <w:sz w:val="22"/>
                <w:szCs w:val="22"/>
              </w:rPr>
            </w:pPr>
            <w:r w:rsidRPr="00946D2B">
              <w:rPr>
                <w:rFonts w:asciiTheme="minorHAnsi" w:hAnsiTheme="minorHAnsi" w:cstheme="minorHAnsi"/>
                <w:sz w:val="22"/>
                <w:szCs w:val="22"/>
              </w:rPr>
              <w:t>the strategies for the elimination or reduction and management of the risk</w:t>
            </w:r>
          </w:p>
          <w:p w14:paraId="54171D7D" w14:textId="04CAE83E" w:rsidR="003B5F34" w:rsidRPr="00E10AC3" w:rsidRDefault="00D80930" w:rsidP="003B5F34">
            <w:pPr>
              <w:pStyle w:val="ListParagraph"/>
              <w:numPr>
                <w:ilvl w:val="0"/>
                <w:numId w:val="13"/>
              </w:numPr>
              <w:spacing w:after="120"/>
              <w:ind w:left="171" w:right="-57" w:hanging="171"/>
              <w:rPr>
                <w:rFonts w:asciiTheme="minorHAnsi" w:hAnsiTheme="minorHAnsi" w:cstheme="minorHAnsi"/>
                <w:sz w:val="22"/>
                <w:szCs w:val="22"/>
              </w:rPr>
            </w:pPr>
            <w:r w:rsidRPr="00777116">
              <w:rPr>
                <w:rFonts w:asciiTheme="minorHAnsi" w:hAnsiTheme="minorHAnsi" w:cstheme="minorHAnsi"/>
                <w:sz w:val="22"/>
                <w:szCs w:val="22"/>
              </w:rPr>
              <w:t xml:space="preserve">an explanation of how the risk has been or will be eliminated or reduced </w:t>
            </w:r>
            <w:r w:rsidR="00946D2B" w:rsidRPr="00946D2B">
              <w:rPr>
                <w:rFonts w:asciiTheme="minorHAnsi" w:hAnsiTheme="minorHAnsi" w:cstheme="minorHAnsi"/>
                <w:sz w:val="22"/>
                <w:szCs w:val="22"/>
              </w:rPr>
              <w:t>to as low as is reasonably practicable, and managed</w:t>
            </w:r>
            <w:r w:rsidRPr="00777116">
              <w:rPr>
                <w:rFonts w:asciiTheme="minorHAnsi" w:hAnsiTheme="minorHAnsi" w:cstheme="minorHAnsi"/>
                <w:sz w:val="22"/>
                <w:szCs w:val="22"/>
              </w:rPr>
              <w:t>.</w:t>
            </w:r>
          </w:p>
        </w:tc>
        <w:tc>
          <w:tcPr>
            <w:tcW w:w="3969" w:type="dxa"/>
          </w:tcPr>
          <w:p w14:paraId="54171D7E" w14:textId="46A5DD6B" w:rsidR="00D80930" w:rsidRPr="00B74097" w:rsidRDefault="00D80930" w:rsidP="00282486">
            <w:pPr>
              <w:spacing w:after="120"/>
              <w:ind w:right="-57"/>
              <w:rPr>
                <w:rFonts w:asciiTheme="minorHAnsi" w:hAnsiTheme="minorHAnsi" w:cstheme="minorHAnsi"/>
                <w:sz w:val="22"/>
                <w:szCs w:val="22"/>
              </w:rPr>
            </w:pPr>
            <w:r w:rsidRPr="00777116">
              <w:rPr>
                <w:rFonts w:asciiTheme="minorHAnsi" w:hAnsiTheme="minorHAnsi" w:cstheme="minorHAnsi"/>
                <w:sz w:val="22"/>
                <w:szCs w:val="22"/>
              </w:rPr>
              <w:t xml:space="preserve">Must provide an evidence-based estimate of the spatial extent of the eligible GHG storage </w:t>
            </w:r>
            <w:r w:rsidRPr="00B74097">
              <w:rPr>
                <w:rFonts w:asciiTheme="minorHAnsi" w:hAnsiTheme="minorHAnsi" w:cstheme="minorHAnsi"/>
                <w:sz w:val="22"/>
                <w:szCs w:val="22"/>
              </w:rPr>
              <w:t>formation, which is the vertical and horizontal extent of the expected migration pathway(s) of the injected GHG substance.</w:t>
            </w:r>
          </w:p>
          <w:p w14:paraId="54171D7F" w14:textId="246A3F4D" w:rsidR="00D80930" w:rsidRPr="00777116" w:rsidRDefault="00D80930" w:rsidP="00282486">
            <w:pPr>
              <w:spacing w:after="120"/>
              <w:ind w:right="-57"/>
              <w:rPr>
                <w:rFonts w:asciiTheme="minorHAnsi" w:hAnsiTheme="minorHAnsi" w:cstheme="minorHAnsi"/>
                <w:sz w:val="22"/>
                <w:szCs w:val="22"/>
              </w:rPr>
            </w:pPr>
            <w:r w:rsidRPr="00B74097">
              <w:rPr>
                <w:rFonts w:asciiTheme="minorHAnsi" w:hAnsiTheme="minorHAnsi" w:cstheme="minorHAnsi"/>
                <w:sz w:val="22"/>
                <w:szCs w:val="22"/>
              </w:rPr>
              <w:t>The estimate of the spatial extent must be based on relevant parameters, including the expected plume migration pathways (all those which have a 10% or greater probability of occurring</w:t>
            </w:r>
            <w:r w:rsidR="009E102F" w:rsidRPr="00B74097">
              <w:rPr>
                <w:rFonts w:asciiTheme="minorHAnsi" w:hAnsiTheme="minorHAnsi" w:cstheme="minorHAnsi"/>
                <w:sz w:val="22"/>
                <w:szCs w:val="22"/>
              </w:rPr>
              <w:t>, per</w:t>
            </w:r>
            <w:r w:rsidRPr="00B74097">
              <w:rPr>
                <w:rFonts w:asciiTheme="minorHAnsi" w:hAnsiTheme="minorHAnsi" w:cstheme="minorHAnsi"/>
                <w:sz w:val="22"/>
                <w:szCs w:val="22"/>
              </w:rPr>
              <w:t xml:space="preserve"> </w:t>
            </w:r>
            <w:hyperlink r:id="rId100" w:history="1">
              <w:r w:rsidRPr="00B74097">
                <w:rPr>
                  <w:rStyle w:val="Hyperlink"/>
                  <w:rFonts w:asciiTheme="minorHAnsi" w:hAnsiTheme="minorHAnsi" w:cstheme="minorHAnsi"/>
                  <w:sz w:val="22"/>
                  <w:szCs w:val="22"/>
                </w:rPr>
                <w:t>section 21 of the OPGGS Act</w:t>
              </w:r>
            </w:hyperlink>
            <w:r w:rsidR="00985247" w:rsidRPr="00B74097">
              <w:rPr>
                <w:rFonts w:asciiTheme="minorHAnsi" w:hAnsiTheme="minorHAnsi" w:cstheme="minorHAnsi"/>
                <w:sz w:val="22"/>
                <w:szCs w:val="22"/>
              </w:rPr>
              <w:t>)</w:t>
            </w:r>
            <w:r w:rsidRPr="00B74097">
              <w:rPr>
                <w:rFonts w:asciiTheme="minorHAnsi" w:hAnsiTheme="minorHAnsi" w:cstheme="minorHAnsi"/>
                <w:sz w:val="22"/>
                <w:szCs w:val="22"/>
              </w:rPr>
              <w:t xml:space="preserve">, and </w:t>
            </w:r>
            <w:r w:rsidRPr="00B74097">
              <w:rPr>
                <w:rFonts w:asciiTheme="minorHAnsi" w:hAnsiTheme="minorHAnsi" w:cstheme="minorHAnsi"/>
                <w:i/>
                <w:iCs/>
                <w:sz w:val="22"/>
                <w:szCs w:val="22"/>
              </w:rPr>
              <w:t>fundamental suitability determinants</w:t>
            </w:r>
            <w:r w:rsidRPr="00B74097">
              <w:rPr>
                <w:rFonts w:asciiTheme="minorHAnsi" w:hAnsiTheme="minorHAnsi" w:cstheme="minorHAnsi"/>
                <w:sz w:val="22"/>
                <w:szCs w:val="22"/>
              </w:rPr>
              <w:t>.</w:t>
            </w:r>
          </w:p>
          <w:p w14:paraId="2E188C6F" w14:textId="77777777" w:rsidR="00D80930" w:rsidRDefault="00D80930" w:rsidP="00282486">
            <w:pPr>
              <w:spacing w:after="120"/>
              <w:ind w:right="-57"/>
              <w:rPr>
                <w:rFonts w:asciiTheme="minorHAnsi" w:hAnsiTheme="minorHAnsi" w:cstheme="minorHAnsi"/>
                <w:sz w:val="22"/>
                <w:szCs w:val="22"/>
              </w:rPr>
            </w:pPr>
            <w:r w:rsidRPr="00777116">
              <w:rPr>
                <w:rFonts w:asciiTheme="minorHAnsi" w:hAnsiTheme="minorHAnsi" w:cstheme="minorHAnsi"/>
                <w:sz w:val="22"/>
                <w:szCs w:val="22"/>
              </w:rPr>
              <w:t>The graticular blocks constituting the spatial extent must include all blocks in the migration pathways referred to above.</w:t>
            </w:r>
          </w:p>
          <w:p w14:paraId="54171D80" w14:textId="159858D4" w:rsidR="000200E4" w:rsidRPr="00777116" w:rsidRDefault="00173B79" w:rsidP="000200E4">
            <w:pPr>
              <w:spacing w:after="120"/>
              <w:ind w:right="-57"/>
              <w:rPr>
                <w:rFonts w:asciiTheme="minorHAnsi" w:hAnsiTheme="minorHAnsi" w:cstheme="minorHAnsi"/>
                <w:sz w:val="22"/>
                <w:szCs w:val="22"/>
              </w:rPr>
            </w:pPr>
            <w:r w:rsidRPr="00173B79">
              <w:rPr>
                <w:rFonts w:asciiTheme="minorHAnsi" w:hAnsiTheme="minorHAnsi" w:cstheme="minorHAnsi"/>
                <w:sz w:val="22"/>
                <w:szCs w:val="22"/>
              </w:rPr>
              <w:t xml:space="preserve">An explanation </w:t>
            </w:r>
            <w:r>
              <w:rPr>
                <w:rFonts w:asciiTheme="minorHAnsi" w:hAnsiTheme="minorHAnsi" w:cstheme="minorHAnsi"/>
                <w:sz w:val="22"/>
                <w:szCs w:val="22"/>
              </w:rPr>
              <w:t xml:space="preserve">must also be included </w:t>
            </w:r>
            <w:r w:rsidRPr="00173B79">
              <w:rPr>
                <w:rFonts w:asciiTheme="minorHAnsi" w:hAnsiTheme="minorHAnsi" w:cstheme="minorHAnsi"/>
                <w:sz w:val="22"/>
                <w:szCs w:val="22"/>
              </w:rPr>
              <w:t>of the three</w:t>
            </w:r>
            <w:r w:rsidRPr="00173B79">
              <w:rPr>
                <w:rFonts w:ascii="Cambria Math" w:hAnsi="Cambria Math" w:cs="Cambria Math"/>
                <w:sz w:val="22"/>
                <w:szCs w:val="22"/>
              </w:rPr>
              <w:t>‑</w:t>
            </w:r>
            <w:r w:rsidRPr="00173B79">
              <w:rPr>
                <w:rFonts w:asciiTheme="minorHAnsi" w:hAnsiTheme="minorHAnsi" w:cstheme="minorHAnsi"/>
                <w:sz w:val="22"/>
                <w:szCs w:val="22"/>
              </w:rPr>
              <w:t>dimensional extent of the effective sealing mechanism within the spatial extent of the storage formation</w:t>
            </w:r>
            <w:r>
              <w:rPr>
                <w:rFonts w:asciiTheme="minorHAnsi" w:hAnsiTheme="minorHAnsi" w:cstheme="minorHAnsi"/>
                <w:sz w:val="22"/>
                <w:szCs w:val="22"/>
              </w:rPr>
              <w:t>.</w:t>
            </w:r>
          </w:p>
        </w:tc>
      </w:tr>
    </w:tbl>
    <w:p w14:paraId="54171D82" w14:textId="4A257B8F" w:rsidR="00D80930" w:rsidRDefault="00D80930" w:rsidP="00B444EC">
      <w:pPr>
        <w:pStyle w:val="Level2"/>
        <w:numPr>
          <w:ilvl w:val="0"/>
          <w:numId w:val="0"/>
        </w:numPr>
        <w:sectPr w:rsidR="00D80930" w:rsidSect="009674DE">
          <w:headerReference w:type="default" r:id="rId101"/>
          <w:footerReference w:type="default" r:id="rId102"/>
          <w:pgSz w:w="23811" w:h="16838" w:orient="landscape" w:code="8"/>
          <w:pgMar w:top="822" w:right="822" w:bottom="822" w:left="822" w:header="709" w:footer="709" w:gutter="0"/>
          <w:cols w:space="708"/>
          <w:docGrid w:linePitch="360"/>
        </w:sectPr>
      </w:pPr>
    </w:p>
    <w:p w14:paraId="595123CA" w14:textId="77777777" w:rsidR="00E5336F" w:rsidRDefault="00C046B9" w:rsidP="00E5336F">
      <w:pPr>
        <w:pStyle w:val="Heading1"/>
        <w:numPr>
          <w:ilvl w:val="0"/>
          <w:numId w:val="0"/>
        </w:numPr>
      </w:pPr>
      <w:bookmarkStart w:id="60" w:name="_Appendix_B:_Information"/>
      <w:bookmarkStart w:id="61" w:name="_Ref118973996"/>
      <w:bookmarkStart w:id="62" w:name="_Toc122614798"/>
      <w:bookmarkStart w:id="63" w:name="_Toc79063424"/>
      <w:bookmarkStart w:id="64" w:name="_Toc79063468"/>
      <w:bookmarkEnd w:id="60"/>
      <w:r>
        <w:lastRenderedPageBreak/>
        <w:t>Ap</w:t>
      </w:r>
      <w:r w:rsidR="00FB292B">
        <w:t>pendix B</w:t>
      </w:r>
      <w:bookmarkEnd w:id="61"/>
      <w:bookmarkEnd w:id="62"/>
    </w:p>
    <w:p w14:paraId="54171D83" w14:textId="18D6DF71" w:rsidR="00D80930" w:rsidRPr="00FB292B" w:rsidRDefault="00FB292B" w:rsidP="00E5336F">
      <w:pPr>
        <w:pStyle w:val="Heading2"/>
      </w:pPr>
      <w:bookmarkStart w:id="65" w:name="_Toc118975527"/>
      <w:bookmarkStart w:id="66" w:name="_Toc122614799"/>
      <w:r>
        <w:t>I</w:t>
      </w:r>
      <w:r w:rsidRPr="00FB292B">
        <w:t>nformation to support an application for a declaration of identified GHG storage formation</w:t>
      </w:r>
      <w:bookmarkEnd w:id="63"/>
      <w:bookmarkEnd w:id="64"/>
      <w:bookmarkEnd w:id="65"/>
      <w:bookmarkEnd w:id="66"/>
    </w:p>
    <w:p w14:paraId="54171D84" w14:textId="3223CE23" w:rsidR="00D80930" w:rsidRDefault="00D80930" w:rsidP="00E15D81">
      <w:pPr>
        <w:pStyle w:val="Level2"/>
        <w:numPr>
          <w:ilvl w:val="0"/>
          <w:numId w:val="0"/>
        </w:numPr>
        <w:ind w:right="-227"/>
      </w:pPr>
      <w:r w:rsidRPr="0018182F">
        <w:t>The</w:t>
      </w:r>
      <w:r w:rsidRPr="00DB3E56">
        <w:t xml:space="preserve"> applicant </w:t>
      </w:r>
      <w:r w:rsidR="00E15D81">
        <w:t>should</w:t>
      </w:r>
      <w:r w:rsidRPr="00DB3E56">
        <w:t xml:space="preserve"> provide details of all data used in assessing the </w:t>
      </w:r>
      <w:r w:rsidR="00777116">
        <w:t xml:space="preserve">storage </w:t>
      </w:r>
      <w:r w:rsidRPr="00DB3E56">
        <w:t>formation, including a justification of the suitability of the datasets for the identification of all risks to the integrity of the storage formation.</w:t>
      </w:r>
    </w:p>
    <w:p w14:paraId="418B263D" w14:textId="77777777" w:rsidR="00FC7E10" w:rsidRDefault="000200E4" w:rsidP="00E15D81">
      <w:pPr>
        <w:pStyle w:val="Level2"/>
        <w:numPr>
          <w:ilvl w:val="0"/>
          <w:numId w:val="0"/>
        </w:numPr>
        <w:ind w:right="-227"/>
      </w:pPr>
      <w:r w:rsidRPr="000200E4">
        <w:t>Figures in the text should be at</w:t>
      </w:r>
      <w:r>
        <w:t xml:space="preserve"> a</w:t>
      </w:r>
      <w:r w:rsidRPr="000200E4">
        <w:t xml:space="preserve"> sufficient resolution</w:t>
      </w:r>
      <w:r w:rsidR="00FC7E10">
        <w:t xml:space="preserve"> so</w:t>
      </w:r>
      <w:r w:rsidRPr="000200E4">
        <w:t xml:space="preserve"> that all relevant features are clearly legible. If this is not possible, figure</w:t>
      </w:r>
      <w:r>
        <w:t xml:space="preserve">s </w:t>
      </w:r>
      <w:r w:rsidR="00FC7E10">
        <w:t>are to</w:t>
      </w:r>
      <w:r>
        <w:t xml:space="preserve"> be supplied </w:t>
      </w:r>
      <w:r w:rsidRPr="000200E4">
        <w:t>separately as a high-resolution file.</w:t>
      </w:r>
    </w:p>
    <w:p w14:paraId="2583FB5A" w14:textId="764B4B0D" w:rsidR="000200E4" w:rsidRPr="00DB3E56" w:rsidRDefault="000200E4" w:rsidP="00E15D81">
      <w:pPr>
        <w:pStyle w:val="Level2"/>
        <w:numPr>
          <w:ilvl w:val="0"/>
          <w:numId w:val="0"/>
        </w:numPr>
        <w:ind w:right="-227"/>
      </w:pPr>
      <w:r w:rsidRPr="000200E4">
        <w:t>At a minimum, the following must be included:</w:t>
      </w:r>
    </w:p>
    <w:p w14:paraId="54171D86" w14:textId="77777777" w:rsidR="00D80930" w:rsidRPr="00DB3E56" w:rsidRDefault="00D80930" w:rsidP="00282486">
      <w:pPr>
        <w:pStyle w:val="Level3"/>
        <w:ind w:left="505"/>
      </w:pPr>
      <w:r w:rsidRPr="00DB3E56">
        <w:t xml:space="preserve">regional map showing the location of the </w:t>
      </w:r>
      <w:r>
        <w:t>title</w:t>
      </w:r>
      <w:r w:rsidRPr="00DB3E56">
        <w:t xml:space="preserve"> and storage formation</w:t>
      </w:r>
    </w:p>
    <w:p w14:paraId="54171D87" w14:textId="16F97EFA" w:rsidR="00D80930" w:rsidRPr="00DB3E56" w:rsidRDefault="00D80930" w:rsidP="00282486">
      <w:pPr>
        <w:pStyle w:val="Level3"/>
        <w:ind w:left="505"/>
      </w:pPr>
      <w:r w:rsidRPr="00DB3E56">
        <w:t>detailed map of the eligible storage formation, showing all wells, relevant infrastructure and petroleum fields (including depleted fields)</w:t>
      </w:r>
    </w:p>
    <w:p w14:paraId="3CF27975" w14:textId="77777777" w:rsidR="00777116" w:rsidRPr="00DB3E56" w:rsidRDefault="00777116" w:rsidP="00282486">
      <w:pPr>
        <w:pStyle w:val="Level3"/>
        <w:ind w:left="505"/>
      </w:pPr>
      <w:r w:rsidRPr="00DB3E56">
        <w:t>map</w:t>
      </w:r>
      <w:r>
        <w:t>s and cross sections showing all known geological faults within and around the storage formation</w:t>
      </w:r>
    </w:p>
    <w:p w14:paraId="54171D89" w14:textId="77777777" w:rsidR="00D80930" w:rsidRPr="00DB3E56" w:rsidRDefault="00D80930" w:rsidP="00282486">
      <w:pPr>
        <w:pStyle w:val="Level3"/>
        <w:ind w:left="505"/>
      </w:pPr>
      <w:r w:rsidRPr="00DB3E56">
        <w:t>relevant stratigraphic column</w:t>
      </w:r>
    </w:p>
    <w:p w14:paraId="54171D8A" w14:textId="77777777" w:rsidR="00D80930" w:rsidRPr="00DB3E56" w:rsidRDefault="00D80930" w:rsidP="00282486">
      <w:pPr>
        <w:pStyle w:val="Level3"/>
        <w:ind w:left="505"/>
      </w:pPr>
      <w:r w:rsidRPr="00DB3E56">
        <w:t>well log</w:t>
      </w:r>
      <w:r>
        <w:t>s</w:t>
      </w:r>
      <w:r w:rsidRPr="00DB3E56">
        <w:t xml:space="preserve"> and stratigraphic correlations</w:t>
      </w:r>
    </w:p>
    <w:p w14:paraId="54171D8B" w14:textId="2BE3D6B2" w:rsidR="00D80930" w:rsidRPr="00DB3E56" w:rsidRDefault="00D80930" w:rsidP="00282486">
      <w:pPr>
        <w:pStyle w:val="Level3"/>
        <w:ind w:left="505"/>
      </w:pPr>
      <w:r w:rsidRPr="00DB3E56">
        <w:t>TWT and depth structure maps of all key reservoir and seal horizons, including wells and faults</w:t>
      </w:r>
      <w:r w:rsidR="00E15D81">
        <w:t>, with the l</w:t>
      </w:r>
      <w:r w:rsidRPr="00DB3E56">
        <w:t xml:space="preserve">ocation of any seismic </w:t>
      </w:r>
      <w:r>
        <w:t xml:space="preserve">lines </w:t>
      </w:r>
      <w:r w:rsidRPr="00DB3E56">
        <w:t>and cross sections used annotated</w:t>
      </w:r>
    </w:p>
    <w:p w14:paraId="1CC1F9F0" w14:textId="6E5DE823" w:rsidR="00C17F1F" w:rsidRPr="00DB3E56" w:rsidRDefault="00E15D81" w:rsidP="00282486">
      <w:pPr>
        <w:pStyle w:val="Level3"/>
        <w:ind w:left="505"/>
      </w:pPr>
      <w:r>
        <w:t>m</w:t>
      </w:r>
      <w:r w:rsidR="00C17F1F" w:rsidRPr="00DB3E56">
        <w:t>ap of the eligible storage formation</w:t>
      </w:r>
      <w:r w:rsidR="00282486" w:rsidRPr="00282486">
        <w:t xml:space="preserve"> </w:t>
      </w:r>
      <w:r w:rsidR="00282486" w:rsidRPr="00DB3E56">
        <w:t>extent</w:t>
      </w:r>
      <w:r w:rsidR="00C17F1F" w:rsidRPr="00DB3E56">
        <w:t>, incorporating all scenarios where the expected plume migration pathway has been estimated to have a greater than 10 per cent probability of occurring</w:t>
      </w:r>
    </w:p>
    <w:p w14:paraId="2E183815" w14:textId="77777777" w:rsidR="00FC7E10" w:rsidRDefault="00424D51" w:rsidP="00FC7E10">
      <w:pPr>
        <w:pStyle w:val="Level3"/>
        <w:ind w:left="505"/>
      </w:pPr>
      <w:r>
        <w:t>m</w:t>
      </w:r>
      <w:r w:rsidR="00777116" w:rsidRPr="00DB3E56">
        <w:t>aps and cross sections in an appropriate format that provide an accurate represent</w:t>
      </w:r>
      <w:r w:rsidR="00777116">
        <w:t>ation</w:t>
      </w:r>
      <w:r w:rsidR="00777116" w:rsidRPr="00DB3E56">
        <w:t xml:space="preserve"> of the distribution of porosity, permeability</w:t>
      </w:r>
      <w:r w:rsidR="00777116">
        <w:t xml:space="preserve"> (including fault permeability)</w:t>
      </w:r>
      <w:r w:rsidR="00777116" w:rsidRPr="00DB3E56">
        <w:t xml:space="preserve">, water saturation, </w:t>
      </w:r>
      <w:r w:rsidR="00777116">
        <w:t xml:space="preserve">residual hydrocarbon saturation (if applicable), </w:t>
      </w:r>
      <w:r w:rsidR="00777116" w:rsidRPr="00DB3E56">
        <w:t>salinity and any other relevant parameters us</w:t>
      </w:r>
      <w:r w:rsidR="00777116">
        <w:t>ed in plume migration modelling</w:t>
      </w:r>
      <w:r w:rsidR="00FC7E10">
        <w:t xml:space="preserve">, </w:t>
      </w:r>
      <w:r w:rsidR="00FC7E10" w:rsidRPr="00FC7E10">
        <w:t>including cross sections though potential spill and/</w:t>
      </w:r>
      <w:r w:rsidR="00FC7E10">
        <w:t xml:space="preserve"> </w:t>
      </w:r>
      <w:r w:rsidR="00FC7E10" w:rsidRPr="00FC7E10">
        <w:t>or leakage points</w:t>
      </w:r>
      <w:r w:rsidR="00FC7E10">
        <w:t>.</w:t>
      </w:r>
    </w:p>
    <w:p w14:paraId="61AB09DD" w14:textId="77777777" w:rsidR="00FC7E10" w:rsidRDefault="00FC7E10" w:rsidP="00FC7E10">
      <w:pPr>
        <w:pStyle w:val="Level3"/>
        <w:ind w:left="505"/>
      </w:pPr>
      <w:r>
        <w:t>plume migration model figures should be for a number of time steps from the start of injection, through the injection period, injection cessation and post injection, and should be able to demonstrate the anticipated time the GHG substance has effectively stabilised in the subsurface.</w:t>
      </w:r>
    </w:p>
    <w:p w14:paraId="304BB351" w14:textId="13CD9C49" w:rsidR="00FC7E10" w:rsidRDefault="00FC7E10" w:rsidP="00FC7E10">
      <w:pPr>
        <w:pStyle w:val="Level3"/>
        <w:ind w:left="505"/>
      </w:pPr>
      <w:r>
        <w:t>detailed well schematics that include information that identifies the position within the storage formation, particularly of any identified high-risk wells, to support discussion of the risks to storage formation integrity.</w:t>
      </w:r>
    </w:p>
    <w:sectPr w:rsidR="00FC7E10" w:rsidSect="00C41F8F">
      <w:headerReference w:type="default" r:id="rId103"/>
      <w:footerReference w:type="default" r:id="rId104"/>
      <w:pgSz w:w="11906" w:h="16838" w:code="9"/>
      <w:pgMar w:top="822"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E8377" w14:textId="77777777" w:rsidR="009F44B2" w:rsidRDefault="009F44B2" w:rsidP="0018182F">
      <w:r>
        <w:separator/>
      </w:r>
    </w:p>
  </w:endnote>
  <w:endnote w:type="continuationSeparator" w:id="0">
    <w:p w14:paraId="7BBDDC7B" w14:textId="77777777" w:rsidR="009F44B2" w:rsidRDefault="009F44B2" w:rsidP="0018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1D96" w14:textId="77777777" w:rsidR="009F44B2" w:rsidRDefault="009F44B2" w:rsidP="0018182F">
    <w:pPr>
      <w:pStyle w:val="Quote"/>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4171D97" w14:textId="77777777" w:rsidR="009F44B2" w:rsidRDefault="009F44B2" w:rsidP="0018182F">
    <w:pPr>
      <w:pStyle w:val="Quo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DC1A" w14:textId="28A46397" w:rsidR="009F44B2" w:rsidRPr="00EC1AD7" w:rsidRDefault="009F44B2" w:rsidP="00EC1AD7">
    <w:pPr>
      <w:tabs>
        <w:tab w:val="left" w:pos="9498"/>
      </w:tabs>
      <w:spacing w:after="0"/>
      <w:rPr>
        <w:rFonts w:ascii="Calibri" w:eastAsia="Times New Roman" w:hAnsi="Calibri" w:cs="Calibri"/>
        <w:lang w:eastAsia="en-AU"/>
      </w:rPr>
    </w:pPr>
    <w:r w:rsidRPr="00EC1AD7">
      <w:rPr>
        <w:rFonts w:ascii="Calibri" w:eastAsia="Times New Roman" w:hAnsi="Calibri" w:cs="Calibri"/>
        <w:lang w:eastAsia="en-AU"/>
      </w:rPr>
      <w:t xml:space="preserve">Guideline: </w:t>
    </w:r>
    <w:r w:rsidRPr="008C4D61">
      <w:rPr>
        <w:rFonts w:ascii="Calibri" w:eastAsia="Times New Roman" w:hAnsi="Calibri" w:cs="Calibri"/>
        <w:lang w:eastAsia="en-AU"/>
      </w:rPr>
      <w:t>Greenhouse Gas Storage Formation</w:t>
    </w:r>
    <w:r>
      <w:rPr>
        <w:rFonts w:ascii="Calibri" w:eastAsia="Times New Roman" w:hAnsi="Calibri" w:cs="Calibri"/>
        <w:lang w:eastAsia="en-AU"/>
      </w:rPr>
      <w:t>s</w:t>
    </w:r>
    <w:sdt>
      <w:sdtPr>
        <w:rPr>
          <w:rFonts w:ascii="Calibri" w:eastAsia="Times New Roman" w:hAnsi="Calibri" w:cs="Calibri"/>
          <w:lang w:eastAsia="en-AU"/>
        </w:rPr>
        <w:id w:val="-173499214"/>
        <w:docPartObj>
          <w:docPartGallery w:val="Page Numbers (Bottom of Page)"/>
          <w:docPartUnique/>
        </w:docPartObj>
      </w:sdtPr>
      <w:sdtEndPr>
        <w:rPr>
          <w:noProof/>
        </w:rPr>
      </w:sdtEndPr>
      <w:sdtContent>
        <w:r w:rsidRPr="00EC1AD7">
          <w:rPr>
            <w:rFonts w:ascii="Calibri" w:eastAsia="Times New Roman" w:hAnsi="Calibri" w:cs="Calibri"/>
            <w:lang w:eastAsia="en-AU"/>
          </w:rPr>
          <w:tab/>
        </w:r>
        <w:r w:rsidRPr="00EC1AD7">
          <w:rPr>
            <w:rFonts w:ascii="Calibri" w:eastAsia="Times New Roman" w:hAnsi="Calibri" w:cs="Calibri"/>
            <w:lang w:eastAsia="en-AU"/>
          </w:rPr>
          <w:fldChar w:fldCharType="begin"/>
        </w:r>
        <w:r w:rsidRPr="00EC1AD7">
          <w:rPr>
            <w:rFonts w:ascii="Calibri" w:eastAsia="Times New Roman" w:hAnsi="Calibri" w:cs="Calibri"/>
            <w:lang w:eastAsia="en-AU"/>
          </w:rPr>
          <w:instrText xml:space="preserve"> PAGE   \* MERGEFORMAT </w:instrText>
        </w:r>
        <w:r w:rsidRPr="00EC1AD7">
          <w:rPr>
            <w:rFonts w:ascii="Calibri" w:eastAsia="Times New Roman" w:hAnsi="Calibri" w:cs="Calibri"/>
            <w:lang w:eastAsia="en-AU"/>
          </w:rPr>
          <w:fldChar w:fldCharType="separate"/>
        </w:r>
        <w:r w:rsidR="00580470">
          <w:rPr>
            <w:rFonts w:ascii="Calibri" w:eastAsia="Times New Roman" w:hAnsi="Calibri" w:cs="Calibri"/>
            <w:noProof/>
            <w:lang w:eastAsia="en-AU"/>
          </w:rPr>
          <w:t>11</w:t>
        </w:r>
        <w:r w:rsidRPr="00EC1AD7">
          <w:rPr>
            <w:rFonts w:ascii="Calibri" w:eastAsia="Times New Roman" w:hAnsi="Calibri" w:cs="Calibri"/>
            <w:noProof/>
            <w:lang w:eastAsia="en-AU"/>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B8E6" w14:textId="77777777" w:rsidR="009F44B2" w:rsidRPr="00C908B0" w:rsidRDefault="009F44B2" w:rsidP="00C908B0">
    <w:pPr>
      <w:pStyle w:val="Footer"/>
      <w:tabs>
        <w:tab w:val="clear" w:pos="4513"/>
        <w:tab w:val="clear" w:pos="9026"/>
      </w:tabs>
      <w:spacing w:line="240" w:lineRule="auto"/>
      <w:rPr>
        <w:rFonts w:ascii="Calibri" w:eastAsia="Times New Roman" w:hAnsi="Calibri" w:cs="Calibri"/>
        <w:lang w:eastAsia="en-AU"/>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11D4" w14:textId="6B75CB40" w:rsidR="009F44B2" w:rsidRPr="008C4D61" w:rsidRDefault="009F44B2" w:rsidP="0092400B">
    <w:pPr>
      <w:tabs>
        <w:tab w:val="left" w:pos="21830"/>
      </w:tabs>
      <w:spacing w:after="0"/>
      <w:rPr>
        <w:rFonts w:ascii="Calibri" w:eastAsia="Times New Roman" w:hAnsi="Calibri" w:cs="Calibri"/>
        <w:lang w:eastAsia="en-AU"/>
      </w:rPr>
    </w:pPr>
    <w:r w:rsidRPr="00EC1AD7">
      <w:rPr>
        <w:rFonts w:ascii="Calibri" w:eastAsia="Times New Roman" w:hAnsi="Calibri" w:cs="Calibri"/>
        <w:lang w:eastAsia="en-AU"/>
      </w:rPr>
      <w:t xml:space="preserve">Guideline: </w:t>
    </w:r>
    <w:r w:rsidRPr="008C4D61">
      <w:rPr>
        <w:rFonts w:ascii="Calibri" w:eastAsia="Times New Roman" w:hAnsi="Calibri" w:cs="Calibri"/>
        <w:lang w:eastAsia="en-AU"/>
      </w:rPr>
      <w:t>Greenhouse Gas Storage Formation</w:t>
    </w:r>
    <w:sdt>
      <w:sdtPr>
        <w:rPr>
          <w:rFonts w:ascii="Calibri" w:eastAsia="Times New Roman" w:hAnsi="Calibri" w:cs="Calibri"/>
          <w:lang w:eastAsia="en-AU"/>
        </w:rPr>
        <w:id w:val="-1141339681"/>
        <w:docPartObj>
          <w:docPartGallery w:val="Page Numbers (Bottom of Page)"/>
          <w:docPartUnique/>
        </w:docPartObj>
      </w:sdtPr>
      <w:sdtEndPr>
        <w:rPr>
          <w:noProof/>
        </w:rPr>
      </w:sdtEndPr>
      <w:sdtContent>
        <w:r w:rsidR="009674DE">
          <w:rPr>
            <w:rFonts w:ascii="Calibri" w:eastAsia="Times New Roman" w:hAnsi="Calibri" w:cs="Calibri"/>
            <w:lang w:eastAsia="en-AU"/>
          </w:rPr>
          <w:t>s</w:t>
        </w:r>
        <w:r w:rsidRPr="00EC1AD7">
          <w:rPr>
            <w:rFonts w:ascii="Calibri" w:eastAsia="Times New Roman" w:hAnsi="Calibri" w:cs="Calibri"/>
            <w:lang w:eastAsia="en-AU"/>
          </w:rPr>
          <w:tab/>
        </w:r>
        <w:r w:rsidRPr="00EC1AD7">
          <w:rPr>
            <w:rFonts w:ascii="Calibri" w:eastAsia="Times New Roman" w:hAnsi="Calibri" w:cs="Calibri"/>
            <w:lang w:eastAsia="en-AU"/>
          </w:rPr>
          <w:fldChar w:fldCharType="begin"/>
        </w:r>
        <w:r w:rsidRPr="00EC1AD7">
          <w:rPr>
            <w:rFonts w:ascii="Calibri" w:eastAsia="Times New Roman" w:hAnsi="Calibri" w:cs="Calibri"/>
            <w:lang w:eastAsia="en-AU"/>
          </w:rPr>
          <w:instrText xml:space="preserve"> PAGE   \* MERGEFORMAT </w:instrText>
        </w:r>
        <w:r w:rsidRPr="00EC1AD7">
          <w:rPr>
            <w:rFonts w:ascii="Calibri" w:eastAsia="Times New Roman" w:hAnsi="Calibri" w:cs="Calibri"/>
            <w:lang w:eastAsia="en-AU"/>
          </w:rPr>
          <w:fldChar w:fldCharType="separate"/>
        </w:r>
        <w:r w:rsidR="00580470">
          <w:rPr>
            <w:rFonts w:ascii="Calibri" w:eastAsia="Times New Roman" w:hAnsi="Calibri" w:cs="Calibri"/>
            <w:noProof/>
            <w:lang w:eastAsia="en-AU"/>
          </w:rPr>
          <w:t>12</w:t>
        </w:r>
        <w:r w:rsidRPr="00EC1AD7">
          <w:rPr>
            <w:rFonts w:ascii="Calibri" w:eastAsia="Times New Roman" w:hAnsi="Calibri" w:cs="Calibri"/>
            <w:noProof/>
            <w:lang w:eastAsia="en-AU"/>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B964" w14:textId="49436045" w:rsidR="009F44B2" w:rsidRPr="008C4D61" w:rsidRDefault="009F44B2" w:rsidP="008C4D61">
    <w:pPr>
      <w:tabs>
        <w:tab w:val="left" w:pos="9498"/>
      </w:tabs>
      <w:spacing w:after="0"/>
      <w:rPr>
        <w:rFonts w:ascii="Calibri" w:eastAsia="Times New Roman" w:hAnsi="Calibri" w:cs="Calibri"/>
        <w:lang w:eastAsia="en-AU"/>
      </w:rPr>
    </w:pPr>
    <w:r w:rsidRPr="00EC1AD7">
      <w:rPr>
        <w:rFonts w:ascii="Calibri" w:eastAsia="Times New Roman" w:hAnsi="Calibri" w:cs="Calibri"/>
        <w:lang w:eastAsia="en-AU"/>
      </w:rPr>
      <w:t xml:space="preserve">Guideline: </w:t>
    </w:r>
    <w:r w:rsidRPr="008C4D61">
      <w:rPr>
        <w:rFonts w:ascii="Calibri" w:eastAsia="Times New Roman" w:hAnsi="Calibri" w:cs="Calibri"/>
        <w:lang w:eastAsia="en-AU"/>
      </w:rPr>
      <w:t>Greenhouse Gas Storage Formation</w:t>
    </w:r>
    <w:sdt>
      <w:sdtPr>
        <w:rPr>
          <w:rFonts w:ascii="Calibri" w:eastAsia="Times New Roman" w:hAnsi="Calibri" w:cs="Calibri"/>
          <w:lang w:eastAsia="en-AU"/>
        </w:rPr>
        <w:id w:val="1684464988"/>
        <w:docPartObj>
          <w:docPartGallery w:val="Page Numbers (Bottom of Page)"/>
          <w:docPartUnique/>
        </w:docPartObj>
      </w:sdtPr>
      <w:sdtEndPr>
        <w:rPr>
          <w:noProof/>
        </w:rPr>
      </w:sdtEndPr>
      <w:sdtContent>
        <w:r w:rsidR="009674DE">
          <w:rPr>
            <w:rFonts w:ascii="Calibri" w:eastAsia="Times New Roman" w:hAnsi="Calibri" w:cs="Calibri"/>
            <w:lang w:eastAsia="en-AU"/>
          </w:rPr>
          <w:t>s</w:t>
        </w:r>
        <w:r w:rsidRPr="00EC1AD7">
          <w:rPr>
            <w:rFonts w:ascii="Calibri" w:eastAsia="Times New Roman" w:hAnsi="Calibri" w:cs="Calibri"/>
            <w:lang w:eastAsia="en-AU"/>
          </w:rPr>
          <w:tab/>
        </w:r>
        <w:r w:rsidRPr="00EC1AD7">
          <w:rPr>
            <w:rFonts w:ascii="Calibri" w:eastAsia="Times New Roman" w:hAnsi="Calibri" w:cs="Calibri"/>
            <w:lang w:eastAsia="en-AU"/>
          </w:rPr>
          <w:fldChar w:fldCharType="begin"/>
        </w:r>
        <w:r w:rsidRPr="00EC1AD7">
          <w:rPr>
            <w:rFonts w:ascii="Calibri" w:eastAsia="Times New Roman" w:hAnsi="Calibri" w:cs="Calibri"/>
            <w:lang w:eastAsia="en-AU"/>
          </w:rPr>
          <w:instrText xml:space="preserve"> PAGE   \* MERGEFORMAT </w:instrText>
        </w:r>
        <w:r w:rsidRPr="00EC1AD7">
          <w:rPr>
            <w:rFonts w:ascii="Calibri" w:eastAsia="Times New Roman" w:hAnsi="Calibri" w:cs="Calibri"/>
            <w:lang w:eastAsia="en-AU"/>
          </w:rPr>
          <w:fldChar w:fldCharType="separate"/>
        </w:r>
        <w:r w:rsidR="00580470">
          <w:rPr>
            <w:rFonts w:ascii="Calibri" w:eastAsia="Times New Roman" w:hAnsi="Calibri" w:cs="Calibri"/>
            <w:noProof/>
            <w:lang w:eastAsia="en-AU"/>
          </w:rPr>
          <w:t>14</w:t>
        </w:r>
        <w:r w:rsidRPr="00EC1AD7">
          <w:rPr>
            <w:rFonts w:ascii="Calibri" w:eastAsia="Times New Roman" w:hAnsi="Calibri" w:cs="Calibri"/>
            <w:noProof/>
            <w:lang w:eastAsia="en-AU"/>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46556" w14:textId="77777777" w:rsidR="009F44B2" w:rsidRDefault="009F44B2" w:rsidP="0018182F">
      <w:r>
        <w:separator/>
      </w:r>
    </w:p>
  </w:footnote>
  <w:footnote w:type="continuationSeparator" w:id="0">
    <w:p w14:paraId="70D6B016" w14:textId="77777777" w:rsidR="009F44B2" w:rsidRDefault="009F44B2" w:rsidP="00181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AFEF" w14:textId="77777777" w:rsidR="009F44B2" w:rsidRPr="00C908B0" w:rsidRDefault="009F44B2" w:rsidP="00C908B0">
    <w:pPr>
      <w:pStyle w:val="Footer"/>
      <w:tabs>
        <w:tab w:val="clear" w:pos="4513"/>
        <w:tab w:val="clear" w:pos="9026"/>
      </w:tabs>
      <w:spacing w:line="240" w:lineRule="auto"/>
      <w:rPr>
        <w:rFonts w:ascii="Calibri" w:eastAsia="Times New Roman" w:hAnsi="Calibri" w:cs="Calibri"/>
        <w:lang w:eastAsia="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2429" w14:textId="77777777" w:rsidR="009F44B2" w:rsidRPr="00C908B0" w:rsidRDefault="009F44B2" w:rsidP="00C908B0">
    <w:pPr>
      <w:pStyle w:val="Footer"/>
      <w:tabs>
        <w:tab w:val="clear" w:pos="4513"/>
        <w:tab w:val="clear" w:pos="9026"/>
      </w:tabs>
      <w:spacing w:line="240" w:lineRule="auto"/>
      <w:rPr>
        <w:rFonts w:ascii="Calibri" w:eastAsia="Times New Roman" w:hAnsi="Calibri" w:cs="Calibri"/>
        <w:lang w:eastAsia="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475B" w14:textId="77777777" w:rsidR="009F44B2" w:rsidRDefault="009F44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1D84" w14:textId="77777777" w:rsidR="009F44B2" w:rsidRPr="00C41F8F" w:rsidRDefault="009F44B2" w:rsidP="00C41F8F">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DF4"/>
    <w:multiLevelType w:val="hybridMultilevel"/>
    <w:tmpl w:val="0ED6A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14684D"/>
    <w:multiLevelType w:val="multilevel"/>
    <w:tmpl w:val="64B864F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5A1B0C"/>
    <w:multiLevelType w:val="hybridMultilevel"/>
    <w:tmpl w:val="89C48A4C"/>
    <w:lvl w:ilvl="0" w:tplc="96CE09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0777EF"/>
    <w:multiLevelType w:val="multilevel"/>
    <w:tmpl w:val="50A065A6"/>
    <w:lvl w:ilvl="0">
      <w:start w:val="1"/>
      <w:numFmt w:val="decimal"/>
      <w:lvlText w:val="%1."/>
      <w:lvlJc w:val="left"/>
      <w:pPr>
        <w:ind w:left="363" w:hanging="363"/>
      </w:pPr>
      <w:rPr>
        <w:rFonts w:hint="default"/>
      </w:rPr>
    </w:lvl>
    <w:lvl w:ilvl="1">
      <w:start w:val="1"/>
      <w:numFmt w:val="decimal"/>
      <w:pStyle w:val="Quote"/>
      <w:lvlText w:val="%1.%2."/>
      <w:lvlJc w:val="left"/>
      <w:pPr>
        <w:ind w:left="726" w:hanging="726"/>
      </w:pPr>
      <w:rPr>
        <w:rFonts w:hint="default"/>
        <w:b w:val="0"/>
        <w:i w:val="0"/>
        <w:color w:val="auto"/>
      </w:rPr>
    </w:lvl>
    <w:lvl w:ilvl="2">
      <w:start w:val="1"/>
      <w:numFmt w:val="bullet"/>
      <w:lvlText w:val=""/>
      <w:lvlJc w:val="left"/>
      <w:pPr>
        <w:ind w:left="1089" w:hanging="352"/>
      </w:pPr>
      <w:rPr>
        <w:rFonts w:ascii="Symbol" w:hAnsi="Symbol" w:hint="default"/>
      </w:rPr>
    </w:lvl>
    <w:lvl w:ilvl="3">
      <w:start w:val="1"/>
      <w:numFmt w:val="lowerRoman"/>
      <w:lvlText w:val="%4)"/>
      <w:lvlJc w:val="left"/>
      <w:pPr>
        <w:ind w:left="1728" w:hanging="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CC7A92"/>
    <w:multiLevelType w:val="hybridMultilevel"/>
    <w:tmpl w:val="F37A2F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68539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194560"/>
    <w:multiLevelType w:val="hybridMultilevel"/>
    <w:tmpl w:val="66CAF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344CDB"/>
    <w:multiLevelType w:val="multilevel"/>
    <w:tmpl w:val="79FC2742"/>
    <w:lvl w:ilvl="0">
      <w:start w:val="9"/>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8" w15:restartNumberingAfterBreak="0">
    <w:nsid w:val="3BB96A48"/>
    <w:multiLevelType w:val="multilevel"/>
    <w:tmpl w:val="175A53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E46A37"/>
    <w:multiLevelType w:val="hybridMultilevel"/>
    <w:tmpl w:val="1C22A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B95A32"/>
    <w:multiLevelType w:val="hybridMultilevel"/>
    <w:tmpl w:val="FC087C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697F67"/>
    <w:multiLevelType w:val="multilevel"/>
    <w:tmpl w:val="87DCA046"/>
    <w:lvl w:ilvl="0">
      <w:start w:val="1"/>
      <w:numFmt w:val="decimal"/>
      <w:pStyle w:val="Heading1"/>
      <w:lvlText w:val="%1."/>
      <w:lvlJc w:val="left"/>
      <w:pPr>
        <w:ind w:left="720" w:hanging="720"/>
      </w:pPr>
      <w:rPr>
        <w:rFonts w:hint="default"/>
      </w:rPr>
    </w:lvl>
    <w:lvl w:ilvl="1">
      <w:start w:val="1"/>
      <w:numFmt w:val="decimal"/>
      <w:pStyle w:val="Level2"/>
      <w:lvlText w:val="%1.%2"/>
      <w:lvlJc w:val="left"/>
      <w:pPr>
        <w:ind w:left="720" w:hanging="720"/>
      </w:pPr>
      <w:rPr>
        <w:rFonts w:hint="default"/>
      </w:rPr>
    </w:lvl>
    <w:lvl w:ilvl="2">
      <w:start w:val="1"/>
      <w:numFmt w:val="lowerLetter"/>
      <w:pStyle w:val="Level3"/>
      <w:lvlText w:val="%3)"/>
      <w:lvlJc w:val="left"/>
      <w:pPr>
        <w:ind w:left="1225" w:hanging="505"/>
      </w:pPr>
      <w:rPr>
        <w:rFonts w:hint="default"/>
      </w:rPr>
    </w:lvl>
    <w:lvl w:ilvl="3">
      <w:start w:val="1"/>
      <w:numFmt w:val="lowerRoman"/>
      <w:pStyle w:val="Level4"/>
      <w:lvlText w:val="%4)"/>
      <w:lvlJc w:val="left"/>
      <w:pPr>
        <w:ind w:left="1729"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2E5312"/>
    <w:multiLevelType w:val="hybridMultilevel"/>
    <w:tmpl w:val="27184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3A03C0"/>
    <w:multiLevelType w:val="hybridMultilevel"/>
    <w:tmpl w:val="013CC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AC5A93"/>
    <w:multiLevelType w:val="multilevel"/>
    <w:tmpl w:val="69BEFBC4"/>
    <w:lvl w:ilvl="0">
      <w:start w:val="1"/>
      <w:numFmt w:val="decimal"/>
      <w:pStyle w:val="List2"/>
      <w:isLgl/>
      <w:lvlText w:val="%1.1"/>
      <w:lvlJc w:val="left"/>
      <w:pPr>
        <w:tabs>
          <w:tab w:val="num" w:pos="851"/>
        </w:tabs>
        <w:ind w:left="851" w:hanging="851"/>
      </w:pPr>
      <w:rPr>
        <w:rFonts w:hint="default"/>
      </w:rPr>
    </w:lvl>
    <w:lvl w:ilvl="1">
      <w:start w:val="1"/>
      <w:numFmt w:val="decimal"/>
      <w:pStyle w:val="List2"/>
      <w:lvlText w:val="%1.%2"/>
      <w:lvlJc w:val="left"/>
      <w:pPr>
        <w:tabs>
          <w:tab w:val="num" w:pos="794"/>
        </w:tabs>
        <w:ind w:left="794" w:hanging="453"/>
      </w:pPr>
      <w:rPr>
        <w:rFonts w:hint="default"/>
      </w:rPr>
    </w:lvl>
    <w:lvl w:ilvl="2">
      <w:start w:val="1"/>
      <w:numFmt w:val="decimal"/>
      <w:lvlText w:val="%1.%2.%3."/>
      <w:lvlJc w:val="left"/>
      <w:pPr>
        <w:tabs>
          <w:tab w:val="num" w:pos="1327"/>
        </w:tabs>
        <w:ind w:left="1111" w:hanging="504"/>
      </w:pPr>
      <w:rPr>
        <w:rFonts w:hint="default"/>
      </w:rPr>
    </w:lvl>
    <w:lvl w:ilvl="3">
      <w:start w:val="1"/>
      <w:numFmt w:val="decimal"/>
      <w:lvlText w:val="%1.%2.%3.%4."/>
      <w:lvlJc w:val="left"/>
      <w:pPr>
        <w:tabs>
          <w:tab w:val="num" w:pos="1687"/>
        </w:tabs>
        <w:ind w:left="1615" w:hanging="648"/>
      </w:pPr>
      <w:rPr>
        <w:rFonts w:hint="default"/>
      </w:rPr>
    </w:lvl>
    <w:lvl w:ilvl="4">
      <w:start w:val="1"/>
      <w:numFmt w:val="decimal"/>
      <w:lvlText w:val="%1.%2.%3.%4.%5."/>
      <w:lvlJc w:val="left"/>
      <w:pPr>
        <w:tabs>
          <w:tab w:val="num" w:pos="2407"/>
        </w:tabs>
        <w:ind w:left="2119" w:hanging="792"/>
      </w:pPr>
      <w:rPr>
        <w:rFonts w:hint="default"/>
      </w:rPr>
    </w:lvl>
    <w:lvl w:ilvl="5">
      <w:start w:val="1"/>
      <w:numFmt w:val="decimal"/>
      <w:lvlText w:val="%1.%2.%3.%4.%5.%6."/>
      <w:lvlJc w:val="left"/>
      <w:pPr>
        <w:tabs>
          <w:tab w:val="num" w:pos="2767"/>
        </w:tabs>
        <w:ind w:left="2623" w:hanging="936"/>
      </w:pPr>
      <w:rPr>
        <w:rFonts w:hint="default"/>
      </w:rPr>
    </w:lvl>
    <w:lvl w:ilvl="6">
      <w:start w:val="1"/>
      <w:numFmt w:val="decimal"/>
      <w:lvlText w:val="%1.%2.%3.%4.%5.%6.%7."/>
      <w:lvlJc w:val="left"/>
      <w:pPr>
        <w:tabs>
          <w:tab w:val="num" w:pos="3487"/>
        </w:tabs>
        <w:ind w:left="3127" w:hanging="1080"/>
      </w:pPr>
      <w:rPr>
        <w:rFonts w:hint="default"/>
      </w:rPr>
    </w:lvl>
    <w:lvl w:ilvl="7">
      <w:start w:val="1"/>
      <w:numFmt w:val="decimal"/>
      <w:lvlText w:val="%1.%2.%3.%4.%5.%6.%7.%8."/>
      <w:lvlJc w:val="left"/>
      <w:pPr>
        <w:tabs>
          <w:tab w:val="num" w:pos="3847"/>
        </w:tabs>
        <w:ind w:left="3631" w:hanging="1224"/>
      </w:pPr>
      <w:rPr>
        <w:rFonts w:hint="default"/>
      </w:rPr>
    </w:lvl>
    <w:lvl w:ilvl="8">
      <w:start w:val="1"/>
      <w:numFmt w:val="decimal"/>
      <w:lvlText w:val="%1.%2.%3.%4.%5.%6.%7.%8.%9."/>
      <w:lvlJc w:val="left"/>
      <w:pPr>
        <w:tabs>
          <w:tab w:val="num" w:pos="4567"/>
        </w:tabs>
        <w:ind w:left="4207" w:hanging="1440"/>
      </w:pPr>
      <w:rPr>
        <w:rFonts w:hint="default"/>
      </w:rPr>
    </w:lvl>
  </w:abstractNum>
  <w:abstractNum w:abstractNumId="15" w15:restartNumberingAfterBreak="0">
    <w:nsid w:val="5A13507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C9C3BD7"/>
    <w:multiLevelType w:val="hybridMultilevel"/>
    <w:tmpl w:val="054A375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DA04BE"/>
    <w:multiLevelType w:val="multilevel"/>
    <w:tmpl w:val="C0423C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50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20178749">
    <w:abstractNumId w:val="14"/>
  </w:num>
  <w:num w:numId="2" w16cid:durableId="45955427">
    <w:abstractNumId w:val="3"/>
  </w:num>
  <w:num w:numId="3" w16cid:durableId="460536071">
    <w:abstractNumId w:val="8"/>
  </w:num>
  <w:num w:numId="4" w16cid:durableId="954361620">
    <w:abstractNumId w:val="1"/>
  </w:num>
  <w:num w:numId="5" w16cid:durableId="845555787">
    <w:abstractNumId w:val="9"/>
  </w:num>
  <w:num w:numId="6" w16cid:durableId="1097479981">
    <w:abstractNumId w:val="13"/>
  </w:num>
  <w:num w:numId="7" w16cid:durableId="867765154">
    <w:abstractNumId w:val="12"/>
  </w:num>
  <w:num w:numId="8" w16cid:durableId="46340210">
    <w:abstractNumId w:val="3"/>
  </w:num>
  <w:num w:numId="9" w16cid:durableId="165286173">
    <w:abstractNumId w:val="15"/>
  </w:num>
  <w:num w:numId="10" w16cid:durableId="309092201">
    <w:abstractNumId w:val="5"/>
  </w:num>
  <w:num w:numId="11" w16cid:durableId="541403305">
    <w:abstractNumId w:val="3"/>
  </w:num>
  <w:num w:numId="12" w16cid:durableId="1828589684">
    <w:abstractNumId w:val="3"/>
  </w:num>
  <w:num w:numId="13" w16cid:durableId="1909146241">
    <w:abstractNumId w:val="2"/>
  </w:num>
  <w:num w:numId="14" w16cid:durableId="49161799">
    <w:abstractNumId w:val="0"/>
  </w:num>
  <w:num w:numId="15" w16cid:durableId="895629338">
    <w:abstractNumId w:val="6"/>
  </w:num>
  <w:num w:numId="16" w16cid:durableId="823205501">
    <w:abstractNumId w:val="4"/>
  </w:num>
  <w:num w:numId="17" w16cid:durableId="1231429909">
    <w:abstractNumId w:val="10"/>
  </w:num>
  <w:num w:numId="18" w16cid:durableId="2084599667">
    <w:abstractNumId w:val="11"/>
  </w:num>
  <w:num w:numId="19" w16cid:durableId="679816897">
    <w:abstractNumId w:val="11"/>
  </w:num>
  <w:num w:numId="20" w16cid:durableId="1133719244">
    <w:abstractNumId w:val="17"/>
  </w:num>
  <w:num w:numId="21" w16cid:durableId="1056389802">
    <w:abstractNumId w:val="16"/>
  </w:num>
  <w:num w:numId="22" w16cid:durableId="817571723">
    <w:abstractNumId w:val="11"/>
  </w:num>
  <w:num w:numId="23" w16cid:durableId="6336339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1268906">
    <w:abstractNumId w:val="7"/>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30"/>
    <w:rsid w:val="000000A6"/>
    <w:rsid w:val="0001013A"/>
    <w:rsid w:val="000200E4"/>
    <w:rsid w:val="00035E38"/>
    <w:rsid w:val="00042940"/>
    <w:rsid w:val="000554EC"/>
    <w:rsid w:val="00065B50"/>
    <w:rsid w:val="000748A6"/>
    <w:rsid w:val="00074EEA"/>
    <w:rsid w:val="00090B43"/>
    <w:rsid w:val="000C0803"/>
    <w:rsid w:val="000C43C3"/>
    <w:rsid w:val="000E2C65"/>
    <w:rsid w:val="000F5871"/>
    <w:rsid w:val="00101717"/>
    <w:rsid w:val="00121707"/>
    <w:rsid w:val="00146F21"/>
    <w:rsid w:val="00146F4F"/>
    <w:rsid w:val="00170E74"/>
    <w:rsid w:val="00173B79"/>
    <w:rsid w:val="00180DAC"/>
    <w:rsid w:val="0018182F"/>
    <w:rsid w:val="001C4AC4"/>
    <w:rsid w:val="001C51AD"/>
    <w:rsid w:val="001C62F9"/>
    <w:rsid w:val="001E288C"/>
    <w:rsid w:val="001F1A7C"/>
    <w:rsid w:val="001F4A12"/>
    <w:rsid w:val="002056C9"/>
    <w:rsid w:val="002321A2"/>
    <w:rsid w:val="00245875"/>
    <w:rsid w:val="00265890"/>
    <w:rsid w:val="00274206"/>
    <w:rsid w:val="00282486"/>
    <w:rsid w:val="002833F8"/>
    <w:rsid w:val="002921D7"/>
    <w:rsid w:val="002E32E3"/>
    <w:rsid w:val="002F2D80"/>
    <w:rsid w:val="002F7EC5"/>
    <w:rsid w:val="00300B9D"/>
    <w:rsid w:val="00305BD2"/>
    <w:rsid w:val="00310297"/>
    <w:rsid w:val="00317CBD"/>
    <w:rsid w:val="003235FE"/>
    <w:rsid w:val="00333848"/>
    <w:rsid w:val="00334495"/>
    <w:rsid w:val="00341B67"/>
    <w:rsid w:val="003454F9"/>
    <w:rsid w:val="00366289"/>
    <w:rsid w:val="00380DEF"/>
    <w:rsid w:val="00381EE7"/>
    <w:rsid w:val="003A5F0B"/>
    <w:rsid w:val="003B01B8"/>
    <w:rsid w:val="003B5F34"/>
    <w:rsid w:val="003C09CB"/>
    <w:rsid w:val="003C596C"/>
    <w:rsid w:val="003E678C"/>
    <w:rsid w:val="003E7BB4"/>
    <w:rsid w:val="003F1483"/>
    <w:rsid w:val="0041129E"/>
    <w:rsid w:val="00417DE2"/>
    <w:rsid w:val="00424D51"/>
    <w:rsid w:val="00436398"/>
    <w:rsid w:val="00467354"/>
    <w:rsid w:val="00472A14"/>
    <w:rsid w:val="0047382A"/>
    <w:rsid w:val="004808FB"/>
    <w:rsid w:val="0048393B"/>
    <w:rsid w:val="00496CD6"/>
    <w:rsid w:val="004B213F"/>
    <w:rsid w:val="004B486C"/>
    <w:rsid w:val="004E6A21"/>
    <w:rsid w:val="004E7D4D"/>
    <w:rsid w:val="004F15CD"/>
    <w:rsid w:val="004F2389"/>
    <w:rsid w:val="00511886"/>
    <w:rsid w:val="00534EAB"/>
    <w:rsid w:val="0054163E"/>
    <w:rsid w:val="00546332"/>
    <w:rsid w:val="0055726E"/>
    <w:rsid w:val="00557EDB"/>
    <w:rsid w:val="00580470"/>
    <w:rsid w:val="005835A9"/>
    <w:rsid w:val="00585F9F"/>
    <w:rsid w:val="00587EF0"/>
    <w:rsid w:val="00595C12"/>
    <w:rsid w:val="005A04D6"/>
    <w:rsid w:val="005A243B"/>
    <w:rsid w:val="005B1458"/>
    <w:rsid w:val="005C00F4"/>
    <w:rsid w:val="006065F6"/>
    <w:rsid w:val="00616BF9"/>
    <w:rsid w:val="0062331F"/>
    <w:rsid w:val="00631B76"/>
    <w:rsid w:val="0065257C"/>
    <w:rsid w:val="0066152F"/>
    <w:rsid w:val="00675A9F"/>
    <w:rsid w:val="006B03DA"/>
    <w:rsid w:val="006B399C"/>
    <w:rsid w:val="006C4020"/>
    <w:rsid w:val="006C4DCA"/>
    <w:rsid w:val="006C4DD3"/>
    <w:rsid w:val="006D1256"/>
    <w:rsid w:val="006E41BC"/>
    <w:rsid w:val="006E7EBC"/>
    <w:rsid w:val="00723182"/>
    <w:rsid w:val="00726D69"/>
    <w:rsid w:val="00750D0D"/>
    <w:rsid w:val="00766874"/>
    <w:rsid w:val="007703FB"/>
    <w:rsid w:val="00773CC7"/>
    <w:rsid w:val="00777116"/>
    <w:rsid w:val="00793EBC"/>
    <w:rsid w:val="007A026E"/>
    <w:rsid w:val="007A1374"/>
    <w:rsid w:val="007A5DCA"/>
    <w:rsid w:val="007B1BA6"/>
    <w:rsid w:val="007C4F5B"/>
    <w:rsid w:val="007C5EFA"/>
    <w:rsid w:val="007D1BC9"/>
    <w:rsid w:val="007E050D"/>
    <w:rsid w:val="007E40EF"/>
    <w:rsid w:val="00863395"/>
    <w:rsid w:val="008675D2"/>
    <w:rsid w:val="008A2BD2"/>
    <w:rsid w:val="008B2B16"/>
    <w:rsid w:val="008B7D58"/>
    <w:rsid w:val="008C4D61"/>
    <w:rsid w:val="008D5277"/>
    <w:rsid w:val="008E4539"/>
    <w:rsid w:val="0090221D"/>
    <w:rsid w:val="009132F9"/>
    <w:rsid w:val="00915FBF"/>
    <w:rsid w:val="0092400B"/>
    <w:rsid w:val="00930B2D"/>
    <w:rsid w:val="00941ECC"/>
    <w:rsid w:val="00946D2B"/>
    <w:rsid w:val="00946FFD"/>
    <w:rsid w:val="009618AD"/>
    <w:rsid w:val="009674DE"/>
    <w:rsid w:val="00985247"/>
    <w:rsid w:val="009928A5"/>
    <w:rsid w:val="00993519"/>
    <w:rsid w:val="009E102F"/>
    <w:rsid w:val="009E42FE"/>
    <w:rsid w:val="009E7B46"/>
    <w:rsid w:val="009F4467"/>
    <w:rsid w:val="009F44B2"/>
    <w:rsid w:val="00A01BEE"/>
    <w:rsid w:val="00A30BA1"/>
    <w:rsid w:val="00A37C6B"/>
    <w:rsid w:val="00A43EF0"/>
    <w:rsid w:val="00A448D3"/>
    <w:rsid w:val="00A4722F"/>
    <w:rsid w:val="00A55CCA"/>
    <w:rsid w:val="00A60389"/>
    <w:rsid w:val="00A818C1"/>
    <w:rsid w:val="00A81FA0"/>
    <w:rsid w:val="00A82A81"/>
    <w:rsid w:val="00AA1320"/>
    <w:rsid w:val="00AB3243"/>
    <w:rsid w:val="00AC7F21"/>
    <w:rsid w:val="00AD0479"/>
    <w:rsid w:val="00AD3013"/>
    <w:rsid w:val="00AE7059"/>
    <w:rsid w:val="00B365B7"/>
    <w:rsid w:val="00B444EC"/>
    <w:rsid w:val="00B45AE6"/>
    <w:rsid w:val="00B63163"/>
    <w:rsid w:val="00B647CF"/>
    <w:rsid w:val="00B74097"/>
    <w:rsid w:val="00B83EA1"/>
    <w:rsid w:val="00B86922"/>
    <w:rsid w:val="00BA515C"/>
    <w:rsid w:val="00BD2807"/>
    <w:rsid w:val="00BD479C"/>
    <w:rsid w:val="00BF54BF"/>
    <w:rsid w:val="00C0278A"/>
    <w:rsid w:val="00C02A7F"/>
    <w:rsid w:val="00C046B9"/>
    <w:rsid w:val="00C0751F"/>
    <w:rsid w:val="00C171F0"/>
    <w:rsid w:val="00C17F1F"/>
    <w:rsid w:val="00C40D98"/>
    <w:rsid w:val="00C41F8F"/>
    <w:rsid w:val="00C61A73"/>
    <w:rsid w:val="00C64C1B"/>
    <w:rsid w:val="00C84F37"/>
    <w:rsid w:val="00C908B0"/>
    <w:rsid w:val="00C95BC2"/>
    <w:rsid w:val="00CB2948"/>
    <w:rsid w:val="00CC1401"/>
    <w:rsid w:val="00CD79D0"/>
    <w:rsid w:val="00CE19ED"/>
    <w:rsid w:val="00D20192"/>
    <w:rsid w:val="00D3447A"/>
    <w:rsid w:val="00D43FC8"/>
    <w:rsid w:val="00D64912"/>
    <w:rsid w:val="00D80930"/>
    <w:rsid w:val="00D951FE"/>
    <w:rsid w:val="00DA357D"/>
    <w:rsid w:val="00DB1A11"/>
    <w:rsid w:val="00DC14F9"/>
    <w:rsid w:val="00DC7253"/>
    <w:rsid w:val="00DD4F5F"/>
    <w:rsid w:val="00DE337D"/>
    <w:rsid w:val="00DF2292"/>
    <w:rsid w:val="00E10AC3"/>
    <w:rsid w:val="00E13E4F"/>
    <w:rsid w:val="00E15D81"/>
    <w:rsid w:val="00E20889"/>
    <w:rsid w:val="00E2425F"/>
    <w:rsid w:val="00E24AA6"/>
    <w:rsid w:val="00E24F59"/>
    <w:rsid w:val="00E334C0"/>
    <w:rsid w:val="00E345D7"/>
    <w:rsid w:val="00E374F8"/>
    <w:rsid w:val="00E4094D"/>
    <w:rsid w:val="00E4416C"/>
    <w:rsid w:val="00E5336F"/>
    <w:rsid w:val="00E6353E"/>
    <w:rsid w:val="00EA2E0F"/>
    <w:rsid w:val="00EA320F"/>
    <w:rsid w:val="00EB7774"/>
    <w:rsid w:val="00EC1AD7"/>
    <w:rsid w:val="00ED0183"/>
    <w:rsid w:val="00ED5E0D"/>
    <w:rsid w:val="00ED6E7F"/>
    <w:rsid w:val="00EF00A2"/>
    <w:rsid w:val="00EF38DB"/>
    <w:rsid w:val="00F06057"/>
    <w:rsid w:val="00F1466F"/>
    <w:rsid w:val="00F15133"/>
    <w:rsid w:val="00F20301"/>
    <w:rsid w:val="00F2490A"/>
    <w:rsid w:val="00F34397"/>
    <w:rsid w:val="00F3570E"/>
    <w:rsid w:val="00F470F2"/>
    <w:rsid w:val="00F51D2F"/>
    <w:rsid w:val="00F6040C"/>
    <w:rsid w:val="00F72D15"/>
    <w:rsid w:val="00F731F4"/>
    <w:rsid w:val="00F83A52"/>
    <w:rsid w:val="00FA0596"/>
    <w:rsid w:val="00FB07D2"/>
    <w:rsid w:val="00FB147E"/>
    <w:rsid w:val="00FB292B"/>
    <w:rsid w:val="00FC7E10"/>
    <w:rsid w:val="00FD1614"/>
    <w:rsid w:val="00FD4E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4171CC4"/>
  <w15:chartTrackingRefBased/>
  <w15:docId w15:val="{82362740-F33F-442B-A352-09A4A70F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82F"/>
    <w:pPr>
      <w:spacing w:after="240" w:line="240" w:lineRule="auto"/>
    </w:pPr>
    <w:rPr>
      <w:rFonts w:ascii="Arial" w:hAnsi="Arial" w:cs="Arial"/>
    </w:rPr>
  </w:style>
  <w:style w:type="paragraph" w:styleId="Heading1">
    <w:name w:val="heading 1"/>
    <w:basedOn w:val="Normal"/>
    <w:next w:val="Normal"/>
    <w:link w:val="Heading1Char"/>
    <w:uiPriority w:val="9"/>
    <w:qFormat/>
    <w:rsid w:val="003C596C"/>
    <w:pPr>
      <w:numPr>
        <w:numId w:val="19"/>
      </w:numPr>
      <w:spacing w:before="240" w:after="80"/>
      <w:outlineLvl w:val="0"/>
    </w:pPr>
    <w:rPr>
      <w:rFonts w:ascii="Calibri Light" w:hAnsi="Calibri Light" w:cs="Calibri Light"/>
      <w:color w:val="44546A" w:themeColor="text2"/>
      <w:sz w:val="48"/>
      <w:szCs w:val="48"/>
    </w:rPr>
  </w:style>
  <w:style w:type="paragraph" w:styleId="Heading2">
    <w:name w:val="heading 2"/>
    <w:basedOn w:val="Heading5"/>
    <w:next w:val="Normal"/>
    <w:link w:val="Heading2Char"/>
    <w:unhideWhenUsed/>
    <w:qFormat/>
    <w:rsid w:val="00A82A81"/>
    <w:pPr>
      <w:spacing w:before="40" w:after="40" w:line="276" w:lineRule="auto"/>
      <w:outlineLvl w:val="1"/>
    </w:pPr>
    <w:rPr>
      <w:rFonts w:ascii="Calibri Light" w:hAnsi="Calibri Light" w:cs="Calibri Light"/>
      <w:b w:val="0"/>
      <w:color w:val="44546A" w:themeColor="text2"/>
      <w:sz w:val="40"/>
      <w:szCs w:val="40"/>
    </w:rPr>
  </w:style>
  <w:style w:type="paragraph" w:styleId="Heading3">
    <w:name w:val="heading 3"/>
    <w:basedOn w:val="Title"/>
    <w:next w:val="Normal"/>
    <w:link w:val="Heading3Char"/>
    <w:unhideWhenUsed/>
    <w:qFormat/>
    <w:rsid w:val="00A82A81"/>
    <w:pPr>
      <w:spacing w:before="40" w:after="120" w:line="276" w:lineRule="auto"/>
      <w:outlineLvl w:val="2"/>
    </w:pPr>
    <w:rPr>
      <w:rFonts w:eastAsiaTheme="minorHAnsi" w:cs="Calibri Light"/>
      <w:spacing w:val="0"/>
      <w:kern w:val="0"/>
      <w:sz w:val="32"/>
      <w:szCs w:val="32"/>
    </w:rPr>
  </w:style>
  <w:style w:type="paragraph" w:styleId="Heading4">
    <w:name w:val="heading 4"/>
    <w:basedOn w:val="Title"/>
    <w:next w:val="Normal"/>
    <w:link w:val="Heading4Char"/>
    <w:uiPriority w:val="9"/>
    <w:unhideWhenUsed/>
    <w:qFormat/>
    <w:rsid w:val="000000A6"/>
    <w:pPr>
      <w:jc w:val="both"/>
      <w:outlineLvl w:val="3"/>
    </w:pPr>
    <w:rPr>
      <w:rFonts w:ascii="Arial" w:eastAsia="Times New Roman" w:hAnsi="Arial"/>
      <w:b/>
      <w:spacing w:val="0"/>
      <w:kern w:val="0"/>
      <w:sz w:val="24"/>
      <w:szCs w:val="24"/>
    </w:rPr>
  </w:style>
  <w:style w:type="paragraph" w:styleId="Heading5">
    <w:name w:val="heading 5"/>
    <w:basedOn w:val="Normal"/>
    <w:next w:val="Normal"/>
    <w:link w:val="Heading5Char"/>
    <w:uiPriority w:val="9"/>
    <w:unhideWhenUsed/>
    <w:qFormat/>
    <w:rsid w:val="007703FB"/>
    <w:pPr>
      <w:spacing w:after="0"/>
      <w:outlineLvl w:val="4"/>
    </w:pPr>
    <w:rPr>
      <w:b/>
    </w:rPr>
  </w:style>
  <w:style w:type="paragraph" w:styleId="Heading6">
    <w:name w:val="heading 6"/>
    <w:basedOn w:val="Heading2"/>
    <w:next w:val="Normal"/>
    <w:link w:val="Heading6Char"/>
    <w:uiPriority w:val="9"/>
    <w:unhideWhenUsed/>
    <w:qFormat/>
    <w:rsid w:val="006E7EBC"/>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0930"/>
    <w:rPr>
      <w:color w:val="0000FF"/>
      <w:u w:val="single"/>
    </w:rPr>
  </w:style>
  <w:style w:type="paragraph" w:styleId="Title">
    <w:name w:val="Title"/>
    <w:basedOn w:val="Normal"/>
    <w:next w:val="Normal"/>
    <w:link w:val="TitleChar"/>
    <w:qFormat/>
    <w:rsid w:val="00A82A81"/>
    <w:pPr>
      <w:tabs>
        <w:tab w:val="left" w:pos="440"/>
      </w:tabs>
      <w:spacing w:after="100"/>
    </w:pPr>
    <w:rPr>
      <w:rFonts w:ascii="Calibri Light" w:eastAsiaTheme="majorEastAsia" w:hAnsi="Calibri Light" w:cstheme="majorBidi"/>
      <w:color w:val="44546A" w:themeColor="text2"/>
      <w:spacing w:val="-10"/>
      <w:kern w:val="28"/>
      <w:sz w:val="56"/>
      <w:szCs w:val="72"/>
    </w:rPr>
  </w:style>
  <w:style w:type="character" w:customStyle="1" w:styleId="TitleChar">
    <w:name w:val="Title Char"/>
    <w:basedOn w:val="DefaultParagraphFont"/>
    <w:link w:val="Title"/>
    <w:rsid w:val="00A82A81"/>
    <w:rPr>
      <w:rFonts w:ascii="Calibri Light" w:eastAsiaTheme="majorEastAsia" w:hAnsi="Calibri Light" w:cstheme="majorBidi"/>
      <w:color w:val="44546A" w:themeColor="text2"/>
      <w:spacing w:val="-10"/>
      <w:kern w:val="28"/>
      <w:sz w:val="56"/>
      <w:szCs w:val="72"/>
    </w:rPr>
  </w:style>
  <w:style w:type="paragraph" w:styleId="Header">
    <w:name w:val="header"/>
    <w:basedOn w:val="Normal"/>
    <w:link w:val="HeaderChar"/>
    <w:unhideWhenUsed/>
    <w:rsid w:val="00D80930"/>
    <w:pPr>
      <w:tabs>
        <w:tab w:val="center" w:pos="4513"/>
        <w:tab w:val="right" w:pos="9026"/>
      </w:tabs>
      <w:spacing w:after="0"/>
    </w:pPr>
  </w:style>
  <w:style w:type="character" w:customStyle="1" w:styleId="HeaderChar">
    <w:name w:val="Header Char"/>
    <w:basedOn w:val="DefaultParagraphFont"/>
    <w:link w:val="Header"/>
    <w:uiPriority w:val="99"/>
    <w:rsid w:val="00D80930"/>
  </w:style>
  <w:style w:type="paragraph" w:styleId="Footer">
    <w:name w:val="footer"/>
    <w:link w:val="FooterChar"/>
    <w:uiPriority w:val="99"/>
    <w:unhideWhenUsed/>
    <w:rsid w:val="0018182F"/>
    <w:pPr>
      <w:tabs>
        <w:tab w:val="center" w:pos="4513"/>
        <w:tab w:val="right" w:pos="9026"/>
      </w:tabs>
      <w:spacing w:after="0"/>
    </w:pPr>
    <w:rPr>
      <w:rFonts w:ascii="Arial" w:hAnsi="Arial" w:cs="Arial"/>
    </w:rPr>
  </w:style>
  <w:style w:type="character" w:customStyle="1" w:styleId="FooterChar">
    <w:name w:val="Footer Char"/>
    <w:basedOn w:val="DefaultParagraphFont"/>
    <w:link w:val="Footer"/>
    <w:uiPriority w:val="99"/>
    <w:rsid w:val="0018182F"/>
    <w:rPr>
      <w:rFonts w:ascii="Arial" w:hAnsi="Arial" w:cs="Arial"/>
    </w:rPr>
  </w:style>
  <w:style w:type="character" w:customStyle="1" w:styleId="Heading1Char">
    <w:name w:val="Heading 1 Char"/>
    <w:basedOn w:val="DefaultParagraphFont"/>
    <w:link w:val="Heading1"/>
    <w:uiPriority w:val="9"/>
    <w:rsid w:val="003C596C"/>
    <w:rPr>
      <w:rFonts w:ascii="Calibri Light" w:hAnsi="Calibri Light" w:cs="Calibri Light"/>
      <w:color w:val="44546A" w:themeColor="text2"/>
      <w:sz w:val="48"/>
      <w:szCs w:val="48"/>
    </w:rPr>
  </w:style>
  <w:style w:type="paragraph" w:styleId="TOCHeading">
    <w:name w:val="TOC Heading"/>
    <w:basedOn w:val="Heading1"/>
    <w:next w:val="Normal"/>
    <w:uiPriority w:val="39"/>
    <w:unhideWhenUsed/>
    <w:qFormat/>
    <w:rsid w:val="00D80930"/>
    <w:pPr>
      <w:outlineLvl w:val="9"/>
    </w:pPr>
    <w:rPr>
      <w:lang w:val="en-US"/>
    </w:rPr>
  </w:style>
  <w:style w:type="paragraph" w:styleId="List2">
    <w:name w:val="List 2"/>
    <w:basedOn w:val="Normal"/>
    <w:rsid w:val="00D80930"/>
    <w:pPr>
      <w:numPr>
        <w:numId w:val="1"/>
      </w:numPr>
      <w:spacing w:after="120"/>
    </w:pPr>
    <w:rPr>
      <w:rFonts w:ascii="Times New Roman" w:eastAsia="Times New Roman" w:hAnsi="Times New Roman" w:cs="Times New Roman"/>
      <w:sz w:val="24"/>
      <w:szCs w:val="24"/>
      <w:lang w:eastAsia="en-AU"/>
    </w:rPr>
  </w:style>
  <w:style w:type="paragraph" w:styleId="FootnoteText">
    <w:name w:val="footnote text"/>
    <w:aliases w:val="DNV-FT"/>
    <w:basedOn w:val="Normal"/>
    <w:link w:val="FootnoteTextChar"/>
    <w:semiHidden/>
    <w:rsid w:val="00D80930"/>
    <w:pPr>
      <w:ind w:left="792" w:hanging="432"/>
    </w:pPr>
    <w:rPr>
      <w:rFonts w:ascii="Times New Roman" w:eastAsia="Times New Roman" w:hAnsi="Times New Roman" w:cs="Times New Roman"/>
      <w:sz w:val="20"/>
      <w:szCs w:val="20"/>
      <w:lang w:eastAsia="en-AU"/>
    </w:rPr>
  </w:style>
  <w:style w:type="character" w:customStyle="1" w:styleId="FootnoteTextChar">
    <w:name w:val="Footnote Text Char"/>
    <w:aliases w:val="DNV-FT Char"/>
    <w:basedOn w:val="DefaultParagraphFont"/>
    <w:link w:val="FootnoteText"/>
    <w:semiHidden/>
    <w:rsid w:val="00D80930"/>
    <w:rPr>
      <w:rFonts w:ascii="Times New Roman" w:eastAsia="Times New Roman" w:hAnsi="Times New Roman" w:cs="Times New Roman"/>
      <w:sz w:val="20"/>
      <w:szCs w:val="20"/>
      <w:lang w:eastAsia="en-AU"/>
    </w:rPr>
  </w:style>
  <w:style w:type="character" w:styleId="FootnoteReference">
    <w:name w:val="footnote reference"/>
    <w:semiHidden/>
    <w:rsid w:val="00D80930"/>
    <w:rPr>
      <w:vertAlign w:val="superscript"/>
    </w:rPr>
  </w:style>
  <w:style w:type="character" w:customStyle="1" w:styleId="Heading2Char">
    <w:name w:val="Heading 2 Char"/>
    <w:basedOn w:val="DefaultParagraphFont"/>
    <w:link w:val="Heading2"/>
    <w:rsid w:val="00A82A81"/>
    <w:rPr>
      <w:rFonts w:ascii="Calibri Light" w:hAnsi="Calibri Light" w:cs="Calibri Light"/>
      <w:color w:val="44546A" w:themeColor="text2"/>
      <w:sz w:val="40"/>
      <w:szCs w:val="40"/>
    </w:rPr>
  </w:style>
  <w:style w:type="character" w:styleId="PageNumber">
    <w:name w:val="page number"/>
    <w:basedOn w:val="DefaultParagraphFont"/>
    <w:rsid w:val="00D80930"/>
  </w:style>
  <w:style w:type="paragraph" w:styleId="ListParagraph">
    <w:name w:val="List Paragraph"/>
    <w:basedOn w:val="Normal"/>
    <w:uiPriority w:val="34"/>
    <w:qFormat/>
    <w:rsid w:val="00D80930"/>
    <w:pPr>
      <w:ind w:left="792" w:hanging="432"/>
    </w:pPr>
    <w:rPr>
      <w:rFonts w:ascii="Times New Roman" w:eastAsia="Times New Roman" w:hAnsi="Times New Roman" w:cs="Times New Roman"/>
      <w:sz w:val="24"/>
      <w:szCs w:val="24"/>
      <w:lang w:eastAsia="en-AU"/>
    </w:rPr>
  </w:style>
  <w:style w:type="table" w:styleId="TableGrid">
    <w:name w:val="Table Grid"/>
    <w:basedOn w:val="TableNormal"/>
    <w:rsid w:val="00D8093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F00A2"/>
    <w:pPr>
      <w:tabs>
        <w:tab w:val="left" w:pos="440"/>
        <w:tab w:val="right" w:leader="dot" w:pos="9742"/>
      </w:tabs>
      <w:spacing w:after="120" w:line="276" w:lineRule="auto"/>
    </w:pPr>
  </w:style>
  <w:style w:type="paragraph" w:styleId="TOC2">
    <w:name w:val="toc 2"/>
    <w:basedOn w:val="Normal"/>
    <w:next w:val="Normal"/>
    <w:autoRedefine/>
    <w:uiPriority w:val="39"/>
    <w:unhideWhenUsed/>
    <w:rsid w:val="00D80930"/>
    <w:pPr>
      <w:spacing w:after="100"/>
      <w:ind w:left="220"/>
    </w:pPr>
  </w:style>
  <w:style w:type="character" w:styleId="CommentReference">
    <w:name w:val="annotation reference"/>
    <w:basedOn w:val="DefaultParagraphFont"/>
    <w:uiPriority w:val="99"/>
    <w:unhideWhenUsed/>
    <w:rsid w:val="00726D69"/>
    <w:rPr>
      <w:sz w:val="16"/>
      <w:szCs w:val="16"/>
    </w:rPr>
  </w:style>
  <w:style w:type="paragraph" w:styleId="CommentText">
    <w:name w:val="annotation text"/>
    <w:basedOn w:val="Normal"/>
    <w:link w:val="CommentTextChar"/>
    <w:uiPriority w:val="99"/>
    <w:unhideWhenUsed/>
    <w:rsid w:val="00726D69"/>
    <w:rPr>
      <w:sz w:val="20"/>
      <w:szCs w:val="20"/>
    </w:rPr>
  </w:style>
  <w:style w:type="character" w:customStyle="1" w:styleId="CommentTextChar">
    <w:name w:val="Comment Text Char"/>
    <w:basedOn w:val="DefaultParagraphFont"/>
    <w:link w:val="CommentText"/>
    <w:uiPriority w:val="99"/>
    <w:rsid w:val="00726D69"/>
    <w:rPr>
      <w:sz w:val="20"/>
      <w:szCs w:val="20"/>
    </w:rPr>
  </w:style>
  <w:style w:type="paragraph" w:styleId="CommentSubject">
    <w:name w:val="annotation subject"/>
    <w:basedOn w:val="CommentText"/>
    <w:next w:val="CommentText"/>
    <w:link w:val="CommentSubjectChar"/>
    <w:uiPriority w:val="99"/>
    <w:semiHidden/>
    <w:unhideWhenUsed/>
    <w:rsid w:val="00726D69"/>
    <w:rPr>
      <w:b/>
      <w:bCs/>
    </w:rPr>
  </w:style>
  <w:style w:type="character" w:customStyle="1" w:styleId="CommentSubjectChar">
    <w:name w:val="Comment Subject Char"/>
    <w:basedOn w:val="CommentTextChar"/>
    <w:link w:val="CommentSubject"/>
    <w:uiPriority w:val="99"/>
    <w:semiHidden/>
    <w:rsid w:val="00726D69"/>
    <w:rPr>
      <w:b/>
      <w:bCs/>
      <w:sz w:val="20"/>
      <w:szCs w:val="20"/>
    </w:rPr>
  </w:style>
  <w:style w:type="paragraph" w:styleId="BalloonText">
    <w:name w:val="Balloon Text"/>
    <w:basedOn w:val="Normal"/>
    <w:link w:val="BalloonTextChar"/>
    <w:uiPriority w:val="99"/>
    <w:semiHidden/>
    <w:unhideWhenUsed/>
    <w:rsid w:val="00726D6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D69"/>
    <w:rPr>
      <w:rFonts w:ascii="Segoe UI" w:hAnsi="Segoe UI" w:cs="Segoe UI"/>
      <w:sz w:val="18"/>
      <w:szCs w:val="18"/>
    </w:rPr>
  </w:style>
  <w:style w:type="character" w:styleId="FollowedHyperlink">
    <w:name w:val="FollowedHyperlink"/>
    <w:basedOn w:val="DefaultParagraphFont"/>
    <w:uiPriority w:val="99"/>
    <w:semiHidden/>
    <w:unhideWhenUsed/>
    <w:rsid w:val="00ED5E0D"/>
    <w:rPr>
      <w:color w:val="954F72" w:themeColor="followedHyperlink"/>
      <w:u w:val="single"/>
    </w:rPr>
  </w:style>
  <w:style w:type="character" w:styleId="IntenseReference">
    <w:name w:val="Intense Reference"/>
    <w:basedOn w:val="DefaultParagraphFont"/>
    <w:uiPriority w:val="32"/>
    <w:qFormat/>
    <w:rsid w:val="006E41BC"/>
    <w:rPr>
      <w:b/>
      <w:bCs/>
      <w:smallCaps/>
      <w:color w:val="5B9BD5" w:themeColor="accent1"/>
      <w:spacing w:val="5"/>
    </w:rPr>
  </w:style>
  <w:style w:type="character" w:customStyle="1" w:styleId="Heading3Char">
    <w:name w:val="Heading 3 Char"/>
    <w:basedOn w:val="DefaultParagraphFont"/>
    <w:link w:val="Heading3"/>
    <w:rsid w:val="00A82A81"/>
    <w:rPr>
      <w:rFonts w:ascii="Calibri Light" w:hAnsi="Calibri Light" w:cs="Calibri Light"/>
      <w:color w:val="44546A" w:themeColor="text2"/>
      <w:sz w:val="32"/>
      <w:szCs w:val="32"/>
    </w:rPr>
  </w:style>
  <w:style w:type="character" w:customStyle="1" w:styleId="Heading4Char">
    <w:name w:val="Heading 4 Char"/>
    <w:basedOn w:val="DefaultParagraphFont"/>
    <w:link w:val="Heading4"/>
    <w:uiPriority w:val="9"/>
    <w:rsid w:val="000000A6"/>
    <w:rPr>
      <w:rFonts w:ascii="Arial" w:eastAsia="Times New Roman" w:hAnsi="Arial" w:cs="Times New Roman"/>
      <w:sz w:val="24"/>
      <w:szCs w:val="24"/>
    </w:rPr>
  </w:style>
  <w:style w:type="paragraph" w:styleId="NoSpacing">
    <w:name w:val="No Spacing"/>
    <w:basedOn w:val="List2"/>
    <w:link w:val="NoSpacingChar"/>
    <w:uiPriority w:val="1"/>
    <w:qFormat/>
    <w:rsid w:val="007703FB"/>
    <w:pPr>
      <w:numPr>
        <w:numId w:val="0"/>
      </w:numPr>
      <w:spacing w:after="240"/>
    </w:pPr>
    <w:rPr>
      <w:rFonts w:ascii="Arial" w:hAnsi="Arial" w:cs="Arial"/>
      <w:sz w:val="22"/>
      <w:szCs w:val="22"/>
    </w:rPr>
  </w:style>
  <w:style w:type="character" w:customStyle="1" w:styleId="Heading5Char">
    <w:name w:val="Heading 5 Char"/>
    <w:basedOn w:val="DefaultParagraphFont"/>
    <w:link w:val="Heading5"/>
    <w:uiPriority w:val="9"/>
    <w:rsid w:val="007703FB"/>
    <w:rPr>
      <w:rFonts w:ascii="Arial" w:hAnsi="Arial" w:cs="Arial"/>
      <w:b/>
    </w:rPr>
  </w:style>
  <w:style w:type="paragraph" w:styleId="Quote">
    <w:name w:val="Quote"/>
    <w:basedOn w:val="Normal"/>
    <w:next w:val="Normal"/>
    <w:link w:val="QuoteChar"/>
    <w:uiPriority w:val="29"/>
    <w:qFormat/>
    <w:rsid w:val="0018182F"/>
    <w:pPr>
      <w:numPr>
        <w:ilvl w:val="1"/>
        <w:numId w:val="11"/>
      </w:numPr>
    </w:pPr>
  </w:style>
  <w:style w:type="character" w:customStyle="1" w:styleId="QuoteChar">
    <w:name w:val="Quote Char"/>
    <w:basedOn w:val="DefaultParagraphFont"/>
    <w:link w:val="Quote"/>
    <w:uiPriority w:val="29"/>
    <w:rsid w:val="0018182F"/>
    <w:rPr>
      <w:rFonts w:ascii="Arial" w:hAnsi="Arial" w:cs="Arial"/>
    </w:rPr>
  </w:style>
  <w:style w:type="paragraph" w:styleId="TOC3">
    <w:name w:val="toc 3"/>
    <w:basedOn w:val="Normal"/>
    <w:next w:val="Normal"/>
    <w:autoRedefine/>
    <w:uiPriority w:val="39"/>
    <w:unhideWhenUsed/>
    <w:rsid w:val="00C046B9"/>
    <w:pPr>
      <w:spacing w:after="100"/>
      <w:ind w:left="440"/>
    </w:pPr>
  </w:style>
  <w:style w:type="character" w:customStyle="1" w:styleId="Heading6Char">
    <w:name w:val="Heading 6 Char"/>
    <w:basedOn w:val="DefaultParagraphFont"/>
    <w:link w:val="Heading6"/>
    <w:uiPriority w:val="9"/>
    <w:rsid w:val="006E7EBC"/>
    <w:rPr>
      <w:rFonts w:ascii="Arial" w:hAnsi="Arial" w:cs="Arial"/>
      <w:b/>
      <w:i/>
    </w:rPr>
  </w:style>
  <w:style w:type="character" w:customStyle="1" w:styleId="NoSpacingChar">
    <w:name w:val="No Spacing Char"/>
    <w:basedOn w:val="DefaultParagraphFont"/>
    <w:link w:val="NoSpacing"/>
    <w:uiPriority w:val="1"/>
    <w:rsid w:val="00EC1AD7"/>
    <w:rPr>
      <w:rFonts w:ascii="Arial" w:eastAsia="Times New Roman" w:hAnsi="Arial" w:cs="Arial"/>
      <w:lang w:eastAsia="en-AU"/>
    </w:rPr>
  </w:style>
  <w:style w:type="paragraph" w:customStyle="1" w:styleId="Level2">
    <w:name w:val="Level 2"/>
    <w:basedOn w:val="ListParagraph"/>
    <w:link w:val="Level2Char"/>
    <w:qFormat/>
    <w:rsid w:val="003C596C"/>
    <w:pPr>
      <w:numPr>
        <w:ilvl w:val="1"/>
        <w:numId w:val="19"/>
      </w:numPr>
      <w:spacing w:after="120" w:line="276" w:lineRule="auto"/>
    </w:pPr>
    <w:rPr>
      <w:rFonts w:asciiTheme="minorHAnsi" w:eastAsiaTheme="minorHAnsi" w:hAnsiTheme="minorHAnsi" w:cstheme="minorHAnsi"/>
      <w:sz w:val="22"/>
      <w:szCs w:val="22"/>
      <w:lang w:eastAsia="en-US"/>
    </w:rPr>
  </w:style>
  <w:style w:type="character" w:customStyle="1" w:styleId="Level2Char">
    <w:name w:val="Level 2 Char"/>
    <w:basedOn w:val="DefaultParagraphFont"/>
    <w:link w:val="Level2"/>
    <w:rsid w:val="003C596C"/>
    <w:rPr>
      <w:rFonts w:cstheme="minorHAnsi"/>
    </w:rPr>
  </w:style>
  <w:style w:type="paragraph" w:customStyle="1" w:styleId="Level3">
    <w:name w:val="Level 3"/>
    <w:basedOn w:val="ListParagraph"/>
    <w:link w:val="Level3Char"/>
    <w:qFormat/>
    <w:rsid w:val="003C596C"/>
    <w:pPr>
      <w:numPr>
        <w:ilvl w:val="2"/>
        <w:numId w:val="19"/>
      </w:numPr>
      <w:spacing w:after="120" w:line="276" w:lineRule="auto"/>
    </w:pPr>
    <w:rPr>
      <w:rFonts w:asciiTheme="minorHAnsi" w:eastAsiaTheme="minorHAnsi" w:hAnsiTheme="minorHAnsi" w:cstheme="minorHAnsi"/>
      <w:sz w:val="22"/>
      <w:szCs w:val="22"/>
      <w:lang w:eastAsia="en-US"/>
    </w:rPr>
  </w:style>
  <w:style w:type="character" w:customStyle="1" w:styleId="Level3Char">
    <w:name w:val="Level 3 Char"/>
    <w:basedOn w:val="DefaultParagraphFont"/>
    <w:link w:val="Level3"/>
    <w:rsid w:val="003C596C"/>
    <w:rPr>
      <w:rFonts w:cstheme="minorHAnsi"/>
    </w:rPr>
  </w:style>
  <w:style w:type="paragraph" w:customStyle="1" w:styleId="Level4">
    <w:name w:val="Level 4"/>
    <w:basedOn w:val="ListParagraph"/>
    <w:link w:val="Level4Char"/>
    <w:qFormat/>
    <w:rsid w:val="003C596C"/>
    <w:pPr>
      <w:numPr>
        <w:ilvl w:val="3"/>
        <w:numId w:val="19"/>
      </w:numPr>
      <w:spacing w:after="120" w:line="276" w:lineRule="auto"/>
    </w:pPr>
    <w:rPr>
      <w:rFonts w:asciiTheme="minorHAnsi" w:eastAsiaTheme="minorHAnsi" w:hAnsiTheme="minorHAnsi" w:cstheme="minorHAnsi"/>
      <w:sz w:val="22"/>
      <w:szCs w:val="22"/>
      <w:lang w:eastAsia="en-US"/>
    </w:rPr>
  </w:style>
  <w:style w:type="character" w:customStyle="1" w:styleId="Level4Char">
    <w:name w:val="Level 4 Char"/>
    <w:basedOn w:val="DefaultParagraphFont"/>
    <w:link w:val="Level4"/>
    <w:rsid w:val="003C596C"/>
    <w:rPr>
      <w:rFonts w:cstheme="minorHAnsi"/>
    </w:rPr>
  </w:style>
  <w:style w:type="character" w:styleId="UnresolvedMention">
    <w:name w:val="Unresolved Mention"/>
    <w:basedOn w:val="DefaultParagraphFont"/>
    <w:uiPriority w:val="99"/>
    <w:semiHidden/>
    <w:unhideWhenUsed/>
    <w:rsid w:val="00180DAC"/>
    <w:rPr>
      <w:color w:val="605E5C"/>
      <w:shd w:val="clear" w:color="auto" w:fill="E1DFDD"/>
    </w:rPr>
  </w:style>
  <w:style w:type="paragraph" w:styleId="Revision">
    <w:name w:val="Revision"/>
    <w:hidden/>
    <w:uiPriority w:val="99"/>
    <w:semiHidden/>
    <w:rsid w:val="00C17F1F"/>
    <w:pPr>
      <w:spacing w:after="0" w:line="240" w:lineRule="auto"/>
    </w:pPr>
    <w:rPr>
      <w:rFonts w:ascii="Arial" w:hAnsi="Arial" w:cs="Arial"/>
    </w:rPr>
  </w:style>
  <w:style w:type="character" w:styleId="Strong">
    <w:name w:val="Strong"/>
    <w:uiPriority w:val="22"/>
    <w:qFormat/>
    <w:rsid w:val="001F4A12"/>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04439">
      <w:bodyDiv w:val="1"/>
      <w:marLeft w:val="0"/>
      <w:marRight w:val="0"/>
      <w:marTop w:val="0"/>
      <w:marBottom w:val="0"/>
      <w:divBdr>
        <w:top w:val="none" w:sz="0" w:space="0" w:color="auto"/>
        <w:left w:val="none" w:sz="0" w:space="0" w:color="auto"/>
        <w:bottom w:val="none" w:sz="0" w:space="0" w:color="auto"/>
        <w:right w:val="none" w:sz="0" w:space="0" w:color="auto"/>
      </w:divBdr>
    </w:div>
    <w:div w:id="209034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au/Series/C2006A00014" TargetMode="External"/><Relationship Id="rId21" Type="http://schemas.openxmlformats.org/officeDocument/2006/relationships/hyperlink" Target="https://www.legislation.gov.au/Series/C2006A00014" TargetMode="External"/><Relationship Id="rId42" Type="http://schemas.openxmlformats.org/officeDocument/2006/relationships/hyperlink" Target="https://www.nopta.gov.au" TargetMode="External"/><Relationship Id="rId47" Type="http://schemas.openxmlformats.org/officeDocument/2006/relationships/hyperlink" Target="https://www.legislation.gov.au/Series/C2006A00014" TargetMode="External"/><Relationship Id="rId63" Type="http://schemas.openxmlformats.org/officeDocument/2006/relationships/hyperlink" Target="https://www.legislation.gov.au/Series/C2006A00014" TargetMode="External"/><Relationship Id="rId68" Type="http://schemas.openxmlformats.org/officeDocument/2006/relationships/hyperlink" Target="https://www.legislation.gov.au/Series/C2006A00014" TargetMode="External"/><Relationship Id="rId84" Type="http://schemas.openxmlformats.org/officeDocument/2006/relationships/hyperlink" Target="https://www.legislation.gov.au/Series/C2006A00014" TargetMode="External"/><Relationship Id="rId89" Type="http://schemas.openxmlformats.org/officeDocument/2006/relationships/hyperlink" Target="https://www.legislation.gov.au/search/status(InForce)/collection(Gazette)" TargetMode="External"/><Relationship Id="rId16" Type="http://schemas.openxmlformats.org/officeDocument/2006/relationships/hyperlink" Target="https://www.nopta.gov.au/" TargetMode="External"/><Relationship Id="rId11" Type="http://schemas.openxmlformats.org/officeDocument/2006/relationships/endnotes" Target="endnotes.xml"/><Relationship Id="rId32" Type="http://schemas.openxmlformats.org/officeDocument/2006/relationships/hyperlink" Target="https://www.legislation.gov.au/Series/C2006A00014" TargetMode="External"/><Relationship Id="rId37" Type="http://schemas.openxmlformats.org/officeDocument/2006/relationships/hyperlink" Target="https://www.legislation.gov.au/Series/C2006A00014" TargetMode="External"/><Relationship Id="rId53" Type="http://schemas.openxmlformats.org/officeDocument/2006/relationships/hyperlink" Target="https://www.legislation.gov.au/Series/C2006A00014" TargetMode="External"/><Relationship Id="rId58" Type="http://schemas.openxmlformats.org/officeDocument/2006/relationships/hyperlink" Target="https://www.legislation.gov.au/Series/C2006A00014" TargetMode="External"/><Relationship Id="rId74" Type="http://schemas.openxmlformats.org/officeDocument/2006/relationships/hyperlink" Target="https://www.legislation.gov.au/Series/C2006A00014" TargetMode="External"/><Relationship Id="rId79" Type="http://schemas.openxmlformats.org/officeDocument/2006/relationships/hyperlink" Target="https://www.nopsema.gov.au/" TargetMode="External"/><Relationship Id="rId102" Type="http://schemas.openxmlformats.org/officeDocument/2006/relationships/footer" Target="footer4.xml"/><Relationship Id="rId5" Type="http://schemas.openxmlformats.org/officeDocument/2006/relationships/customXml" Target="../customXml/item5.xml"/><Relationship Id="rId90" Type="http://schemas.openxmlformats.org/officeDocument/2006/relationships/hyperlink" Target="https://www.legislation.gov.au/Series/C2006A00014" TargetMode="External"/><Relationship Id="rId95" Type="http://schemas.openxmlformats.org/officeDocument/2006/relationships/footer" Target="footer2.xml"/><Relationship Id="rId22" Type="http://schemas.openxmlformats.org/officeDocument/2006/relationships/hyperlink" Target="https://www.legislation.gov.au/Series/C2006A00014" TargetMode="External"/><Relationship Id="rId27" Type="http://schemas.openxmlformats.org/officeDocument/2006/relationships/hyperlink" Target="https://www.nopta.gov.au" TargetMode="External"/><Relationship Id="rId43" Type="http://schemas.openxmlformats.org/officeDocument/2006/relationships/hyperlink" Target="https://www.legislation.gov.au/Series/C2006A00014" TargetMode="External"/><Relationship Id="rId48" Type="http://schemas.openxmlformats.org/officeDocument/2006/relationships/hyperlink" Target="https://www.legislation.gov.au/Series/C2006A00014" TargetMode="External"/><Relationship Id="rId64" Type="http://schemas.openxmlformats.org/officeDocument/2006/relationships/hyperlink" Target="https://www.legislation.gov.au/Series/C2006A00014" TargetMode="External"/><Relationship Id="rId69" Type="http://schemas.openxmlformats.org/officeDocument/2006/relationships/hyperlink" Target="https://www.legislation.gov.au/Series/C2006A00014" TargetMode="External"/><Relationship Id="rId80" Type="http://schemas.openxmlformats.org/officeDocument/2006/relationships/hyperlink" Target="https://www.legislation.gov.au/Series/C2006A00014" TargetMode="External"/><Relationship Id="rId85" Type="http://schemas.openxmlformats.org/officeDocument/2006/relationships/hyperlink" Target="https://www.legislation.gov.au/Series/C2006A00014" TargetMode="External"/><Relationship Id="rId12" Type="http://schemas.openxmlformats.org/officeDocument/2006/relationships/image" Target="media/image1.png"/><Relationship Id="rId17" Type="http://schemas.openxmlformats.org/officeDocument/2006/relationships/hyperlink" Target="https://www.legislation.gov.au/Series/C2006A00014" TargetMode="External"/><Relationship Id="rId33" Type="http://schemas.openxmlformats.org/officeDocument/2006/relationships/hyperlink" Target="https://www.legislation.gov.au/Series/C2006A00014" TargetMode="External"/><Relationship Id="rId38" Type="http://schemas.openxmlformats.org/officeDocument/2006/relationships/hyperlink" Target="https://www.legislation.gov.au/Series/C2006A00014" TargetMode="External"/><Relationship Id="rId59" Type="http://schemas.openxmlformats.org/officeDocument/2006/relationships/hyperlink" Target="https://www.legislation.gov.au/Series/C2006A00014" TargetMode="External"/><Relationship Id="rId103" Type="http://schemas.openxmlformats.org/officeDocument/2006/relationships/header" Target="header4.xml"/><Relationship Id="rId20" Type="http://schemas.openxmlformats.org/officeDocument/2006/relationships/hyperlink" Target="https://www.legislation.gov.au/Series/C2006A00014" TargetMode="External"/><Relationship Id="rId41" Type="http://schemas.openxmlformats.org/officeDocument/2006/relationships/hyperlink" Target="https://www.legislation.gov.au/Series/C2006A00014" TargetMode="External"/><Relationship Id="rId54" Type="http://schemas.openxmlformats.org/officeDocument/2006/relationships/hyperlink" Target="https://www.legislation.gov.au/Series/C2006A00014" TargetMode="External"/><Relationship Id="rId62" Type="http://schemas.openxmlformats.org/officeDocument/2006/relationships/hyperlink" Target="https://www.legislation.gov.au/Series/C2006A00014" TargetMode="External"/><Relationship Id="rId70" Type="http://schemas.openxmlformats.org/officeDocument/2006/relationships/hyperlink" Target="https://www.legislation.gov.au/F2023L01551/asmade/versions" TargetMode="External"/><Relationship Id="rId75" Type="http://schemas.openxmlformats.org/officeDocument/2006/relationships/hyperlink" Target="https://www.legislation.gov.au/Series/C2006A00014" TargetMode="External"/><Relationship Id="rId83" Type="http://schemas.openxmlformats.org/officeDocument/2006/relationships/hyperlink" Target="https://www.legislation.gov.au/Series/C2006A00014" TargetMode="External"/><Relationship Id="rId88" Type="http://schemas.openxmlformats.org/officeDocument/2006/relationships/hyperlink" Target="https://www.legislation.gov.au/Series/C2006A00014" TargetMode="External"/><Relationship Id="rId91" Type="http://schemas.openxmlformats.org/officeDocument/2006/relationships/hyperlink" Target="https://www.legislation.gov.au/Series/C2006A00014"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ndustry.gov.au/" TargetMode="External"/><Relationship Id="rId23" Type="http://schemas.openxmlformats.org/officeDocument/2006/relationships/hyperlink" Target="https://www.legislation.gov.au/Series/C2006A00014" TargetMode="External"/><Relationship Id="rId28" Type="http://schemas.openxmlformats.org/officeDocument/2006/relationships/hyperlink" Target="https://www.legislation.gov.au/Series/C2006A00014" TargetMode="External"/><Relationship Id="rId36" Type="http://schemas.openxmlformats.org/officeDocument/2006/relationships/hyperlink" Target="https://www.legislation.gov.au/Series/C2006A00014" TargetMode="External"/><Relationship Id="rId49" Type="http://schemas.openxmlformats.org/officeDocument/2006/relationships/hyperlink" Target="https://www.nopta.gov.au/guidelines-and-factsheets/offshore-petroleum-guidelines.html" TargetMode="External"/><Relationship Id="rId57" Type="http://schemas.openxmlformats.org/officeDocument/2006/relationships/hyperlink" Target="https://www.legislation.gov.au/Series/C2006A00014" TargetMode="External"/><Relationship Id="rId106"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legislation.gov.au/F2023L01551/asmade/versions" TargetMode="External"/><Relationship Id="rId44" Type="http://schemas.openxmlformats.org/officeDocument/2006/relationships/hyperlink" Target="https://www.legislation.gov.au/Series/C2006A00014" TargetMode="External"/><Relationship Id="rId52" Type="http://schemas.openxmlformats.org/officeDocument/2006/relationships/hyperlink" Target="https://www.legislation.gov.au/Series/C2006A00014" TargetMode="External"/><Relationship Id="rId60" Type="http://schemas.openxmlformats.org/officeDocument/2006/relationships/hyperlink" Target="https://www.legislation.gov.au/Series/C2006A00014" TargetMode="External"/><Relationship Id="rId65" Type="http://schemas.openxmlformats.org/officeDocument/2006/relationships/hyperlink" Target="https://www.legislation.gov.au/Series/C2006A00014" TargetMode="External"/><Relationship Id="rId73" Type="http://schemas.openxmlformats.org/officeDocument/2006/relationships/hyperlink" Target="https://www.legislation.gov.au/F2023L01551/asmade/versions" TargetMode="External"/><Relationship Id="rId78" Type="http://schemas.openxmlformats.org/officeDocument/2006/relationships/hyperlink" Target="https://www.nopta.gov.au" TargetMode="External"/><Relationship Id="rId81" Type="http://schemas.openxmlformats.org/officeDocument/2006/relationships/hyperlink" Target="https://www.legislation.gov.au/Series/C2006A00014" TargetMode="External"/><Relationship Id="rId86" Type="http://schemas.openxmlformats.org/officeDocument/2006/relationships/hyperlink" Target="https://www.nopta.gov.au" TargetMode="External"/><Relationship Id="rId94" Type="http://schemas.openxmlformats.org/officeDocument/2006/relationships/footer" Target="footer1.xml"/><Relationship Id="rId99" Type="http://schemas.openxmlformats.org/officeDocument/2006/relationships/hyperlink" Target="https://www.legislation.gov.au/Series/C2006A00014" TargetMode="Externa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https://www.legislation.gov.au/F2023L01551/asmade/versions" TargetMode="External"/><Relationship Id="rId39" Type="http://schemas.openxmlformats.org/officeDocument/2006/relationships/hyperlink" Target="https://www.legislation.gov.au/Series/C2006A00014" TargetMode="External"/><Relationship Id="rId34" Type="http://schemas.openxmlformats.org/officeDocument/2006/relationships/hyperlink" Target="https://www.legislation.gov.au/Series/C2006A00014" TargetMode="External"/><Relationship Id="rId50" Type="http://schemas.openxmlformats.org/officeDocument/2006/relationships/hyperlink" Target="https://www.legislation.gov.au/Series/C2006A00014" TargetMode="External"/><Relationship Id="rId55" Type="http://schemas.openxmlformats.org/officeDocument/2006/relationships/hyperlink" Target="https://www.legislation.gov.au/Series/C2006A00014" TargetMode="External"/><Relationship Id="rId76" Type="http://schemas.openxmlformats.org/officeDocument/2006/relationships/hyperlink" Target="https://www.legislation.gov.au/Series/C2006A00014" TargetMode="External"/><Relationship Id="rId97" Type="http://schemas.openxmlformats.org/officeDocument/2006/relationships/footer" Target="footer3.xml"/><Relationship Id="rId104" Type="http://schemas.openxmlformats.org/officeDocument/2006/relationships/footer" Target="footer5.xml"/><Relationship Id="rId7" Type="http://schemas.openxmlformats.org/officeDocument/2006/relationships/styles" Target="styles.xml"/><Relationship Id="rId71" Type="http://schemas.openxmlformats.org/officeDocument/2006/relationships/hyperlink" Target="https://www.legislation.gov.au/Series/C2006A00014" TargetMode="External"/><Relationship Id="rId92" Type="http://schemas.openxmlformats.org/officeDocument/2006/relationships/hyperlink" Target="https://www.legislation.gov.au/F2023L01551/asmade/versions" TargetMode="External"/><Relationship Id="rId2" Type="http://schemas.openxmlformats.org/officeDocument/2006/relationships/customXml" Target="../customXml/item2.xml"/><Relationship Id="rId29" Type="http://schemas.openxmlformats.org/officeDocument/2006/relationships/hyperlink" Target="https://www.nopta.gov.au" TargetMode="External"/><Relationship Id="rId24" Type="http://schemas.openxmlformats.org/officeDocument/2006/relationships/hyperlink" Target="https://www.legislation.gov.au/Series/C2006A00014" TargetMode="External"/><Relationship Id="rId40" Type="http://schemas.openxmlformats.org/officeDocument/2006/relationships/hyperlink" Target="https://www.legislation.gov.au/Series/C2006A00014" TargetMode="External"/><Relationship Id="rId45" Type="http://schemas.openxmlformats.org/officeDocument/2006/relationships/hyperlink" Target="https://www.legislation.gov.au/Series/C2006A00014" TargetMode="External"/><Relationship Id="rId66" Type="http://schemas.openxmlformats.org/officeDocument/2006/relationships/hyperlink" Target="https://www.legislation.gov.au/Series/C2006A00014" TargetMode="External"/><Relationship Id="rId87" Type="http://schemas.openxmlformats.org/officeDocument/2006/relationships/hyperlink" Target="https://www.legislation.gov.au/Series/C2006A00014" TargetMode="External"/><Relationship Id="rId61" Type="http://schemas.openxmlformats.org/officeDocument/2006/relationships/hyperlink" Target="https://www.legislation.gov.au/Series/C2006A00014" TargetMode="External"/><Relationship Id="rId82" Type="http://schemas.openxmlformats.org/officeDocument/2006/relationships/hyperlink" Target="https://www.legislation.gov.au/Series/C2006A00014" TargetMode="External"/><Relationship Id="rId19" Type="http://schemas.openxmlformats.org/officeDocument/2006/relationships/hyperlink" Target="https://www.legislation.gov.au/Series/C2006A00014" TargetMode="External"/><Relationship Id="rId14" Type="http://schemas.openxmlformats.org/officeDocument/2006/relationships/hyperlink" Target="https://www.legislation.gov.au/C2006A00014/latest/versions" TargetMode="External"/><Relationship Id="rId30" Type="http://schemas.openxmlformats.org/officeDocument/2006/relationships/hyperlink" Target="https://www.legislation.gov.au/Series/C2006A00014" TargetMode="External"/><Relationship Id="rId35" Type="http://schemas.openxmlformats.org/officeDocument/2006/relationships/hyperlink" Target="https://www.legislation.gov.au/Series/C2006A00014" TargetMode="External"/><Relationship Id="rId56" Type="http://schemas.openxmlformats.org/officeDocument/2006/relationships/hyperlink" Target="https://www.legislation.gov.au/Series/C2006A00014" TargetMode="External"/><Relationship Id="rId77" Type="http://schemas.openxmlformats.org/officeDocument/2006/relationships/hyperlink" Target="https://www.nopta.gov.au" TargetMode="External"/><Relationship Id="rId100" Type="http://schemas.openxmlformats.org/officeDocument/2006/relationships/hyperlink" Target="https://www.legislation.gov.au/Series/C2006A00014" TargetMode="External"/><Relationship Id="rId105"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legislation.gov.au/Series/C2006A00014" TargetMode="External"/><Relationship Id="rId72" Type="http://schemas.openxmlformats.org/officeDocument/2006/relationships/hyperlink" Target="https://www.legislation.gov.au/F2023L01551/asmade/versions" TargetMode="External"/><Relationship Id="rId93" Type="http://schemas.openxmlformats.org/officeDocument/2006/relationships/header" Target="header1.xml"/><Relationship Id="rId98" Type="http://schemas.openxmlformats.org/officeDocument/2006/relationships/hyperlink" Target="https://www.legislation.gov.au/F2023L01551/asmade/versions" TargetMode="External"/><Relationship Id="rId3" Type="http://schemas.openxmlformats.org/officeDocument/2006/relationships/customXml" Target="../customXml/item3.xml"/><Relationship Id="rId25" Type="http://schemas.openxmlformats.org/officeDocument/2006/relationships/hyperlink" Target="https://www.legislation.gov.au/Series/C2006A00014" TargetMode="External"/><Relationship Id="rId46" Type="http://schemas.openxmlformats.org/officeDocument/2006/relationships/hyperlink" Target="https://www.legislation.gov.au/Series/C2006A00014" TargetMode="External"/><Relationship Id="rId67" Type="http://schemas.openxmlformats.org/officeDocument/2006/relationships/hyperlink" Target="https://www.legislation.gov.au/Series/C2006A0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82F786EBCAC43A8AD5D89DA53274F" ma:contentTypeVersion="30" ma:contentTypeDescription="Create a new document." ma:contentTypeScope="" ma:versionID="014ba09931f3fac0fc92a0b2091f19ed">
  <xsd:schema xmlns:xsd="http://www.w3.org/2001/XMLSchema" xmlns:xs="http://www.w3.org/2001/XMLSchema" xmlns:p="http://schemas.microsoft.com/office/2006/metadata/properties" xmlns:ns1="http://schemas.microsoft.com/sharepoint/v3" xmlns:ns2="76c08405-89e9-4c57-a585-b31d7bded94b" xmlns:ns3="http://schemas.microsoft.com/sharepoint/v4" targetNamespace="http://schemas.microsoft.com/office/2006/metadata/properties" ma:root="true" ma:fieldsID="e38674a36af673826b7469b1db87d3a2" ns1:_="" ns2:_="" ns3:_="">
    <xsd:import namespace="http://schemas.microsoft.com/sharepoint/v3"/>
    <xsd:import namespace="76c08405-89e9-4c57-a585-b31d7bded94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g04c65e7758e4a9bb076ed3b2f3b54e3" minOccurs="0"/>
                <xsd:element ref="ns2:g7cee4c3f49f4a8d957fe196d6fcc5b5" minOccurs="0"/>
                <xsd:element ref="ns2:d34056e35d444dee82a795b7b19350c2" minOccurs="0"/>
                <xsd:element ref="ns2:d8e408ae2551469fa177069ace196e9c" minOccurs="0"/>
                <xsd:element ref="ns2:k34f87f5f1f24dafa503ace013459550" minOccurs="0"/>
                <xsd:element ref="ns2:f26de360fc5e40c78d93b560b6cc664b" minOccurs="0"/>
                <xsd:element ref="ns2:e63cd534a94446d68abe1904a0bcdfb2"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c5ba17a-3f2a-4545-afd8-a313ff44f94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04c65e7758e4a9bb076ed3b2f3b54e3" ma:index="24" nillable="true" ma:taxonomy="true" ma:internalName="g04c65e7758e4a9bb076ed3b2f3b54e3" ma:taxonomyFieldName="DocHub_EnergyMineralResources" ma:displayName="Energy / Mineral Resources" ma:fieldId="{004c65e7-758e-4a9b-b076-ed3b2f3b54e3}" ma:taxonomyMulti="true" ma:sspId="fb0313f7-9433-48c0-866e-9e0bbee59a50" ma:termSetId="04ad5cb7-9a30-443d-bd7a-a524a8ff2361" ma:anchorId="00000000-0000-0000-0000-000000000000" ma:open="true" ma:isKeyword="false">
      <xsd:complexType>
        <xsd:sequence>
          <xsd:element ref="pc:Terms" minOccurs="0" maxOccurs="1"/>
        </xsd:sequence>
      </xsd:complexType>
    </xsd:element>
    <xsd:element name="g7cee4c3f49f4a8d957fe196d6fcc5b5" ma:index="26"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34056e35d444dee82a795b7b19350c2" ma:index="28"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8e408ae2551469fa177069ace196e9c" ma:index="30" nillable="true" ma:taxonomy="true" ma:internalName="d8e408ae2551469fa177069ace196e9c" ma:taxonomyFieldName="DocHub_RegionCountry" ma:displayName="Region / Country" ma:fieldId="{d8e408ae-2551-469f-a177-069ace196e9c}" ma:sspId="fb0313f7-9433-48c0-866e-9e0bbee59a50" ma:termSetId="dfb3c815-0d58-4d79-855d-8ebb6c91cf6d" ma:anchorId="00000000-0000-0000-0000-000000000000" ma:open="false" ma:isKeyword="false">
      <xsd:complexType>
        <xsd:sequence>
          <xsd:element ref="pc:Terms" minOccurs="0" maxOccurs="1"/>
        </xsd:sequence>
      </xsd:complexType>
    </xsd:element>
    <xsd:element name="k34f87f5f1f24dafa503ace013459550" ma:index="32" nillable="true" ma:taxonomy="true" ma:internalName="k34f87f5f1f24dafa503ace013459550" ma:taxonomyFieldName="DocHub_State" ma:displayName="State" ma:fieldId="{434f87f5-f1f2-4daf-a503-ace013459550}" ma:sspId="fb0313f7-9433-48c0-866e-9e0bbee59a50" ma:termSetId="02c17606-9a55-462b-9271-46ecf30c2934" ma:anchorId="00000000-0000-0000-0000-000000000000" ma:open="false" ma:isKeyword="false">
      <xsd:complexType>
        <xsd:sequence>
          <xsd:element ref="pc:Terms" minOccurs="0" maxOccurs="1"/>
        </xsd:sequence>
      </xsd:complexType>
    </xsd:element>
    <xsd:element name="f26de360fc5e40c78d93b560b6cc664b" ma:index="34" nillable="true" ma:taxonomy="true" ma:internalName="f26de360fc5e40c78d93b560b6cc664b" ma:taxonomyFieldName="DocHub_GroupsOtherEntities" ma:displayName="Groups / Other Entities" ma:fieldId="{f26de360-fc5e-40c7-8d93-b560b6cc664b}" ma:taxonomyMulti="true" ma:sspId="fb0313f7-9433-48c0-866e-9e0bbee59a50" ma:termSetId="a019fd78-46ff-411c-95b3-78e7427bf7f0" ma:anchorId="00000000-0000-0000-0000-000000000000" ma:open="true" ma:isKeyword="false">
      <xsd:complexType>
        <xsd:sequence>
          <xsd:element ref="pc:Terms" minOccurs="0" maxOccurs="1"/>
        </xsd:sequence>
      </xsd:complexType>
    </xsd:element>
    <xsd:element name="e63cd534a94446d68abe1904a0bcdfb2" ma:index="36" nillable="true" ma:taxonomy="true" ma:internalName="e63cd534a94446d68abe1904a0bcdfb2" ma:taxonomyFieldName="DocHub_WorkTopic" ma:displayName="Work Topic" ma:indexed="true"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element name="SharedWithUsers" ma:index="3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f26de360fc5e40c78d93b560b6cc664b xmlns="76c08405-89e9-4c57-a585-b31d7bded94b">
      <Terms xmlns="http://schemas.microsoft.com/office/infopath/2007/PartnerControls"/>
    </f26de360fc5e40c78d93b560b6cc664b>
    <aa25a1a23adf4c92a153145de6afe324 xmlns="76c08405-89e9-4c57-a585-b31d7bded94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 xmlns="http://schemas.microsoft.com/office/infopath/2007/PartnerControls">Administrative Guidelines</TermName>
          <TermId xmlns="http://schemas.microsoft.com/office/infopath/2007/PartnerControls">f07964ad-13ca-4d49-8baf-8456f5b7da2d</TermId>
        </TermInfo>
      </Terms>
    </e63cd534a94446d68abe1904a0bcdfb2>
    <adb9bed2e36e4a93af574aeb444da63e xmlns="76c08405-89e9-4c57-a585-b31d7bded94b">
      <Terms xmlns="http://schemas.microsoft.com/office/infopath/2007/PartnerControls"/>
    </adb9bed2e36e4a93af574aeb444da63e>
    <g7cee4c3f49f4a8d957fe196d6fcc5b5 xmlns="76c08405-89e9-4c57-a585-b31d7bded94b">
      <Terms xmlns="http://schemas.microsoft.com/office/infopath/2007/PartnerControls"/>
    </g7cee4c3f49f4a8d957fe196d6fcc5b5>
    <k34f87f5f1f24dafa503ace013459550 xmlns="76c08405-89e9-4c57-a585-b31d7bded94b">
      <Terms xmlns="http://schemas.microsoft.com/office/infopath/2007/PartnerControls"/>
    </k34f87f5f1f24dafa503ace013459550>
    <pe2555c81638466f9eb614edb9ecde52 xmlns="76c08405-89e9-4c57-a585-b31d7bded94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n99e4c9942c6404eb103464a00e6097b xmlns="76c08405-89e9-4c57-a585-b31d7bded94b">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1efc169e-4afb-45b1-acf9-0c320b928901</TermId>
        </TermInfo>
      </Terms>
    </n99e4c9942c6404eb103464a00e6097b>
    <IconOverlay xmlns="http://schemas.microsoft.com/sharepoint/v4" xsi:nil="true"/>
    <TaxCatchAll xmlns="76c08405-89e9-4c57-a585-b31d7bded94b">
      <Value>909</Value>
      <Value>81</Value>
      <Value>445</Value>
      <Value>5401</Value>
      <Value>1</Value>
    </TaxCatchAll>
    <d34056e35d444dee82a795b7b19350c2 xmlns="76c08405-89e9-4c57-a585-b31d7bded94b">
      <Terms xmlns="http://schemas.microsoft.com/office/infopath/2007/PartnerControls"/>
    </d34056e35d444dee82a795b7b19350c2>
    <g7bcb40ba23249a78edca7d43a67c1c9 xmlns="76c08405-89e9-4c57-a585-b31d7bded94b">
      <Terms xmlns="http://schemas.microsoft.com/office/infopath/2007/PartnerControls">
        <TermInfo xmlns="http://schemas.microsoft.com/office/infopath/2007/PartnerControls">
          <TermName xmlns="http://schemas.microsoft.com/office/infopath/2007/PartnerControls">Website Content Management</TermName>
          <TermId xmlns="http://schemas.microsoft.com/office/infopath/2007/PartnerControls">737bdabb-9ecb-4c8a-b82a-6abec0eb2cd1</TermId>
        </TermInfo>
      </Terms>
    </g7bcb40ba23249a78edca7d43a67c1c9>
    <g04c65e7758e4a9bb076ed3b2f3b54e3 xmlns="76c08405-89e9-4c57-a585-b31d7bded94b">
      <Terms xmlns="http://schemas.microsoft.com/office/infopath/2007/PartnerControls"/>
    </g04c65e7758e4a9bb076ed3b2f3b54e3>
    <d8e408ae2551469fa177069ace196e9c xmlns="76c08405-89e9-4c57-a585-b31d7bded94b">
      <Terms xmlns="http://schemas.microsoft.com/office/infopath/2007/PartnerControls"/>
    </d8e408ae2551469fa177069ace196e9c>
    <Comments xmlns="http://schemas.microsoft.com/sharepoint/v3" xsi:nil="true"/>
    <_dlc_DocId xmlns="76c08405-89e9-4c57-a585-b31d7bded94b">P77SRJCMCQEC-495747857-225</_dlc_DocId>
    <_dlc_DocIdPersistId xmlns="76c08405-89e9-4c57-a585-b31d7bded94b" xsi:nil="true"/>
    <_dlc_DocIdUrl xmlns="76c08405-89e9-4c57-a585-b31d7bded94b">
      <Url>https://dochub/div/resources/businessfunctions/offshoreresources/exploration/ghgpolicy/_layouts/15/DocIdRedir.aspx?ID=P77SRJCMCQEC-495747857-225</Url>
      <Description>P77SRJCMCQEC-495747857-225</Description>
    </_dlc_DocIdUrl>
  </documentManagement>
</p:properties>
</file>

<file path=customXml/itemProps1.xml><?xml version="1.0" encoding="utf-8"?>
<ds:datastoreItem xmlns:ds="http://schemas.openxmlformats.org/officeDocument/2006/customXml" ds:itemID="{98434FE4-EEAA-4263-B3B9-8164DE03CA6A}">
  <ds:schemaRefs>
    <ds:schemaRef ds:uri="http://schemas.microsoft.com/sharepoint/v3/contenttype/forms"/>
  </ds:schemaRefs>
</ds:datastoreItem>
</file>

<file path=customXml/itemProps2.xml><?xml version="1.0" encoding="utf-8"?>
<ds:datastoreItem xmlns:ds="http://schemas.openxmlformats.org/officeDocument/2006/customXml" ds:itemID="{BCDB50E9-E51E-48AD-89C0-B172DA04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F54FB-879D-4D94-AE44-32940F19D1F0}">
  <ds:schemaRefs>
    <ds:schemaRef ds:uri="http://schemas.openxmlformats.org/officeDocument/2006/bibliography"/>
  </ds:schemaRefs>
</ds:datastoreItem>
</file>

<file path=customXml/itemProps4.xml><?xml version="1.0" encoding="utf-8"?>
<ds:datastoreItem xmlns:ds="http://schemas.openxmlformats.org/officeDocument/2006/customXml" ds:itemID="{BE9B9101-F9C8-44CE-B5FE-892DA942769E}">
  <ds:schemaRefs>
    <ds:schemaRef ds:uri="http://schemas.microsoft.com/sharepoint/events"/>
  </ds:schemaRefs>
</ds:datastoreItem>
</file>

<file path=customXml/itemProps5.xml><?xml version="1.0" encoding="utf-8"?>
<ds:datastoreItem xmlns:ds="http://schemas.openxmlformats.org/officeDocument/2006/customXml" ds:itemID="{C2A62CFD-D0F1-4515-8369-A7278B69FF34}">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sharepoint/v4"/>
    <ds:schemaRef ds:uri="http://schemas.microsoft.com/sharepoint/v3"/>
    <ds:schemaRef ds:uri="http://purl.org/dc/dcmitype/"/>
    <ds:schemaRef ds:uri="76c08405-89e9-4c57-a585-b31d7bded94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6087</Words>
  <Characters>32754</Characters>
  <Application>Microsoft Office Word</Application>
  <DocSecurity>0</DocSecurity>
  <Lines>629</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Hild, Daniel</cp:lastModifiedBy>
  <cp:revision>5</cp:revision>
  <cp:lastPrinted>2025-02-03T06:39:00Z</cp:lastPrinted>
  <dcterms:created xsi:type="dcterms:W3CDTF">2025-02-03T06:38:00Z</dcterms:created>
  <dcterms:modified xsi:type="dcterms:W3CDTF">2025-02-03T06:39:00Z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2561;#greenhouse gas|b28d5f15-e2cd-4cde-ba16-36593862804c;#3968;#website|bd1945c2-7cae-49b3-b286-449954ace43c;#4679;#Guidelines|2f155a20-2806-4609-83fa-0f837c3a6035</vt:lpwstr>
  </property>
  <property fmtid="{D5CDD505-2E9C-101B-9397-08002B2CF9AE}" pid="3" name="DocHub_RegionCountry">
    <vt:lpwstr/>
  </property>
  <property fmtid="{D5CDD505-2E9C-101B-9397-08002B2CF9AE}" pid="4" name="DocHub_DocumentType">
    <vt:lpwstr>81;#Guideline|1cb7cffe-f5b4-42ac-8a71-3f61d9d0fa0a</vt:lpwstr>
  </property>
  <property fmtid="{D5CDD505-2E9C-101B-9397-08002B2CF9AE}" pid="5" name="DocHub_GroupsOtherEntities">
    <vt:lpwstr/>
  </property>
  <property fmtid="{D5CDD505-2E9C-101B-9397-08002B2CF9AE}" pid="6" name="BusinessFunction">
    <vt:lpwstr>12113;#Legislative Changes and Planning|57655414-be3d-460b-990d-02d56155ef3c</vt:lpwstr>
  </property>
  <property fmtid="{D5CDD505-2E9C-101B-9397-08002B2CF9AE}" pid="7" name="Application Library">
    <vt:lpwstr/>
  </property>
  <property fmtid="{D5CDD505-2E9C-101B-9397-08002B2CF9AE}" pid="8" name="DocHub_SecurityClassification">
    <vt:lpwstr>1;#OFFICIAL|6106d03b-a1a0-4e30-9d91-d5e9fb4314f9</vt:lpwstr>
  </property>
  <property fmtid="{D5CDD505-2E9C-101B-9397-08002B2CF9AE}" pid="9" name="DocHub_LegalClient">
    <vt:lpwstr/>
  </property>
  <property fmtid="{D5CDD505-2E9C-101B-9397-08002B2CF9AE}" pid="10" name="DocHub_GovernmentEntities">
    <vt:lpwstr/>
  </property>
  <property fmtid="{D5CDD505-2E9C-101B-9397-08002B2CF9AE}" pid="11" name="ContentTypeId">
    <vt:lpwstr>0x0101001CF82F786EBCAC43A8AD5D89DA53274F</vt:lpwstr>
  </property>
  <property fmtid="{D5CDD505-2E9C-101B-9397-08002B2CF9AE}" pid="12" name="Team">
    <vt:lpwstr>424;#Legislative Compliance|cb4b5b1d-0a66-42b0-ad54-d9e1e7b82ef0</vt:lpwstr>
  </property>
  <property fmtid="{D5CDD505-2E9C-101B-9397-08002B2CF9AE}" pid="13" name="DocHub_OrganisationEntities">
    <vt:lpwstr/>
  </property>
  <property fmtid="{D5CDD505-2E9C-101B-9397-08002B2CF9AE}" pid="14" name="Titles">
    <vt:lpwstr>143;#AC/L1|4b548c7e-7f22-4d6a-a249-ca26f43a0d6b</vt:lpwstr>
  </property>
  <property fmtid="{D5CDD505-2E9C-101B-9397-08002B2CF9AE}" pid="15" name="DocHub_WorkActivity">
    <vt:lpwstr>445;#Website Content Management|737bdabb-9ecb-4c8a-b82a-6abec0eb2cd1</vt:lpwstr>
  </property>
  <property fmtid="{D5CDD505-2E9C-101B-9397-08002B2CF9AE}" pid="16" name="_dlc_DocIdItemGuid">
    <vt:lpwstr>c11b86f6-4629-4bd6-ab33-3653651901f0</vt:lpwstr>
  </property>
  <property fmtid="{D5CDD505-2E9C-101B-9397-08002B2CF9AE}" pid="17" name="Title Type">
    <vt:lpwstr/>
  </property>
  <property fmtid="{D5CDD505-2E9C-101B-9397-08002B2CF9AE}" pid="18" name="DocHub_WorkTopic">
    <vt:lpwstr>909;#Administrative Guidelines|f07964ad-13ca-4d49-8baf-8456f5b7da2d</vt:lpwstr>
  </property>
  <property fmtid="{D5CDD505-2E9C-101B-9397-08002B2CF9AE}" pid="19" name="DocumentType">
    <vt:lpwstr>137;#Guideline|d1b666ff-1768-485a-b83d-c8693c6a4acc</vt:lpwstr>
  </property>
  <property fmtid="{D5CDD505-2E9C-101B-9397-08002B2CF9AE}" pid="20" name="DocHub_EnergyMineralResources">
    <vt:lpwstr/>
  </property>
  <property fmtid="{D5CDD505-2E9C-101B-9397-08002B2CF9AE}" pid="21" name="DocHub_Keywords">
    <vt:lpwstr/>
  </property>
  <property fmtid="{D5CDD505-2E9C-101B-9397-08002B2CF9AE}" pid="22" name="DocHub_State">
    <vt:lpwstr/>
  </property>
  <property fmtid="{D5CDD505-2E9C-101B-9397-08002B2CF9AE}" pid="23" name="Offshore Region">
    <vt:lpwstr/>
  </property>
  <property fmtid="{D5CDD505-2E9C-101B-9397-08002B2CF9AE}" pid="24" name="DocHub_LegalKeywords">
    <vt:lpwstr/>
  </property>
  <property fmtid="{D5CDD505-2E9C-101B-9397-08002B2CF9AE}" pid="25" name="DocHub_Year">
    <vt:lpwstr>5401;#2025|1efc169e-4afb-45b1-acf9-0c320b928901</vt:lpwstr>
  </property>
</Properties>
</file>