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93A70" w14:textId="77777777" w:rsidR="00272343" w:rsidRPr="00767C09" w:rsidRDefault="00272343" w:rsidP="00272343">
      <w:pPr>
        <w:pStyle w:val="Heading1"/>
      </w:pPr>
      <w:r w:rsidRPr="00767C09">
        <w:t>Surrender of Offshore Greenhouse Gas Titles</w:t>
      </w:r>
    </w:p>
    <w:p w14:paraId="11E96AC0" w14:textId="136723DD" w:rsidR="00760394" w:rsidRPr="0003631B" w:rsidRDefault="00760394" w:rsidP="00AE2B45">
      <w:pPr>
        <w:pBdr>
          <w:bottom w:val="single" w:sz="4" w:space="1" w:color="auto"/>
        </w:pBdr>
        <w:spacing w:before="120" w:beforeAutospacing="0"/>
        <w:rPr>
          <w:rFonts w:ascii="Aptos" w:hAnsi="Aptos"/>
          <w:szCs w:val="20"/>
        </w:rPr>
      </w:pPr>
      <w:r w:rsidRPr="0003631B">
        <w:rPr>
          <w:rFonts w:ascii="Aptos" w:hAnsi="Aptos"/>
          <w:szCs w:val="20"/>
          <w:lang w:val="en-US" w:eastAsia="en-AU"/>
        </w:rPr>
        <w:t xml:space="preserve">All fact sheets </w:t>
      </w:r>
      <w:r w:rsidRPr="0003631B">
        <w:rPr>
          <w:rFonts w:ascii="Aptos" w:hAnsi="Aptos"/>
          <w:szCs w:val="20"/>
        </w:rPr>
        <w:t xml:space="preserve">should be read in conjunction with the </w:t>
      </w:r>
      <w:hyperlink r:id="rId11">
        <w:r w:rsidRPr="0003631B">
          <w:rPr>
            <w:rStyle w:val="Hyperlink"/>
            <w:rFonts w:ascii="Aptos" w:hAnsi="Aptos"/>
            <w:i/>
            <w:iCs/>
            <w:szCs w:val="20"/>
          </w:rPr>
          <w:t>Offshore Petroleum and Greenhouse Gas Storage Act 2006</w:t>
        </w:r>
      </w:hyperlink>
      <w:r w:rsidRPr="0003631B">
        <w:rPr>
          <w:rFonts w:ascii="Aptos" w:hAnsi="Aptos"/>
          <w:i/>
          <w:iCs/>
          <w:szCs w:val="20"/>
        </w:rPr>
        <w:t xml:space="preserve"> </w:t>
      </w:r>
      <w:r w:rsidRPr="0003631B">
        <w:rPr>
          <w:rFonts w:ascii="Aptos" w:hAnsi="Aptos"/>
        </w:rPr>
        <w:t>(</w:t>
      </w:r>
      <w:r w:rsidRPr="0003631B">
        <w:rPr>
          <w:rFonts w:ascii="Aptos" w:hAnsi="Aptos"/>
          <w:b/>
          <w:bCs/>
        </w:rPr>
        <w:t>the OPGGS Act</w:t>
      </w:r>
      <w:r w:rsidRPr="0003631B">
        <w:rPr>
          <w:rFonts w:ascii="Aptos" w:hAnsi="Aptos"/>
        </w:rPr>
        <w:t>), associated regulations, relevant guidelines and policies (available on</w:t>
      </w:r>
      <w:r w:rsidRPr="0003631B">
        <w:rPr>
          <w:rFonts w:ascii="Aptos" w:hAnsi="Aptos"/>
          <w:szCs w:val="20"/>
        </w:rPr>
        <w:t xml:space="preserve"> </w:t>
      </w:r>
      <w:hyperlink r:id="rId12">
        <w:r w:rsidRPr="0003631B">
          <w:rPr>
            <w:rStyle w:val="Hyperlink"/>
            <w:rFonts w:ascii="Aptos" w:hAnsi="Aptos"/>
            <w:szCs w:val="20"/>
          </w:rPr>
          <w:t>NOPTA’s website</w:t>
        </w:r>
      </w:hyperlink>
      <w:r w:rsidRPr="0003631B">
        <w:rPr>
          <w:rFonts w:ascii="Aptos" w:hAnsi="Aptos"/>
          <w:szCs w:val="20"/>
        </w:rPr>
        <w:t>).</w:t>
      </w:r>
    </w:p>
    <w:p w14:paraId="42B0FC46" w14:textId="77777777" w:rsidR="00760394" w:rsidRPr="0003631B" w:rsidRDefault="00760394" w:rsidP="00AE2B45">
      <w:pPr>
        <w:pBdr>
          <w:bottom w:val="single" w:sz="4" w:space="1" w:color="auto"/>
        </w:pBdr>
        <w:rPr>
          <w:rFonts w:ascii="Aptos" w:hAnsi="Aptos"/>
        </w:rPr>
        <w:sectPr w:rsidR="00760394" w:rsidRPr="0003631B" w:rsidSect="00D34E8E">
          <w:headerReference w:type="even" r:id="rId13"/>
          <w:headerReference w:type="default" r:id="rId14"/>
          <w:footerReference w:type="even" r:id="rId15"/>
          <w:footerReference w:type="default" r:id="rId16"/>
          <w:headerReference w:type="first" r:id="rId17"/>
          <w:footerReference w:type="first" r:id="rId18"/>
          <w:pgSz w:w="11906" w:h="16838"/>
          <w:pgMar w:top="2410" w:right="992" w:bottom="851" w:left="993" w:header="709" w:footer="283" w:gutter="0"/>
          <w:cols w:space="708"/>
          <w:docGrid w:linePitch="360"/>
        </w:sectPr>
      </w:pPr>
    </w:p>
    <w:p w14:paraId="4D2BBC42" w14:textId="77777777" w:rsidR="00272343" w:rsidRPr="004A58BD" w:rsidRDefault="00272343" w:rsidP="00272343">
      <w:pPr>
        <w:rPr>
          <w:rFonts w:ascii="Aptos" w:hAnsi="Aptos" w:cstheme="minorHAnsi"/>
          <w:szCs w:val="20"/>
        </w:rPr>
      </w:pPr>
      <w:r w:rsidRPr="004A58BD">
        <w:rPr>
          <w:rFonts w:ascii="Aptos" w:hAnsi="Aptos" w:cstheme="minorHAnsi"/>
          <w:szCs w:val="20"/>
        </w:rPr>
        <w:t>This fact sheet provides general information about the process for surrendering offshore greenhouse gas (</w:t>
      </w:r>
      <w:r w:rsidRPr="004A58BD">
        <w:rPr>
          <w:rFonts w:ascii="Aptos" w:hAnsi="Aptos" w:cstheme="minorHAnsi"/>
          <w:b/>
          <w:bCs/>
          <w:szCs w:val="20"/>
        </w:rPr>
        <w:t>GHG</w:t>
      </w:r>
      <w:r w:rsidRPr="004A58BD">
        <w:rPr>
          <w:rFonts w:ascii="Aptos" w:hAnsi="Aptos" w:cstheme="minorHAnsi"/>
          <w:szCs w:val="20"/>
        </w:rPr>
        <w:t xml:space="preserve">) titles. </w:t>
      </w:r>
    </w:p>
    <w:p w14:paraId="21E21F52" w14:textId="77777777" w:rsidR="00272343" w:rsidRPr="004A58BD" w:rsidRDefault="00272343" w:rsidP="00272343">
      <w:pPr>
        <w:rPr>
          <w:rFonts w:ascii="Aptos" w:hAnsi="Aptos" w:cstheme="minorHAnsi"/>
          <w:iCs/>
          <w:szCs w:val="20"/>
        </w:rPr>
      </w:pPr>
      <w:r w:rsidRPr="004A58BD">
        <w:rPr>
          <w:rFonts w:ascii="Aptos" w:eastAsia="Calibri" w:hAnsi="Aptos"/>
          <w:b/>
          <w:iCs/>
          <w:szCs w:val="20"/>
          <w:lang w:eastAsia="en-AU"/>
        </w:rPr>
        <w:t>Note:</w:t>
      </w:r>
      <w:r w:rsidRPr="004A58BD">
        <w:rPr>
          <w:rFonts w:ascii="Aptos" w:hAnsi="Aptos" w:cstheme="minorHAnsi"/>
          <w:iCs/>
          <w:szCs w:val="20"/>
        </w:rPr>
        <w:t xml:space="preserve"> for information about the surrender of GHG special authorities or GHG search authorities or GHG cross-boundary titles please contact NOPTA.</w:t>
      </w:r>
    </w:p>
    <w:p w14:paraId="7AD8637A" w14:textId="77777777" w:rsidR="00272343" w:rsidRPr="00A224CB" w:rsidRDefault="00272343" w:rsidP="00272343">
      <w:pPr>
        <w:pStyle w:val="Heading2"/>
        <w:rPr>
          <w:bCs/>
        </w:rPr>
      </w:pPr>
      <w:bookmarkStart w:id="0" w:name="_Hlk526427160"/>
      <w:r w:rsidRPr="00A224CB">
        <w:t>Overview</w:t>
      </w:r>
    </w:p>
    <w:p w14:paraId="5A6D4597" w14:textId="77777777" w:rsidR="00272343" w:rsidRPr="004A58BD" w:rsidRDefault="00272343" w:rsidP="00272343">
      <w:pPr>
        <w:rPr>
          <w:rFonts w:ascii="Aptos" w:hAnsi="Aptos" w:cstheme="minorHAnsi"/>
          <w:szCs w:val="20"/>
        </w:rPr>
      </w:pPr>
      <w:r w:rsidRPr="004A58BD">
        <w:rPr>
          <w:rFonts w:ascii="Aptos" w:hAnsi="Aptos" w:cstheme="minorHAnsi"/>
          <w:szCs w:val="20"/>
        </w:rPr>
        <w:t>Part 3.10 of the OPGGS Act sets out the criteria and process to apply for consent to surrender a GHG title.</w:t>
      </w:r>
    </w:p>
    <w:p w14:paraId="2D139EE1" w14:textId="77777777" w:rsidR="00272343" w:rsidRPr="004A58BD" w:rsidRDefault="00272343" w:rsidP="00272343">
      <w:pPr>
        <w:spacing w:after="0" w:afterAutospacing="0"/>
        <w:rPr>
          <w:rFonts w:ascii="Aptos" w:hAnsi="Aptos" w:cstheme="minorHAnsi"/>
          <w:szCs w:val="20"/>
        </w:rPr>
      </w:pPr>
      <w:r w:rsidRPr="004A58BD">
        <w:rPr>
          <w:rFonts w:ascii="Aptos" w:hAnsi="Aptos" w:cstheme="minorHAnsi"/>
          <w:szCs w:val="20"/>
        </w:rPr>
        <w:t>Under subsection 441(1) of the OPGGS Act the following may be surrendered:</w:t>
      </w:r>
    </w:p>
    <w:p w14:paraId="64C2DC3A" w14:textId="77777777" w:rsidR="00272343" w:rsidRPr="007838C4" w:rsidRDefault="00272343" w:rsidP="00272343">
      <w:pPr>
        <w:pStyle w:val="ListParagraph"/>
        <w:numPr>
          <w:ilvl w:val="0"/>
          <w:numId w:val="1"/>
        </w:numPr>
        <w:spacing w:before="120" w:beforeAutospacing="0" w:after="120" w:afterAutospacing="0"/>
        <w:ind w:left="357" w:hanging="357"/>
        <w:contextualSpacing w:val="0"/>
        <w:rPr>
          <w:rFonts w:ascii="Aptos" w:hAnsi="Aptos" w:cstheme="minorHAnsi"/>
        </w:rPr>
      </w:pPr>
      <w:r w:rsidRPr="007838C4">
        <w:rPr>
          <w:rFonts w:ascii="Aptos" w:hAnsi="Aptos" w:cstheme="minorHAnsi"/>
        </w:rPr>
        <w:t xml:space="preserve">the whole of a GHG assessment permit or a GHG holding lease; </w:t>
      </w:r>
    </w:p>
    <w:p w14:paraId="228789A5" w14:textId="77777777" w:rsidR="00272343" w:rsidRPr="007838C4" w:rsidRDefault="00272343" w:rsidP="00272343">
      <w:pPr>
        <w:pStyle w:val="ListParagraph"/>
        <w:numPr>
          <w:ilvl w:val="0"/>
          <w:numId w:val="1"/>
        </w:numPr>
        <w:spacing w:before="120" w:beforeAutospacing="0" w:after="120" w:afterAutospacing="0"/>
        <w:ind w:left="357" w:hanging="357"/>
        <w:rPr>
          <w:rFonts w:ascii="Aptos" w:hAnsi="Aptos"/>
          <w:szCs w:val="20"/>
        </w:rPr>
      </w:pPr>
      <w:r w:rsidRPr="007838C4">
        <w:rPr>
          <w:rFonts w:ascii="Aptos" w:hAnsi="Aptos"/>
          <w:szCs w:val="20"/>
        </w:rPr>
        <w:t>some or all of the blocks in relation to a GHG injection licence.</w:t>
      </w:r>
    </w:p>
    <w:p w14:paraId="44B839FC" w14:textId="77777777" w:rsidR="00272343" w:rsidRPr="004A58BD" w:rsidRDefault="00272343" w:rsidP="00272343">
      <w:pPr>
        <w:rPr>
          <w:rFonts w:ascii="Aptos" w:hAnsi="Aptos" w:cstheme="minorHAnsi"/>
          <w:szCs w:val="20"/>
        </w:rPr>
      </w:pPr>
      <w:r w:rsidRPr="004A58BD">
        <w:rPr>
          <w:rFonts w:ascii="Aptos" w:hAnsi="Aptos" w:cstheme="minorHAnsi"/>
          <w:szCs w:val="20"/>
        </w:rPr>
        <w:t>NOPTA assesses the applications and provides advice to the decision maker, the responsible Commonwealth Minister (RCM), who decides whether to consent to the surrender.</w:t>
      </w:r>
    </w:p>
    <w:p w14:paraId="6A95577B" w14:textId="77777777" w:rsidR="00272343" w:rsidRPr="00A224CB" w:rsidRDefault="00272343" w:rsidP="00272343">
      <w:pPr>
        <w:pStyle w:val="Heading2"/>
      </w:pPr>
      <w:r w:rsidRPr="003810AA">
        <w:t>Prior to surrender application</w:t>
      </w:r>
    </w:p>
    <w:p w14:paraId="7E49E8D7" w14:textId="77777777" w:rsidR="00272343" w:rsidRPr="009C131B" w:rsidRDefault="00272343" w:rsidP="00272343">
      <w:pPr>
        <w:pStyle w:val="Heading3"/>
      </w:pPr>
      <w:r w:rsidRPr="009C131B">
        <w:t>GHG Assessment Permits</w:t>
      </w:r>
    </w:p>
    <w:p w14:paraId="7476742B" w14:textId="77777777" w:rsidR="00272343" w:rsidRPr="004A58BD" w:rsidRDefault="00272343" w:rsidP="00272343">
      <w:pPr>
        <w:rPr>
          <w:rFonts w:ascii="Aptos" w:hAnsi="Aptos" w:cstheme="minorHAnsi"/>
          <w:szCs w:val="20"/>
        </w:rPr>
      </w:pPr>
      <w:r w:rsidRPr="004A58BD">
        <w:rPr>
          <w:rFonts w:ascii="Aptos" w:hAnsi="Aptos" w:cstheme="minorHAnsi"/>
          <w:szCs w:val="20"/>
        </w:rPr>
        <w:t>Titleholders who wish to surrender a GHG assessment permit should be aware that the RCM will generally refuse to consent to the surrender prior to completion of the guaranteed primary term (Permit Years 1 to 3) of the work program.</w:t>
      </w:r>
    </w:p>
    <w:p w14:paraId="7F537D65" w14:textId="77777777" w:rsidR="00272343" w:rsidRPr="00EB679B" w:rsidRDefault="00272343" w:rsidP="00272343">
      <w:pPr>
        <w:pStyle w:val="Heading3"/>
      </w:pPr>
      <w:r>
        <w:t>GHG h</w:t>
      </w:r>
      <w:r w:rsidRPr="00EB679B">
        <w:t>olding lease tied</w:t>
      </w:r>
      <w:r w:rsidRPr="009C131B">
        <w:footnoteReference w:id="2"/>
      </w:r>
      <w:r w:rsidRPr="00EB679B">
        <w:t xml:space="preserve"> to a petroleum retention lease</w:t>
      </w:r>
    </w:p>
    <w:p w14:paraId="40FE7B8F" w14:textId="77777777" w:rsidR="00272343" w:rsidRPr="004A58BD" w:rsidRDefault="00272343" w:rsidP="00272343">
      <w:pPr>
        <w:rPr>
          <w:rFonts w:ascii="Aptos" w:hAnsi="Aptos" w:cstheme="minorHAnsi"/>
          <w:szCs w:val="20"/>
        </w:rPr>
      </w:pPr>
      <w:r w:rsidRPr="004A58BD">
        <w:rPr>
          <w:rFonts w:ascii="Aptos" w:hAnsi="Aptos" w:cstheme="minorHAnsi"/>
          <w:szCs w:val="20"/>
        </w:rPr>
        <w:t>If a GHG holding lease has been granted to holders of a petroleum retention lease (title are tied).</w:t>
      </w:r>
    </w:p>
    <w:p w14:paraId="7DD6FE21" w14:textId="77777777" w:rsidR="00272343" w:rsidRPr="004A58BD" w:rsidRDefault="00272343" w:rsidP="00272343">
      <w:pPr>
        <w:rPr>
          <w:rFonts w:ascii="Aptos" w:hAnsi="Aptos" w:cstheme="minorHAnsi"/>
          <w:szCs w:val="20"/>
        </w:rPr>
      </w:pPr>
      <w:r w:rsidRPr="004A58BD">
        <w:rPr>
          <w:rFonts w:ascii="Aptos" w:hAnsi="Aptos" w:cstheme="minorHAnsi"/>
          <w:szCs w:val="20"/>
        </w:rPr>
        <w:t>If the petroleum retention lease is surrendered (paragraph 354(1)(b) of the OPGGS Act) the RCM must cancel the GHG holding lease (subsection 354(2) of the OPGGS Act). It is the titleholder’s responsibility to ensure that all obligations in respect of the title are met.</w:t>
      </w:r>
    </w:p>
    <w:p w14:paraId="3BE02862" w14:textId="77777777" w:rsidR="00272343" w:rsidRPr="00EB679B" w:rsidRDefault="00272343" w:rsidP="00272343">
      <w:pPr>
        <w:pStyle w:val="Heading3"/>
      </w:pPr>
      <w:bookmarkStart w:id="1" w:name="_Hlk98417434"/>
      <w:r>
        <w:t>GHG i</w:t>
      </w:r>
      <w:r w:rsidRPr="00EB679B">
        <w:t xml:space="preserve">njection </w:t>
      </w:r>
      <w:r>
        <w:t>l</w:t>
      </w:r>
      <w:r w:rsidRPr="00EB679B">
        <w:t xml:space="preserve">icence tied to a petroleum retention lease or </w:t>
      </w:r>
      <w:r>
        <w:t xml:space="preserve">petroleum </w:t>
      </w:r>
      <w:r w:rsidRPr="00EB679B">
        <w:t>production licence</w:t>
      </w:r>
    </w:p>
    <w:p w14:paraId="2179FCC3" w14:textId="77777777" w:rsidR="00272343" w:rsidRPr="004A58BD" w:rsidRDefault="00272343" w:rsidP="00272343">
      <w:pPr>
        <w:rPr>
          <w:rFonts w:ascii="Aptos" w:hAnsi="Aptos" w:cstheme="minorHAnsi"/>
          <w:szCs w:val="20"/>
        </w:rPr>
      </w:pPr>
      <w:r w:rsidRPr="004A58BD">
        <w:rPr>
          <w:rFonts w:ascii="Aptos" w:hAnsi="Aptos" w:cstheme="minorHAnsi"/>
          <w:szCs w:val="20"/>
        </w:rPr>
        <w:t>Titleholders who wish to surrender a tied petroleum retention lease or petroleum production licence should contact NOPTA in the first instance as if they cease to be in force as a result of a surrender the licensee of the GHG injection licence</w:t>
      </w:r>
      <w:bookmarkEnd w:id="1"/>
      <w:r w:rsidRPr="004A58BD">
        <w:rPr>
          <w:rFonts w:ascii="Aptos" w:hAnsi="Aptos" w:cstheme="minorHAnsi"/>
          <w:szCs w:val="20"/>
        </w:rPr>
        <w:t xml:space="preserve"> </w:t>
      </w:r>
      <w:bookmarkStart w:id="2" w:name="_Hlk98417444"/>
      <w:r w:rsidRPr="004A58BD">
        <w:rPr>
          <w:rFonts w:ascii="Aptos" w:hAnsi="Aptos" w:cstheme="minorHAnsi"/>
          <w:szCs w:val="20"/>
        </w:rPr>
        <w:t>must, within the application period, make an application for a site closing certificate (subsection 386(13) of the OPGGS Act).</w:t>
      </w:r>
      <w:bookmarkEnd w:id="2"/>
    </w:p>
    <w:p w14:paraId="5FE2916A" w14:textId="77777777" w:rsidR="00272343" w:rsidRPr="00A224CB" w:rsidRDefault="00272343" w:rsidP="00272343">
      <w:pPr>
        <w:pStyle w:val="Heading2"/>
      </w:pPr>
      <w:r w:rsidRPr="00B011D9">
        <w:t>Timing</w:t>
      </w:r>
      <w:r w:rsidRPr="003810AA">
        <w:t xml:space="preserve"> of decision</w:t>
      </w:r>
    </w:p>
    <w:p w14:paraId="11F181C7" w14:textId="77777777" w:rsidR="00272343" w:rsidRPr="004A58BD" w:rsidRDefault="00272343" w:rsidP="00272343">
      <w:pPr>
        <w:rPr>
          <w:rFonts w:ascii="Aptos" w:hAnsi="Aptos" w:cstheme="minorHAnsi"/>
          <w:szCs w:val="20"/>
        </w:rPr>
      </w:pPr>
      <w:r w:rsidRPr="004A58BD">
        <w:rPr>
          <w:rFonts w:ascii="Aptos" w:hAnsi="Aptos" w:cstheme="minorHAnsi"/>
          <w:szCs w:val="20"/>
        </w:rPr>
        <w:t>Applicants should allow up to three months for a decision to be made on a surrender application.</w:t>
      </w:r>
    </w:p>
    <w:p w14:paraId="790C62D7" w14:textId="77777777" w:rsidR="00272343" w:rsidRPr="004A58BD" w:rsidRDefault="00272343" w:rsidP="00272343">
      <w:pPr>
        <w:rPr>
          <w:rFonts w:ascii="Aptos" w:hAnsi="Aptos" w:cstheme="minorHAnsi"/>
          <w:szCs w:val="20"/>
        </w:rPr>
      </w:pPr>
      <w:r w:rsidRPr="004A58BD">
        <w:rPr>
          <w:rFonts w:ascii="Aptos" w:hAnsi="Aptos" w:cstheme="minorHAnsi"/>
          <w:b/>
          <w:bCs/>
          <w:szCs w:val="20"/>
        </w:rPr>
        <w:t>Note</w:t>
      </w:r>
      <w:r w:rsidRPr="004A58BD">
        <w:rPr>
          <w:rFonts w:ascii="Aptos" w:hAnsi="Aptos" w:cstheme="minorHAnsi"/>
          <w:szCs w:val="20"/>
        </w:rPr>
        <w:t>: Where an application to surrender a GHG assessment permit or GHG holding lease is submitted, but a decision to consent to the surrender is not made until the following permit/lease year, the title is deemed not to have entered that year. Therefore, the titleholders won’t be penalised for not completing work program commitments in respect of that year.</w:t>
      </w:r>
    </w:p>
    <w:p w14:paraId="6B38D11B" w14:textId="77777777" w:rsidR="00272343" w:rsidRPr="00A224CB" w:rsidRDefault="00272343" w:rsidP="00272343">
      <w:pPr>
        <w:pStyle w:val="Heading2"/>
      </w:pPr>
      <w:r w:rsidRPr="003810AA">
        <w:t>Timing of applications</w:t>
      </w:r>
    </w:p>
    <w:p w14:paraId="7DBAF483" w14:textId="77777777" w:rsidR="00272343" w:rsidRPr="004A58BD" w:rsidRDefault="00272343" w:rsidP="00272343">
      <w:pPr>
        <w:rPr>
          <w:rFonts w:ascii="Aptos" w:hAnsi="Aptos" w:cstheme="minorHAnsi"/>
          <w:szCs w:val="20"/>
        </w:rPr>
      </w:pPr>
      <w:r w:rsidRPr="004A58BD">
        <w:rPr>
          <w:rFonts w:ascii="Aptos" w:hAnsi="Aptos" w:cstheme="minorHAnsi"/>
          <w:szCs w:val="20"/>
        </w:rPr>
        <w:t>Applications for consent to surrender can be lodged at any time.</w:t>
      </w:r>
    </w:p>
    <w:p w14:paraId="0843419A" w14:textId="77777777" w:rsidR="00272343" w:rsidRPr="00507204" w:rsidRDefault="00272343" w:rsidP="00272343">
      <w:pPr>
        <w:rPr>
          <w:color w:val="0462C1"/>
          <w:u w:val="single"/>
        </w:rPr>
      </w:pPr>
      <w:r w:rsidRPr="004A58BD">
        <w:rPr>
          <w:rFonts w:ascii="Aptos" w:hAnsi="Aptos" w:cstheme="minorHAnsi"/>
          <w:szCs w:val="20"/>
        </w:rPr>
        <w:t>See also the</w:t>
      </w:r>
      <w:r>
        <w:rPr>
          <w:color w:val="5F5F5F"/>
          <w:spacing w:val="-2"/>
        </w:rPr>
        <w:t xml:space="preserve"> </w:t>
      </w:r>
      <w:hyperlink r:id="rId19" w:history="1">
        <w:r w:rsidRPr="005C0C5B">
          <w:rPr>
            <w:rStyle w:val="Hyperlink"/>
            <w:rFonts w:ascii="Aptos" w:hAnsi="Aptos"/>
            <w:color w:val="0563C1"/>
            <w:szCs w:val="20"/>
          </w:rPr>
          <w:t>Annual Titles Administration Levy—remittals</w:t>
        </w:r>
      </w:hyperlink>
      <w:r w:rsidRPr="005C0C5B">
        <w:rPr>
          <w:rStyle w:val="Hyperlink"/>
          <w:rFonts w:ascii="Aptos" w:hAnsi="Aptos"/>
          <w:color w:val="0563C1"/>
          <w:szCs w:val="20"/>
        </w:rPr>
        <w:t xml:space="preserve"> and refunds policy</w:t>
      </w:r>
      <w:r w:rsidRPr="00507204">
        <w:rPr>
          <w:color w:val="5F5F5F"/>
          <w:sz w:val="18"/>
        </w:rPr>
        <w:t xml:space="preserve"> </w:t>
      </w:r>
      <w:r w:rsidRPr="004A58BD">
        <w:rPr>
          <w:rFonts w:ascii="Aptos" w:hAnsi="Aptos" w:cstheme="minorHAnsi"/>
          <w:szCs w:val="20"/>
        </w:rPr>
        <w:t>(in relation to the annual levy).</w:t>
      </w:r>
    </w:p>
    <w:p w14:paraId="173855BD" w14:textId="77777777" w:rsidR="00272343" w:rsidRPr="003810AA" w:rsidRDefault="00272343" w:rsidP="00272343">
      <w:pPr>
        <w:pStyle w:val="Heading2"/>
      </w:pPr>
      <w:proofErr w:type="gramStart"/>
      <w:r w:rsidRPr="7D961C3E">
        <w:lastRenderedPageBreak/>
        <w:t>Submitting an application</w:t>
      </w:r>
      <w:proofErr w:type="gramEnd"/>
      <w:r w:rsidRPr="7D961C3E">
        <w:t xml:space="preserve"> for consent to surrender (subsection 442(2) of the OPGGS Act)</w:t>
      </w:r>
    </w:p>
    <w:p w14:paraId="673DEE41" w14:textId="77777777" w:rsidR="00272343" w:rsidRDefault="00272343" w:rsidP="00272343">
      <w:pPr>
        <w:rPr>
          <w:rFonts w:ascii="Aptos" w:hAnsi="Aptos" w:cstheme="minorHAnsi"/>
          <w:szCs w:val="20"/>
        </w:rPr>
      </w:pPr>
      <w:r w:rsidRPr="004A58BD">
        <w:rPr>
          <w:rFonts w:ascii="Aptos" w:hAnsi="Aptos" w:cstheme="minorHAnsi"/>
          <w:szCs w:val="20"/>
        </w:rPr>
        <w:t xml:space="preserve">Applications must be submitted in writing to NOPTA. An application form is available on </w:t>
      </w:r>
      <w:hyperlink r:id="rId20">
        <w:r w:rsidRPr="004A58BD">
          <w:rPr>
            <w:rFonts w:ascii="Aptos" w:hAnsi="Aptos" w:cstheme="minorHAnsi"/>
            <w:szCs w:val="20"/>
          </w:rPr>
          <w:t>NOPTA’s website</w:t>
        </w:r>
      </w:hyperlink>
      <w:r w:rsidRPr="004A58BD">
        <w:rPr>
          <w:rFonts w:ascii="Aptos" w:hAnsi="Aptos" w:cstheme="minorHAnsi"/>
          <w:szCs w:val="20"/>
        </w:rPr>
        <w:t xml:space="preserve"> and includes a checklist of information that should be provided with an application.</w:t>
      </w:r>
    </w:p>
    <w:p w14:paraId="4DEA0F1A" w14:textId="77777777" w:rsidR="00272343" w:rsidRPr="00A224CB" w:rsidRDefault="00272343" w:rsidP="00272343">
      <w:pPr>
        <w:pStyle w:val="Heading2"/>
      </w:pPr>
      <w:r w:rsidRPr="003810AA">
        <w:t xml:space="preserve">Consent – Criteria </w:t>
      </w:r>
      <w:r>
        <w:t>(</w:t>
      </w:r>
      <w:r w:rsidRPr="003810AA">
        <w:t>s</w:t>
      </w:r>
      <w:r>
        <w:t xml:space="preserve">ubsection </w:t>
      </w:r>
      <w:r w:rsidRPr="003810AA">
        <w:t>442(3)</w:t>
      </w:r>
      <w:r>
        <w:t xml:space="preserve"> of the OPGGS Act)</w:t>
      </w:r>
    </w:p>
    <w:p w14:paraId="275229F8" w14:textId="77777777" w:rsidR="00272343" w:rsidRDefault="00272343" w:rsidP="00272343">
      <w:pPr>
        <w:spacing w:after="0" w:afterAutospacing="0"/>
        <w:rPr>
          <w:rFonts w:ascii="Aptos" w:hAnsi="Aptos" w:cstheme="minorHAnsi"/>
          <w:szCs w:val="20"/>
        </w:rPr>
      </w:pPr>
      <w:r w:rsidRPr="004A58BD">
        <w:rPr>
          <w:rFonts w:ascii="Aptos" w:hAnsi="Aptos" w:cstheme="minorHAnsi"/>
          <w:szCs w:val="20"/>
        </w:rPr>
        <w:t>The RCM may consent to the surrender of a GHG title if the titleholders have:</w:t>
      </w:r>
    </w:p>
    <w:p w14:paraId="1620DA8D" w14:textId="77777777" w:rsidR="00272343" w:rsidRPr="007838C4" w:rsidRDefault="00272343" w:rsidP="00272343">
      <w:pPr>
        <w:pStyle w:val="ListParagraph"/>
        <w:numPr>
          <w:ilvl w:val="0"/>
          <w:numId w:val="1"/>
        </w:numPr>
        <w:spacing w:before="120" w:beforeAutospacing="0" w:after="120" w:afterAutospacing="0"/>
        <w:ind w:left="357" w:hanging="357"/>
        <w:contextualSpacing w:val="0"/>
        <w:rPr>
          <w:rFonts w:ascii="Aptos" w:hAnsi="Aptos" w:cstheme="minorHAnsi"/>
        </w:rPr>
      </w:pPr>
      <w:r w:rsidRPr="007838C4">
        <w:rPr>
          <w:rFonts w:ascii="Aptos" w:hAnsi="Aptos" w:cstheme="minorHAnsi"/>
        </w:rPr>
        <w:t>complied with all relevant provisions of chapter 3, 5, 6 and 8.1 of the OPGGS Act and regulations (including submission of all reports and data that are due); and</w:t>
      </w:r>
    </w:p>
    <w:p w14:paraId="056D0355" w14:textId="77777777" w:rsidR="00272343" w:rsidRPr="007838C4" w:rsidRDefault="00272343" w:rsidP="00272343">
      <w:pPr>
        <w:pStyle w:val="ListParagraph"/>
        <w:numPr>
          <w:ilvl w:val="0"/>
          <w:numId w:val="1"/>
        </w:numPr>
        <w:spacing w:before="120" w:beforeAutospacing="0" w:after="120" w:afterAutospacing="0"/>
        <w:ind w:left="357" w:hanging="357"/>
        <w:contextualSpacing w:val="0"/>
        <w:rPr>
          <w:rFonts w:ascii="Aptos" w:hAnsi="Aptos" w:cstheme="minorHAnsi"/>
        </w:rPr>
      </w:pPr>
      <w:r w:rsidRPr="007838C4">
        <w:rPr>
          <w:rFonts w:ascii="Aptos" w:hAnsi="Aptos" w:cstheme="minorHAnsi"/>
        </w:rPr>
        <w:t>to the satisfaction of the RCM</w:t>
      </w:r>
      <w:r w:rsidRPr="007838C4">
        <w:rPr>
          <w:rFonts w:ascii="Aptos" w:hAnsi="Aptos"/>
        </w:rPr>
        <w:footnoteReference w:id="3"/>
      </w:r>
      <w:r w:rsidRPr="007838C4">
        <w:rPr>
          <w:rFonts w:ascii="Aptos" w:hAnsi="Aptos" w:cstheme="minorHAnsi"/>
        </w:rPr>
        <w:t>:</w:t>
      </w:r>
    </w:p>
    <w:p w14:paraId="42257885" w14:textId="77777777" w:rsidR="00272343" w:rsidRPr="00767C09" w:rsidRDefault="00272343" w:rsidP="00272343">
      <w:pPr>
        <w:numPr>
          <w:ilvl w:val="1"/>
          <w:numId w:val="16"/>
        </w:numPr>
        <w:spacing w:before="120" w:beforeAutospacing="0" w:after="120" w:afterAutospacing="0"/>
        <w:ind w:left="714" w:right="357" w:hanging="357"/>
        <w:rPr>
          <w:rFonts w:ascii="Aptos" w:hAnsi="Aptos" w:cstheme="minorHAnsi"/>
        </w:rPr>
      </w:pPr>
      <w:r w:rsidRPr="00767C09">
        <w:rPr>
          <w:rFonts w:ascii="Aptos" w:hAnsi="Aptos"/>
          <w:szCs w:val="20"/>
          <w:lang w:eastAsia="en-AU"/>
        </w:rPr>
        <w:t>r</w:t>
      </w:r>
      <w:r w:rsidRPr="00767C09">
        <w:rPr>
          <w:rFonts w:ascii="Aptos" w:hAnsi="Aptos" w:cstheme="minorHAnsi"/>
        </w:rPr>
        <w:t>emoved all property (or made other arrangements) from the area;</w:t>
      </w:r>
    </w:p>
    <w:p w14:paraId="328D5957" w14:textId="77777777" w:rsidR="00272343" w:rsidRPr="00767C09" w:rsidRDefault="00272343" w:rsidP="00272343">
      <w:pPr>
        <w:numPr>
          <w:ilvl w:val="1"/>
          <w:numId w:val="16"/>
        </w:numPr>
        <w:spacing w:before="120" w:beforeAutospacing="0" w:after="120" w:afterAutospacing="0"/>
        <w:ind w:left="714" w:right="357" w:hanging="357"/>
        <w:rPr>
          <w:rFonts w:ascii="Aptos" w:hAnsi="Aptos" w:cstheme="minorHAnsi"/>
        </w:rPr>
      </w:pPr>
      <w:r w:rsidRPr="00767C09">
        <w:rPr>
          <w:rFonts w:ascii="Aptos" w:hAnsi="Aptos" w:cstheme="minorHAnsi"/>
        </w:rPr>
        <w:t>plugged or closed off any wells;</w:t>
      </w:r>
    </w:p>
    <w:p w14:paraId="73A91BF8" w14:textId="77777777" w:rsidR="00272343" w:rsidRPr="00767C09" w:rsidRDefault="00272343" w:rsidP="00272343">
      <w:pPr>
        <w:numPr>
          <w:ilvl w:val="1"/>
          <w:numId w:val="16"/>
        </w:numPr>
        <w:spacing w:before="120" w:beforeAutospacing="0" w:after="120" w:afterAutospacing="0"/>
        <w:ind w:left="714" w:right="357" w:hanging="357"/>
        <w:rPr>
          <w:rFonts w:ascii="Aptos" w:hAnsi="Aptos" w:cstheme="minorHAnsi"/>
        </w:rPr>
      </w:pPr>
      <w:r w:rsidRPr="00767C09">
        <w:rPr>
          <w:rFonts w:ascii="Aptos" w:hAnsi="Aptos" w:cstheme="minorHAnsi"/>
        </w:rPr>
        <w:t xml:space="preserve">provided for the conservation and protection of the natural resources in the area; </w:t>
      </w:r>
    </w:p>
    <w:p w14:paraId="39A2F03B" w14:textId="77777777" w:rsidR="00272343" w:rsidRPr="00767C09" w:rsidRDefault="00272343" w:rsidP="00272343">
      <w:pPr>
        <w:numPr>
          <w:ilvl w:val="1"/>
          <w:numId w:val="16"/>
        </w:numPr>
        <w:spacing w:before="120" w:beforeAutospacing="0" w:after="120" w:afterAutospacing="0"/>
        <w:ind w:left="714" w:right="357" w:hanging="357"/>
        <w:rPr>
          <w:rFonts w:ascii="Aptos" w:hAnsi="Aptos" w:cstheme="minorHAnsi"/>
        </w:rPr>
      </w:pPr>
      <w:r w:rsidRPr="00767C09">
        <w:rPr>
          <w:rFonts w:ascii="Aptos" w:hAnsi="Aptos" w:cstheme="minorHAnsi"/>
        </w:rPr>
        <w:t>made good any damage to the seabed or subsoil;</w:t>
      </w:r>
    </w:p>
    <w:p w14:paraId="3AE6DA15" w14:textId="77777777" w:rsidR="00272343" w:rsidRPr="00767C09" w:rsidRDefault="00272343" w:rsidP="00272343">
      <w:pPr>
        <w:numPr>
          <w:ilvl w:val="1"/>
          <w:numId w:val="16"/>
        </w:numPr>
        <w:spacing w:before="120" w:beforeAutospacing="0" w:after="120" w:afterAutospacing="0"/>
        <w:ind w:left="714" w:right="357" w:hanging="357"/>
        <w:rPr>
          <w:rFonts w:ascii="Aptos" w:hAnsi="Aptos"/>
          <w:szCs w:val="20"/>
        </w:rPr>
      </w:pPr>
      <w:r w:rsidRPr="00767C09">
        <w:rPr>
          <w:rFonts w:ascii="Aptos" w:hAnsi="Aptos"/>
          <w:szCs w:val="20"/>
        </w:rPr>
        <w:t>for an application to surrender all of the blocks within a GHG injection licence that a site closing certificate is in force in relation to each identified GHG storage formation that is specified in the licence; and</w:t>
      </w:r>
    </w:p>
    <w:p w14:paraId="45491884" w14:textId="77777777" w:rsidR="00272343" w:rsidRPr="00767C09" w:rsidRDefault="00272343" w:rsidP="00272343">
      <w:pPr>
        <w:numPr>
          <w:ilvl w:val="1"/>
          <w:numId w:val="16"/>
        </w:numPr>
        <w:spacing w:before="120" w:beforeAutospacing="0" w:after="120" w:afterAutospacing="0"/>
        <w:ind w:left="714" w:right="357" w:hanging="357"/>
        <w:rPr>
          <w:rFonts w:ascii="Aptos" w:hAnsi="Aptos" w:cstheme="minorHAnsi"/>
        </w:rPr>
      </w:pPr>
      <w:r w:rsidRPr="00767C09">
        <w:rPr>
          <w:rFonts w:ascii="Aptos" w:hAnsi="Aptos" w:cstheme="minorHAnsi"/>
        </w:rPr>
        <w:t>for an application to surrender some of the blocks within a GHG injection licence that a site closing certificate is in force in relation to each GHG storage formation that is specified in the licence and extends to those blocks.</w:t>
      </w:r>
    </w:p>
    <w:p w14:paraId="203E6555" w14:textId="77777777" w:rsidR="00272343" w:rsidRPr="007838C4" w:rsidRDefault="00272343" w:rsidP="00272343">
      <w:pPr>
        <w:pStyle w:val="ListParagraph"/>
        <w:numPr>
          <w:ilvl w:val="0"/>
          <w:numId w:val="1"/>
        </w:numPr>
        <w:spacing w:before="120" w:beforeAutospacing="0" w:after="120" w:afterAutospacing="0"/>
        <w:ind w:left="357" w:hanging="357"/>
        <w:contextualSpacing w:val="0"/>
        <w:rPr>
          <w:rFonts w:ascii="Aptos" w:hAnsi="Aptos" w:cstheme="minorHAnsi"/>
        </w:rPr>
      </w:pPr>
      <w:r w:rsidRPr="007838C4">
        <w:rPr>
          <w:rFonts w:ascii="Aptos" w:hAnsi="Aptos" w:cstheme="minorHAnsi"/>
        </w:rPr>
        <w:t xml:space="preserve">paid all applicable fees, royalties and the annual titles administration levy, or </w:t>
      </w:r>
      <w:proofErr w:type="gramStart"/>
      <w:r w:rsidRPr="007838C4">
        <w:rPr>
          <w:rFonts w:ascii="Aptos" w:hAnsi="Aptos" w:cstheme="minorHAnsi"/>
        </w:rPr>
        <w:t>made arrangements</w:t>
      </w:r>
      <w:proofErr w:type="gramEnd"/>
      <w:r w:rsidRPr="007838C4">
        <w:rPr>
          <w:rFonts w:ascii="Aptos" w:hAnsi="Aptos" w:cstheme="minorHAnsi"/>
        </w:rPr>
        <w:t xml:space="preserve"> satisfactory to the </w:t>
      </w:r>
      <w:proofErr w:type="gramStart"/>
      <w:r w:rsidRPr="007838C4">
        <w:rPr>
          <w:rFonts w:ascii="Aptos" w:hAnsi="Aptos" w:cstheme="minorHAnsi"/>
        </w:rPr>
        <w:t>RCM;</w:t>
      </w:r>
      <w:proofErr w:type="gramEnd"/>
      <w:r w:rsidRPr="007838C4">
        <w:rPr>
          <w:rFonts w:ascii="Aptos" w:hAnsi="Aptos" w:cstheme="minorHAnsi"/>
        </w:rPr>
        <w:t xml:space="preserve"> </w:t>
      </w:r>
    </w:p>
    <w:p w14:paraId="14C23E81" w14:textId="77777777" w:rsidR="00272343" w:rsidRPr="007838C4" w:rsidRDefault="00272343" w:rsidP="00272343">
      <w:pPr>
        <w:pStyle w:val="ListParagraph"/>
        <w:numPr>
          <w:ilvl w:val="0"/>
          <w:numId w:val="1"/>
        </w:numPr>
        <w:spacing w:before="120" w:beforeAutospacing="0" w:after="120" w:afterAutospacing="0"/>
        <w:ind w:left="357" w:hanging="357"/>
        <w:contextualSpacing w:val="0"/>
        <w:rPr>
          <w:rFonts w:ascii="Aptos" w:hAnsi="Aptos" w:cstheme="minorHAnsi"/>
        </w:rPr>
      </w:pPr>
      <w:r w:rsidRPr="007838C4">
        <w:rPr>
          <w:rFonts w:ascii="Aptos" w:hAnsi="Aptos" w:cstheme="minorHAnsi"/>
        </w:rPr>
        <w:t>fully complied with all conditions of the title, including any work program commitments;</w:t>
      </w:r>
    </w:p>
    <w:p w14:paraId="7AE49F6B" w14:textId="77777777" w:rsidR="00272343" w:rsidRPr="00275A5E" w:rsidRDefault="00272343" w:rsidP="00272343">
      <w:pPr>
        <w:pStyle w:val="Heading3"/>
      </w:pPr>
      <w:r w:rsidRPr="00275A5E">
        <w:t xml:space="preserve">Consent on sufficient grounds </w:t>
      </w:r>
    </w:p>
    <w:p w14:paraId="2FC4D3CB" w14:textId="77777777" w:rsidR="00272343" w:rsidRPr="003B5D38" w:rsidRDefault="00272343" w:rsidP="00272343">
      <w:pPr>
        <w:rPr>
          <w:rFonts w:ascii="Aptos" w:hAnsi="Aptos" w:cstheme="minorHAnsi"/>
          <w:szCs w:val="20"/>
        </w:rPr>
      </w:pPr>
      <w:r w:rsidRPr="003B5D38">
        <w:rPr>
          <w:rFonts w:ascii="Aptos" w:hAnsi="Aptos" w:cstheme="minorHAnsi"/>
          <w:szCs w:val="20"/>
        </w:rPr>
        <w:t>If any of the criteria in subsection 442(3) of the OPGGS Act have not been met, the RCM may consent to the surrender of the title if the RCM is satisfied that there are sufficient grounds to warrant consent.</w:t>
      </w:r>
    </w:p>
    <w:p w14:paraId="2CFDD968" w14:textId="77777777" w:rsidR="00272343" w:rsidRPr="003B5D38" w:rsidRDefault="00272343" w:rsidP="00272343">
      <w:pPr>
        <w:rPr>
          <w:rFonts w:ascii="Aptos" w:hAnsi="Aptos" w:cstheme="minorHAnsi"/>
          <w:szCs w:val="20"/>
        </w:rPr>
      </w:pPr>
      <w:r w:rsidRPr="003B5D38">
        <w:rPr>
          <w:rFonts w:ascii="Aptos" w:hAnsi="Aptos" w:cstheme="minorHAnsi"/>
          <w:szCs w:val="20"/>
        </w:rPr>
        <w:t>Note: Before consenting to surrender a GHG cross-boundary permit the RCM must consult with the State or Territory Minister. Please refer to subsection 442(7A) of the OPGGS Act</w:t>
      </w:r>
    </w:p>
    <w:p w14:paraId="218A2946" w14:textId="77777777" w:rsidR="00272343" w:rsidRPr="003B5D38" w:rsidRDefault="00272343" w:rsidP="00272343">
      <w:pPr>
        <w:rPr>
          <w:rFonts w:ascii="Aptos" w:hAnsi="Aptos" w:cstheme="minorHAnsi"/>
          <w:szCs w:val="20"/>
        </w:rPr>
      </w:pPr>
      <w:r w:rsidRPr="003B5D38">
        <w:rPr>
          <w:rFonts w:ascii="Aptos" w:hAnsi="Aptos" w:cstheme="minorHAnsi"/>
          <w:szCs w:val="20"/>
        </w:rPr>
        <w:t>To assist the RCM in determining whether sufficient grounds exist the applicant should provide any relevant supporting information with the application.</w:t>
      </w:r>
    </w:p>
    <w:p w14:paraId="4C5E28A3" w14:textId="77777777" w:rsidR="00272343" w:rsidRPr="00D37535" w:rsidRDefault="00272343" w:rsidP="00272343">
      <w:pPr>
        <w:rPr>
          <w:i/>
          <w:iCs/>
          <w:szCs w:val="20"/>
          <w:lang w:eastAsia="en-AU"/>
        </w:rPr>
      </w:pPr>
      <w:r w:rsidRPr="003B5D38">
        <w:rPr>
          <w:rFonts w:ascii="Aptos" w:hAnsi="Aptos" w:cstheme="minorHAnsi"/>
          <w:szCs w:val="20"/>
        </w:rPr>
        <w:t xml:space="preserve">For GHG work-bid assessment permits - see the </w:t>
      </w:r>
      <w:hyperlink r:id="rId21" w:history="1">
        <w:r w:rsidRPr="005C0C5B">
          <w:rPr>
            <w:rStyle w:val="Hyperlink"/>
            <w:rFonts w:ascii="Aptos" w:hAnsi="Aptos"/>
            <w:color w:val="0563C1"/>
            <w:szCs w:val="20"/>
          </w:rPr>
          <w:t>Guideline: Offshore Greenhouse Gas Assessment Permits – Work-bid</w:t>
        </w:r>
      </w:hyperlink>
      <w:r w:rsidRPr="00D37535">
        <w:rPr>
          <w:i/>
          <w:iCs/>
          <w:szCs w:val="20"/>
          <w:lang w:eastAsia="en-AU"/>
        </w:rPr>
        <w:t>.</w:t>
      </w:r>
    </w:p>
    <w:p w14:paraId="5349D69F" w14:textId="77777777" w:rsidR="00272343" w:rsidRPr="00275A5E" w:rsidRDefault="00272343" w:rsidP="00272343">
      <w:pPr>
        <w:pStyle w:val="Heading3"/>
      </w:pPr>
      <w:r w:rsidRPr="00511F93">
        <w:t>Consent to surrender refused</w:t>
      </w:r>
      <w:r w:rsidRPr="00275A5E">
        <w:t xml:space="preserve"> </w:t>
      </w:r>
    </w:p>
    <w:p w14:paraId="52BB70B2" w14:textId="77777777" w:rsidR="00272343" w:rsidRPr="003B5D38" w:rsidRDefault="00272343" w:rsidP="00272343">
      <w:pPr>
        <w:rPr>
          <w:rFonts w:ascii="Aptos" w:hAnsi="Aptos" w:cstheme="minorHAnsi"/>
          <w:szCs w:val="20"/>
        </w:rPr>
      </w:pPr>
      <w:r w:rsidRPr="003B5D38">
        <w:rPr>
          <w:rFonts w:ascii="Aptos" w:hAnsi="Aptos" w:cstheme="minorHAnsi"/>
          <w:szCs w:val="20"/>
        </w:rPr>
        <w:t xml:space="preserve">The RCM may refuse to consent to the surrender of the title where one or more of the criteria have not been met, or sufficient grounds to warrant consent have not been demonstrated. If the RCM refuses the application to surrender, the titleholders have a continuing responsibility to ensure that the title conditions (including work program commitments) are fulfilled. </w:t>
      </w:r>
    </w:p>
    <w:p w14:paraId="7BDF3BD2" w14:textId="77777777" w:rsidR="00272343" w:rsidRPr="003B5D38" w:rsidRDefault="00272343" w:rsidP="00272343">
      <w:pPr>
        <w:rPr>
          <w:rFonts w:ascii="Aptos" w:hAnsi="Aptos" w:cstheme="minorHAnsi"/>
          <w:szCs w:val="20"/>
        </w:rPr>
      </w:pPr>
      <w:r w:rsidRPr="003B5D38">
        <w:rPr>
          <w:rFonts w:ascii="Aptos" w:hAnsi="Aptos" w:cstheme="minorHAnsi"/>
          <w:szCs w:val="20"/>
        </w:rPr>
        <w:t xml:space="preserve">If the titleholders are in default of a title condition (or other provision of the OPGGS Act or regulations), the </w:t>
      </w:r>
      <w:bookmarkStart w:id="3" w:name="_Hlk14867945"/>
      <w:r w:rsidRPr="003B5D38">
        <w:rPr>
          <w:rFonts w:ascii="Aptos" w:hAnsi="Aptos" w:cstheme="minorHAnsi"/>
          <w:szCs w:val="20"/>
        </w:rPr>
        <w:t>RCM may d</w:t>
      </w:r>
      <w:bookmarkEnd w:id="3"/>
      <w:r w:rsidRPr="003B5D38">
        <w:rPr>
          <w:rFonts w:ascii="Aptos" w:hAnsi="Aptos" w:cstheme="minorHAnsi"/>
          <w:szCs w:val="20"/>
        </w:rPr>
        <w:t>ecide to initiate cancellation proceedings for the title under section 446 of the OPGGS Act. A fact sheet about Cancellation of Offshore GHG Titles is available on NOPTA’s website.</w:t>
      </w:r>
    </w:p>
    <w:p w14:paraId="3E06DB5A" w14:textId="77777777" w:rsidR="00272343" w:rsidRPr="00A224CB" w:rsidRDefault="00272343" w:rsidP="00272343">
      <w:pPr>
        <w:pStyle w:val="Heading2"/>
      </w:pPr>
      <w:r w:rsidRPr="003810AA">
        <w:t xml:space="preserve">Surrender of title </w:t>
      </w:r>
    </w:p>
    <w:p w14:paraId="2819F379" w14:textId="77777777" w:rsidR="00272343" w:rsidRPr="004A58BD" w:rsidRDefault="00272343" w:rsidP="00272343">
      <w:pPr>
        <w:pStyle w:val="ListParagraph"/>
        <w:ind w:left="0"/>
        <w:rPr>
          <w:rFonts w:ascii="Aptos" w:hAnsi="Aptos" w:cstheme="minorHAnsi"/>
          <w:szCs w:val="20"/>
        </w:rPr>
      </w:pPr>
      <w:r w:rsidRPr="004A58BD">
        <w:rPr>
          <w:rFonts w:ascii="Aptos" w:hAnsi="Aptos" w:cstheme="minorHAnsi"/>
          <w:szCs w:val="20"/>
        </w:rPr>
        <w:t xml:space="preserve">If the RCM consents to the surrender, the titleholders may then elect to surrender the title by providing written notice to the RCM via NOPTA. </w:t>
      </w:r>
    </w:p>
    <w:p w14:paraId="069E3264" w14:textId="77777777" w:rsidR="00272343" w:rsidRPr="00A224CB" w:rsidRDefault="00272343" w:rsidP="00272343">
      <w:pPr>
        <w:pStyle w:val="Heading2"/>
      </w:pPr>
      <w:r w:rsidRPr="003810AA">
        <w:lastRenderedPageBreak/>
        <w:t>Communication of surrender</w:t>
      </w:r>
    </w:p>
    <w:p w14:paraId="7DFFDA1A" w14:textId="77777777" w:rsidR="00272343" w:rsidRPr="00090A6E" w:rsidRDefault="00272343" w:rsidP="00272343">
      <w:pPr>
        <w:rPr>
          <w:szCs w:val="20"/>
          <w:lang w:eastAsia="en-AU"/>
        </w:rPr>
      </w:pPr>
      <w:r w:rsidRPr="004A58BD">
        <w:rPr>
          <w:rFonts w:ascii="Aptos" w:hAnsi="Aptos" w:cstheme="minorHAnsi"/>
          <w:szCs w:val="20"/>
        </w:rPr>
        <w:t>The surrender takes effect on the day the surrender notice is published in the Australian Government Gazette. The published gazette notice will be recorded on the Titles Register and available on the</w:t>
      </w:r>
      <w:r w:rsidRPr="00090A6E">
        <w:rPr>
          <w:szCs w:val="20"/>
        </w:rPr>
        <w:t xml:space="preserve"> </w:t>
      </w:r>
      <w:hyperlink r:id="rId22" w:history="1">
        <w:r w:rsidRPr="005C0C5B">
          <w:rPr>
            <w:rStyle w:val="Hyperlink"/>
            <w:rFonts w:ascii="Aptos" w:hAnsi="Aptos"/>
            <w:color w:val="0563C1"/>
            <w:szCs w:val="20"/>
          </w:rPr>
          <w:t>NEATS website</w:t>
        </w:r>
      </w:hyperlink>
      <w:r w:rsidRPr="005C0C5B">
        <w:rPr>
          <w:rStyle w:val="Hyperlink"/>
          <w:rFonts w:ascii="Aptos" w:hAnsi="Aptos"/>
          <w:color w:val="0563C1"/>
          <w:szCs w:val="20"/>
        </w:rPr>
        <w:t>.</w:t>
      </w:r>
    </w:p>
    <w:p w14:paraId="5B5F04FD" w14:textId="77777777" w:rsidR="00272343" w:rsidRPr="00A224CB" w:rsidRDefault="00272343" w:rsidP="00272343">
      <w:pPr>
        <w:pStyle w:val="Heading2"/>
      </w:pPr>
      <w:r w:rsidRPr="003810AA">
        <w:t>More information</w:t>
      </w:r>
    </w:p>
    <w:p w14:paraId="674F4D54" w14:textId="77777777" w:rsidR="00272343" w:rsidRPr="00090A6E" w:rsidRDefault="00272343" w:rsidP="00272343">
      <w:pPr>
        <w:rPr>
          <w:szCs w:val="20"/>
        </w:rPr>
      </w:pPr>
      <w:r w:rsidRPr="004A58BD">
        <w:rPr>
          <w:rFonts w:ascii="Aptos" w:hAnsi="Aptos" w:cstheme="minorHAnsi"/>
          <w:szCs w:val="20"/>
        </w:rPr>
        <w:t xml:space="preserve">If you have any specific questions, please contact NOPTA </w:t>
      </w:r>
      <w:hyperlink r:id="rId23">
        <w:r w:rsidRPr="005C0C5B">
          <w:rPr>
            <w:rStyle w:val="Hyperlink"/>
            <w:rFonts w:ascii="Aptos" w:hAnsi="Aptos"/>
            <w:color w:val="0563C1"/>
            <w:szCs w:val="20"/>
          </w:rPr>
          <w:t>ghg@nopta.gov.au</w:t>
        </w:r>
      </w:hyperlink>
      <w:r w:rsidRPr="005C0C5B">
        <w:rPr>
          <w:rStyle w:val="Hyperlink"/>
          <w:rFonts w:ascii="Aptos" w:hAnsi="Aptos"/>
          <w:color w:val="0563C1"/>
        </w:rPr>
        <w:t>.</w:t>
      </w:r>
    </w:p>
    <w:p w14:paraId="68566D2D" w14:textId="77777777" w:rsidR="00272343" w:rsidRPr="004A58BD" w:rsidRDefault="00272343" w:rsidP="00272343">
      <w:pPr>
        <w:rPr>
          <w:rFonts w:ascii="Aptos" w:hAnsi="Aptos" w:cstheme="minorHAnsi"/>
          <w:szCs w:val="20"/>
        </w:rPr>
      </w:pPr>
      <w:r w:rsidRPr="004A58BD">
        <w:rPr>
          <w:rFonts w:ascii="Aptos" w:hAnsi="Aptos" w:cstheme="minorHAnsi"/>
          <w:b/>
          <w:bCs/>
          <w:szCs w:val="20"/>
        </w:rPr>
        <w:t>Please note</w:t>
      </w:r>
      <w:r w:rsidRPr="004A58BD">
        <w:rPr>
          <w:rFonts w:ascii="Aptos" w:hAnsi="Aptos" w:cstheme="minorHAnsi"/>
          <w:szCs w:val="20"/>
        </w:rPr>
        <w:t>: this document is intended as a guide only and should not be relied on as legal advice or regarded as a substitute for legal advice in individual cases</w:t>
      </w:r>
    </w:p>
    <w:p w14:paraId="56A73322" w14:textId="77777777" w:rsidR="00272343" w:rsidRPr="00A224CB" w:rsidRDefault="00272343" w:rsidP="00272343">
      <w:pPr>
        <w:pStyle w:val="Heading2"/>
      </w:pPr>
      <w:r w:rsidRPr="003810AA">
        <w:t>Version history</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7" w:type="dxa"/>
          <w:right w:w="57" w:type="dxa"/>
        </w:tblCellMar>
        <w:tblLook w:val="04A0" w:firstRow="1" w:lastRow="0" w:firstColumn="1" w:lastColumn="0" w:noHBand="0" w:noVBand="1"/>
        <w:tblCaption w:val="Version History"/>
        <w:tblDescription w:val="Version, date, comment"/>
      </w:tblPr>
      <w:tblGrid>
        <w:gridCol w:w="704"/>
        <w:gridCol w:w="1006"/>
        <w:gridCol w:w="3032"/>
      </w:tblGrid>
      <w:tr w:rsidR="00272343" w:rsidRPr="00272343" w14:paraId="0DF3A67C" w14:textId="77777777" w:rsidTr="004E7B08">
        <w:trPr>
          <w:trHeight w:val="170"/>
        </w:trPr>
        <w:tc>
          <w:tcPr>
            <w:tcW w:w="611" w:type="dxa"/>
          </w:tcPr>
          <w:p w14:paraId="67618CBF" w14:textId="77777777" w:rsidR="00272343" w:rsidRPr="00272343" w:rsidRDefault="00272343" w:rsidP="00272343">
            <w:pPr>
              <w:spacing w:before="40" w:beforeAutospacing="0" w:after="40" w:afterAutospacing="0"/>
              <w:rPr>
                <w:rFonts w:ascii="Aptos" w:hAnsi="Aptos" w:cstheme="minorHAnsi"/>
                <w:sz w:val="18"/>
                <w:szCs w:val="18"/>
              </w:rPr>
            </w:pPr>
            <w:r w:rsidRPr="00272343">
              <w:rPr>
                <w:rFonts w:ascii="Aptos" w:hAnsi="Aptos" w:cstheme="minorHAnsi"/>
                <w:sz w:val="18"/>
                <w:szCs w:val="18"/>
              </w:rPr>
              <w:t>Version</w:t>
            </w:r>
          </w:p>
        </w:tc>
        <w:tc>
          <w:tcPr>
            <w:tcW w:w="956" w:type="dxa"/>
          </w:tcPr>
          <w:p w14:paraId="24615CB8" w14:textId="77777777" w:rsidR="00272343" w:rsidRPr="00272343" w:rsidRDefault="00272343" w:rsidP="00272343">
            <w:pPr>
              <w:spacing w:before="40" w:beforeAutospacing="0" w:after="40" w:afterAutospacing="0"/>
              <w:rPr>
                <w:rFonts w:ascii="Aptos" w:hAnsi="Aptos" w:cstheme="minorHAnsi"/>
                <w:sz w:val="18"/>
                <w:szCs w:val="18"/>
              </w:rPr>
            </w:pPr>
            <w:r w:rsidRPr="00272343">
              <w:rPr>
                <w:rFonts w:ascii="Aptos" w:hAnsi="Aptos" w:cstheme="minorHAnsi"/>
                <w:sz w:val="18"/>
                <w:szCs w:val="18"/>
              </w:rPr>
              <w:t>Date</w:t>
            </w:r>
          </w:p>
        </w:tc>
        <w:tc>
          <w:tcPr>
            <w:tcW w:w="3032" w:type="dxa"/>
          </w:tcPr>
          <w:p w14:paraId="462ED6CF" w14:textId="77777777" w:rsidR="00272343" w:rsidRPr="00272343" w:rsidRDefault="00272343" w:rsidP="00272343">
            <w:pPr>
              <w:spacing w:before="40" w:beforeAutospacing="0" w:after="40" w:afterAutospacing="0"/>
              <w:rPr>
                <w:rFonts w:ascii="Aptos" w:hAnsi="Aptos" w:cstheme="minorHAnsi"/>
                <w:sz w:val="18"/>
                <w:szCs w:val="18"/>
              </w:rPr>
            </w:pPr>
            <w:r w:rsidRPr="00272343">
              <w:rPr>
                <w:rFonts w:ascii="Aptos" w:hAnsi="Aptos" w:cstheme="minorHAnsi"/>
                <w:sz w:val="18"/>
                <w:szCs w:val="18"/>
              </w:rPr>
              <w:t>Comment</w:t>
            </w:r>
          </w:p>
        </w:tc>
      </w:tr>
      <w:tr w:rsidR="00272343" w:rsidRPr="00272343" w14:paraId="61D08A5B" w14:textId="77777777" w:rsidTr="004E7B08">
        <w:trPr>
          <w:trHeight w:val="170"/>
        </w:trPr>
        <w:tc>
          <w:tcPr>
            <w:tcW w:w="611" w:type="dxa"/>
          </w:tcPr>
          <w:p w14:paraId="57468A02" w14:textId="77777777" w:rsidR="00272343" w:rsidRPr="00272343" w:rsidRDefault="00272343" w:rsidP="00272343">
            <w:pPr>
              <w:spacing w:before="40" w:beforeAutospacing="0" w:after="40" w:afterAutospacing="0"/>
              <w:rPr>
                <w:rFonts w:ascii="Aptos" w:hAnsi="Aptos" w:cstheme="minorHAnsi"/>
                <w:sz w:val="18"/>
                <w:szCs w:val="18"/>
              </w:rPr>
            </w:pPr>
            <w:r w:rsidRPr="00272343">
              <w:rPr>
                <w:rFonts w:ascii="Aptos" w:hAnsi="Aptos" w:cstheme="minorHAnsi"/>
                <w:sz w:val="18"/>
                <w:szCs w:val="18"/>
              </w:rPr>
              <w:t>3.0</w:t>
            </w:r>
          </w:p>
        </w:tc>
        <w:tc>
          <w:tcPr>
            <w:tcW w:w="956" w:type="dxa"/>
          </w:tcPr>
          <w:p w14:paraId="482959F3" w14:textId="77777777" w:rsidR="00272343" w:rsidRPr="00272343" w:rsidRDefault="00272343" w:rsidP="00272343">
            <w:pPr>
              <w:spacing w:before="40" w:beforeAutospacing="0" w:after="40" w:afterAutospacing="0"/>
              <w:rPr>
                <w:rFonts w:ascii="Aptos" w:hAnsi="Aptos" w:cstheme="minorHAnsi"/>
                <w:sz w:val="18"/>
                <w:szCs w:val="18"/>
                <w:highlight w:val="yellow"/>
              </w:rPr>
            </w:pPr>
            <w:r w:rsidRPr="009147ED">
              <w:rPr>
                <w:rFonts w:ascii="Aptos" w:hAnsi="Aptos" w:cstheme="minorHAnsi"/>
                <w:sz w:val="18"/>
                <w:szCs w:val="18"/>
              </w:rPr>
              <w:t>06/02/2025</w:t>
            </w:r>
          </w:p>
        </w:tc>
        <w:tc>
          <w:tcPr>
            <w:tcW w:w="3032" w:type="dxa"/>
          </w:tcPr>
          <w:p w14:paraId="756C9657" w14:textId="77777777" w:rsidR="00272343" w:rsidRPr="00272343" w:rsidRDefault="00272343" w:rsidP="00272343">
            <w:pPr>
              <w:spacing w:before="40" w:beforeAutospacing="0" w:after="40" w:afterAutospacing="0"/>
              <w:rPr>
                <w:rFonts w:ascii="Aptos" w:hAnsi="Aptos" w:cstheme="minorHAnsi"/>
                <w:sz w:val="18"/>
                <w:szCs w:val="18"/>
              </w:rPr>
            </w:pPr>
            <w:r w:rsidRPr="00272343">
              <w:rPr>
                <w:rFonts w:ascii="Aptos" w:hAnsi="Aptos" w:cstheme="minorHAnsi"/>
                <w:sz w:val="18"/>
                <w:szCs w:val="18"/>
              </w:rPr>
              <w:t>Update to layout, format and links</w:t>
            </w:r>
          </w:p>
        </w:tc>
      </w:tr>
      <w:tr w:rsidR="00272343" w:rsidRPr="00272343" w14:paraId="10406272" w14:textId="77777777" w:rsidTr="004E7B08">
        <w:trPr>
          <w:trHeight w:val="170"/>
        </w:trPr>
        <w:tc>
          <w:tcPr>
            <w:tcW w:w="611" w:type="dxa"/>
          </w:tcPr>
          <w:p w14:paraId="18589D8D" w14:textId="77777777" w:rsidR="00272343" w:rsidRPr="00272343" w:rsidRDefault="00272343" w:rsidP="00272343">
            <w:pPr>
              <w:spacing w:before="40" w:beforeAutospacing="0" w:after="40" w:afterAutospacing="0"/>
              <w:rPr>
                <w:rFonts w:ascii="Aptos" w:hAnsi="Aptos" w:cstheme="minorHAnsi"/>
                <w:sz w:val="18"/>
                <w:szCs w:val="18"/>
              </w:rPr>
            </w:pPr>
            <w:r w:rsidRPr="00272343">
              <w:rPr>
                <w:rFonts w:ascii="Aptos" w:hAnsi="Aptos" w:cstheme="minorHAnsi"/>
                <w:sz w:val="18"/>
                <w:szCs w:val="18"/>
              </w:rPr>
              <w:t>2.0</w:t>
            </w:r>
          </w:p>
        </w:tc>
        <w:tc>
          <w:tcPr>
            <w:tcW w:w="956" w:type="dxa"/>
          </w:tcPr>
          <w:p w14:paraId="1AA0F18F" w14:textId="77777777" w:rsidR="00272343" w:rsidRPr="00272343" w:rsidRDefault="00272343" w:rsidP="00272343">
            <w:pPr>
              <w:spacing w:before="40" w:beforeAutospacing="0" w:after="40" w:afterAutospacing="0"/>
              <w:rPr>
                <w:rFonts w:ascii="Aptos" w:hAnsi="Aptos" w:cstheme="minorHAnsi"/>
                <w:sz w:val="18"/>
                <w:szCs w:val="18"/>
              </w:rPr>
            </w:pPr>
            <w:r w:rsidRPr="00272343">
              <w:rPr>
                <w:rFonts w:ascii="Aptos" w:hAnsi="Aptos" w:cstheme="minorHAnsi"/>
                <w:sz w:val="18"/>
                <w:szCs w:val="18"/>
              </w:rPr>
              <w:t>18/03/2024</w:t>
            </w:r>
          </w:p>
        </w:tc>
        <w:tc>
          <w:tcPr>
            <w:tcW w:w="3032" w:type="dxa"/>
          </w:tcPr>
          <w:p w14:paraId="2B5FAB6E" w14:textId="77777777" w:rsidR="00272343" w:rsidRPr="00272343" w:rsidRDefault="00272343" w:rsidP="00272343">
            <w:pPr>
              <w:spacing w:before="40" w:beforeAutospacing="0" w:after="40" w:afterAutospacing="0"/>
              <w:rPr>
                <w:rFonts w:ascii="Aptos" w:hAnsi="Aptos" w:cstheme="minorHAnsi"/>
                <w:sz w:val="18"/>
                <w:szCs w:val="18"/>
              </w:rPr>
            </w:pPr>
            <w:r w:rsidRPr="00272343">
              <w:rPr>
                <w:rFonts w:ascii="Aptos" w:hAnsi="Aptos" w:cstheme="minorHAnsi"/>
                <w:sz w:val="18"/>
                <w:szCs w:val="18"/>
              </w:rPr>
              <w:t>Update – administrative amendments</w:t>
            </w:r>
          </w:p>
        </w:tc>
      </w:tr>
      <w:bookmarkEnd w:id="0"/>
    </w:tbl>
    <w:p w14:paraId="1998FD7D" w14:textId="77777777" w:rsidR="00760394" w:rsidRPr="00F322A3" w:rsidRDefault="00760394" w:rsidP="00272343">
      <w:pPr>
        <w:rPr>
          <w:rFonts w:ascii="Aptos" w:hAnsi="Aptos"/>
          <w:sz w:val="2"/>
          <w:szCs w:val="2"/>
        </w:rPr>
      </w:pPr>
    </w:p>
    <w:sectPr w:rsidR="00760394" w:rsidRPr="00F322A3" w:rsidSect="00D34E8E">
      <w:headerReference w:type="default" r:id="rId24"/>
      <w:type w:val="continuous"/>
      <w:pgSz w:w="11906" w:h="16838"/>
      <w:pgMar w:top="2552" w:right="992" w:bottom="851" w:left="992" w:header="709" w:footer="28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4E89" w14:textId="77777777" w:rsidR="00183A8E" w:rsidRDefault="00183A8E" w:rsidP="00760394">
      <w:pPr>
        <w:spacing w:before="0" w:after="0"/>
      </w:pPr>
      <w:r>
        <w:separator/>
      </w:r>
    </w:p>
  </w:endnote>
  <w:endnote w:type="continuationSeparator" w:id="0">
    <w:p w14:paraId="68400CD4" w14:textId="77777777" w:rsidR="00183A8E" w:rsidRDefault="00183A8E" w:rsidP="00760394">
      <w:pPr>
        <w:spacing w:before="0" w:after="0"/>
      </w:pPr>
      <w:r>
        <w:continuationSeparator/>
      </w:r>
    </w:p>
  </w:endnote>
  <w:endnote w:type="continuationNotice" w:id="1">
    <w:p w14:paraId="318F0EA3" w14:textId="77777777" w:rsidR="00183A8E" w:rsidRDefault="00183A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336F" w14:textId="77777777" w:rsidR="00760394" w:rsidRDefault="00760394">
    <w:pPr>
      <w:pStyle w:val="Footer"/>
    </w:pPr>
    <w:r>
      <w:rPr>
        <w:noProof/>
      </w:rPr>
      <mc:AlternateContent>
        <mc:Choice Requires="wps">
          <w:drawing>
            <wp:anchor distT="0" distB="0" distL="0" distR="0" simplePos="0" relativeHeight="251658246" behindDoc="0" locked="0" layoutInCell="1" allowOverlap="1" wp14:anchorId="0D25AEF2" wp14:editId="79B53315">
              <wp:simplePos x="635" y="635"/>
              <wp:positionH relativeFrom="column">
                <wp:align>center</wp:align>
              </wp:positionH>
              <wp:positionV relativeFrom="paragraph">
                <wp:posOffset>635</wp:posOffset>
              </wp:positionV>
              <wp:extent cx="443865" cy="443865"/>
              <wp:effectExtent l="0" t="0" r="18415" b="1079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A9283"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25AEF2" id="_x0000_t202" coordsize="21600,21600" o:spt="202" path="m,l,21600r21600,l21600,xe">
              <v:stroke joinstyle="miter"/>
              <v:path gradientshapeok="t" o:connecttype="rect"/>
            </v:shapetype>
            <v:shape id="Text Box 11" o:spid="_x0000_s1028"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1BA9283"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7440" w14:textId="45B1A5AF" w:rsidR="00760394" w:rsidRPr="006F39EB" w:rsidRDefault="00760394" w:rsidP="00DA35C9">
    <w:pPr>
      <w:pStyle w:val="Footer"/>
      <w:tabs>
        <w:tab w:val="clear" w:pos="4513"/>
        <w:tab w:val="clear" w:pos="9026"/>
        <w:tab w:val="left" w:pos="0"/>
        <w:tab w:val="center" w:pos="4860"/>
        <w:tab w:val="right" w:pos="9900"/>
      </w:tabs>
      <w:spacing w:before="0" w:beforeAutospacing="0" w:after="120" w:afterAutospacing="0"/>
      <w:jc w:val="center"/>
      <w:rPr>
        <w:rFonts w:ascii="Aptos" w:hAnsi="Aptos"/>
      </w:rPr>
    </w:pPr>
    <w:r w:rsidRPr="006F39EB">
      <w:rPr>
        <w:rFonts w:ascii="Aptos" w:hAnsi="Aptos"/>
        <w:noProof/>
        <w:lang w:eastAsia="en-AU"/>
      </w:rPr>
      <mc:AlternateContent>
        <mc:Choice Requires="wps">
          <w:drawing>
            <wp:anchor distT="0" distB="0" distL="114300" distR="114300" simplePos="0" relativeHeight="251658240" behindDoc="0" locked="0" layoutInCell="1" allowOverlap="1" wp14:anchorId="37759D2C" wp14:editId="501D5298">
              <wp:simplePos x="0" y="0"/>
              <wp:positionH relativeFrom="margin">
                <wp:posOffset>-1905</wp:posOffset>
              </wp:positionH>
              <wp:positionV relativeFrom="paragraph">
                <wp:posOffset>-68580</wp:posOffset>
              </wp:positionV>
              <wp:extent cx="6324600" cy="0"/>
              <wp:effectExtent l="0" t="0" r="0" b="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ln>
                        <a:solidFill>
                          <a:schemeClr val="accent6">
                            <a:lumMod val="50000"/>
                          </a:schemeClr>
                        </a:solidFill>
                        <a:headEnd/>
                        <a:tailEnd/>
                      </a:ln>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513A9C" id="Line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5.4pt" to="497.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" strokecolor="#375623 [1609]" strokeweight="1.5pt">
              <v:stroke joinstyle="miter"/>
              <w10:wrap anchorx="margin"/>
            </v:line>
          </w:pict>
        </mc:Fallback>
      </mc:AlternateContent>
    </w:r>
    <w:hyperlink r:id="rId1" w:history="1">
      <w:r w:rsidRPr="006F39EB">
        <w:rPr>
          <w:rStyle w:val="Hyperlink"/>
          <w:rFonts w:ascii="Aptos" w:hAnsi="Aptos"/>
        </w:rPr>
        <w:t>www.nopta.gov.au</w:t>
      </w:r>
    </w:hyperlink>
    <w:r w:rsidRPr="006F39EB">
      <w:rPr>
        <w:rFonts w:ascii="Aptos" w:hAnsi="Aptos"/>
      </w:rPr>
      <w:t xml:space="preserve"> </w:t>
    </w:r>
    <w:r w:rsidRPr="006F39EB">
      <w:rPr>
        <w:rFonts w:ascii="Aptos" w:hAnsi="Aptos"/>
      </w:rPr>
      <w:tab/>
    </w:r>
    <w:r w:rsidRPr="006F39EB">
      <w:rPr>
        <w:rFonts w:ascii="Aptos" w:hAnsi="Aptos"/>
      </w:rPr>
      <w:tab/>
    </w:r>
    <w:r w:rsidR="00974705" w:rsidRPr="00BA149F">
      <w:rPr>
        <w:rFonts w:ascii="Aptos" w:hAnsi="Aptos"/>
      </w:rPr>
      <w:t>V</w:t>
    </w:r>
    <w:r w:rsidR="00974705" w:rsidRPr="00BA149F">
      <w:t>ersion</w:t>
    </w:r>
    <w:r w:rsidR="00272343" w:rsidRPr="00BA149F">
      <w:t xml:space="preserve"> 3</w:t>
    </w:r>
    <w:r w:rsidR="00974705" w:rsidRPr="00BA149F">
      <w:t xml:space="preserve">: </w:t>
    </w:r>
    <w:r w:rsidR="00272343" w:rsidRPr="00BA149F">
      <w:t>February</w:t>
    </w:r>
    <w:r w:rsidR="00974705" w:rsidRPr="00BA149F">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C2F6" w14:textId="77777777" w:rsidR="00760394" w:rsidRDefault="00760394">
    <w:pPr>
      <w:pStyle w:val="Footer"/>
    </w:pPr>
    <w:r>
      <w:rPr>
        <w:noProof/>
      </w:rPr>
      <mc:AlternateContent>
        <mc:Choice Requires="wps">
          <w:drawing>
            <wp:anchor distT="0" distB="0" distL="0" distR="0" simplePos="0" relativeHeight="251658245" behindDoc="0" locked="0" layoutInCell="1" allowOverlap="1" wp14:anchorId="5A58E7E0" wp14:editId="1FC4717D">
              <wp:simplePos x="635" y="635"/>
              <wp:positionH relativeFrom="column">
                <wp:align>center</wp:align>
              </wp:positionH>
              <wp:positionV relativeFrom="paragraph">
                <wp:posOffset>635</wp:posOffset>
              </wp:positionV>
              <wp:extent cx="443865" cy="443865"/>
              <wp:effectExtent l="0" t="0" r="18415" b="1079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3EA29"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58E7E0"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8E3EA29"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A846" w14:textId="77777777" w:rsidR="00183A8E" w:rsidRDefault="00183A8E" w:rsidP="00760394">
      <w:pPr>
        <w:spacing w:before="0" w:after="0"/>
      </w:pPr>
      <w:r>
        <w:separator/>
      </w:r>
    </w:p>
  </w:footnote>
  <w:footnote w:type="continuationSeparator" w:id="0">
    <w:p w14:paraId="54DC02C2" w14:textId="77777777" w:rsidR="00183A8E" w:rsidRDefault="00183A8E" w:rsidP="00760394">
      <w:pPr>
        <w:spacing w:before="0" w:after="0"/>
      </w:pPr>
      <w:r>
        <w:continuationSeparator/>
      </w:r>
    </w:p>
  </w:footnote>
  <w:footnote w:type="continuationNotice" w:id="1">
    <w:p w14:paraId="3F343BDB" w14:textId="77777777" w:rsidR="00183A8E" w:rsidRDefault="00183A8E">
      <w:pPr>
        <w:spacing w:before="0" w:after="0"/>
      </w:pPr>
    </w:p>
  </w:footnote>
  <w:footnote w:id="2">
    <w:p w14:paraId="110D6DD5" w14:textId="77777777" w:rsidR="00272343" w:rsidRPr="00272343" w:rsidRDefault="00272343" w:rsidP="00272343">
      <w:pPr>
        <w:pStyle w:val="FootnoteText"/>
        <w:rPr>
          <w:color w:val="565751"/>
          <w:sz w:val="16"/>
          <w:szCs w:val="16"/>
        </w:rPr>
      </w:pPr>
      <w:r w:rsidRPr="00272343">
        <w:rPr>
          <w:rStyle w:val="FootnoteReference"/>
          <w:color w:val="565751"/>
          <w:sz w:val="16"/>
          <w:szCs w:val="16"/>
        </w:rPr>
        <w:footnoteRef/>
      </w:r>
      <w:r w:rsidRPr="00272343">
        <w:rPr>
          <w:color w:val="565751"/>
          <w:sz w:val="16"/>
          <w:szCs w:val="16"/>
        </w:rPr>
        <w:t xml:space="preserve"> </w:t>
      </w:r>
      <w:r w:rsidRPr="00272343">
        <w:rPr>
          <w:rFonts w:cstheme="minorHAnsi"/>
          <w:color w:val="565751"/>
          <w:sz w:val="16"/>
          <w:szCs w:val="16"/>
        </w:rPr>
        <w:t>See section 13 of the OPGGS Act</w:t>
      </w:r>
    </w:p>
  </w:footnote>
  <w:footnote w:id="3">
    <w:p w14:paraId="4B3B439E" w14:textId="77777777" w:rsidR="00272343" w:rsidRPr="00C478C5" w:rsidRDefault="00272343" w:rsidP="00272343">
      <w:pPr>
        <w:pStyle w:val="FootnoteText"/>
        <w:spacing w:before="100" w:beforeAutospacing="1" w:after="100" w:afterAutospacing="1"/>
        <w:rPr>
          <w:rFonts w:cstheme="minorHAnsi"/>
          <w:color w:val="565751"/>
          <w:sz w:val="20"/>
        </w:rPr>
      </w:pPr>
      <w:r w:rsidRPr="00C478C5">
        <w:rPr>
          <w:rFonts w:cstheme="minorHAnsi"/>
          <w:color w:val="565751"/>
          <w:sz w:val="20"/>
        </w:rPr>
        <w:footnoteRef/>
      </w:r>
      <w:r w:rsidRPr="00C478C5">
        <w:rPr>
          <w:rFonts w:cstheme="minorHAnsi"/>
          <w:color w:val="565751"/>
          <w:sz w:val="20"/>
        </w:rPr>
        <w:t xml:space="preserve"> NOPSEMA has an advisory function to the RCM in section 646 of the OPGGS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0D2B" w14:textId="77777777" w:rsidR="00760394" w:rsidRDefault="00760394">
    <w:pPr>
      <w:pStyle w:val="Header"/>
    </w:pPr>
    <w:r>
      <w:rPr>
        <w:noProof/>
      </w:rPr>
      <mc:AlternateContent>
        <mc:Choice Requires="wps">
          <w:drawing>
            <wp:anchor distT="0" distB="0" distL="0" distR="0" simplePos="0" relativeHeight="251658243" behindDoc="0" locked="0" layoutInCell="1" allowOverlap="1" wp14:anchorId="022EC3F6" wp14:editId="57206811">
              <wp:simplePos x="635" y="635"/>
              <wp:positionH relativeFrom="column">
                <wp:align>center</wp:align>
              </wp:positionH>
              <wp:positionV relativeFrom="paragraph">
                <wp:posOffset>635</wp:posOffset>
              </wp:positionV>
              <wp:extent cx="443865" cy="443865"/>
              <wp:effectExtent l="0" t="0" r="18415" b="1079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15172"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2EC3F6"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D415172"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9656" w14:textId="77777777" w:rsidR="00760394" w:rsidRDefault="00760394" w:rsidP="00C3747D">
    <w:pPr>
      <w:pStyle w:val="Header"/>
    </w:pPr>
    <w:r>
      <w:rPr>
        <w:noProof/>
      </w:rPr>
      <mc:AlternateContent>
        <mc:Choice Requires="wps">
          <w:drawing>
            <wp:anchor distT="0" distB="0" distL="0" distR="0" simplePos="0" relativeHeight="251658244" behindDoc="0" locked="0" layoutInCell="1" allowOverlap="1" wp14:anchorId="11453AC2" wp14:editId="27EBE225">
              <wp:simplePos x="628650" y="450850"/>
              <wp:positionH relativeFrom="column">
                <wp:align>center</wp:align>
              </wp:positionH>
              <wp:positionV relativeFrom="paragraph">
                <wp:posOffset>635</wp:posOffset>
              </wp:positionV>
              <wp:extent cx="443865" cy="443865"/>
              <wp:effectExtent l="0" t="0" r="18415" b="1079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E3C42" w14:textId="77777777" w:rsidR="00760394" w:rsidRPr="00AE1C7B" w:rsidRDefault="00760394">
                          <w:pPr>
                            <w:rPr>
                              <w:rFonts w:ascii="Arial" w:eastAsia="Arial" w:hAnsi="Arial" w:cs="Arial"/>
                              <w:color w:val="FF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453AC2"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DDE3C42" w14:textId="77777777" w:rsidR="00760394" w:rsidRPr="00AE1C7B" w:rsidRDefault="00760394">
                    <w:pPr>
                      <w:rPr>
                        <w:rFonts w:ascii="Arial" w:eastAsia="Arial" w:hAnsi="Arial" w:cs="Arial"/>
                        <w:color w:val="FF0000"/>
                      </w:rPr>
                    </w:pPr>
                  </w:p>
                </w:txbxContent>
              </v:textbox>
              <w10:wrap type="square"/>
            </v:shape>
          </w:pict>
        </mc:Fallback>
      </mc:AlternateContent>
    </w:r>
    <w:r>
      <w:rPr>
        <w:noProof/>
      </w:rPr>
      <w:drawing>
        <wp:anchor distT="0" distB="0" distL="114300" distR="114300" simplePos="0" relativeHeight="251658241" behindDoc="0" locked="0" layoutInCell="1" allowOverlap="1" wp14:anchorId="1F4F6BBA" wp14:editId="7B00386D">
          <wp:simplePos x="0" y="0"/>
          <wp:positionH relativeFrom="page">
            <wp:posOffset>-17145</wp:posOffset>
          </wp:positionH>
          <wp:positionV relativeFrom="page">
            <wp:posOffset>-26670</wp:posOffset>
          </wp:positionV>
          <wp:extent cx="7563600" cy="1562400"/>
          <wp:effectExtent l="0" t="0" r="0" b="0"/>
          <wp:wrapNone/>
          <wp:docPr id="2041049594" name="Picture 2041049594" descr="NOPTA Factshee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3600" cy="156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DD1A" w14:textId="77777777" w:rsidR="00760394" w:rsidRDefault="00760394">
    <w:pPr>
      <w:pStyle w:val="Header"/>
    </w:pPr>
    <w:r>
      <w:rPr>
        <w:noProof/>
      </w:rPr>
      <mc:AlternateContent>
        <mc:Choice Requires="wps">
          <w:drawing>
            <wp:anchor distT="0" distB="0" distL="0" distR="0" simplePos="0" relativeHeight="251658242" behindDoc="0" locked="0" layoutInCell="1" allowOverlap="1" wp14:anchorId="5646CDB4" wp14:editId="754E5D29">
              <wp:simplePos x="635" y="635"/>
              <wp:positionH relativeFrom="column">
                <wp:align>center</wp:align>
              </wp:positionH>
              <wp:positionV relativeFrom="paragraph">
                <wp:posOffset>635</wp:posOffset>
              </wp:positionV>
              <wp:extent cx="443865" cy="443865"/>
              <wp:effectExtent l="0" t="0" r="18415" b="1079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359AB"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46CDB4"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D9359AB" w14:textId="77777777" w:rsidR="00760394" w:rsidRPr="00AE1C7B" w:rsidRDefault="00760394">
                    <w:pPr>
                      <w:rPr>
                        <w:rFonts w:ascii="Arial" w:eastAsia="Arial" w:hAnsi="Arial" w:cs="Arial"/>
                        <w:color w:val="FF0000"/>
                      </w:rPr>
                    </w:pPr>
                    <w:r w:rsidRPr="00AE1C7B">
                      <w:rPr>
                        <w:rFonts w:ascii="Arial" w:eastAsia="Arial" w:hAnsi="Arial" w:cs="Arial"/>
                        <w:color w:val="FF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9E94" w14:textId="3F1323B8" w:rsidR="00F63AA9" w:rsidRDefault="003720B4">
    <w:pPr>
      <w:pStyle w:val="Header"/>
    </w:pPr>
    <w:r>
      <w:rPr>
        <w:noProof/>
      </w:rPr>
      <w:drawing>
        <wp:anchor distT="0" distB="0" distL="114300" distR="114300" simplePos="0" relativeHeight="251658247" behindDoc="0" locked="0" layoutInCell="1" allowOverlap="1" wp14:anchorId="5C4E14FF" wp14:editId="7BBE1377">
          <wp:simplePos x="0" y="0"/>
          <wp:positionH relativeFrom="page">
            <wp:posOffset>-18666</wp:posOffset>
          </wp:positionH>
          <wp:positionV relativeFrom="page">
            <wp:posOffset>3012</wp:posOffset>
          </wp:positionV>
          <wp:extent cx="7563600" cy="1562400"/>
          <wp:effectExtent l="0" t="0" r="0" b="0"/>
          <wp:wrapNone/>
          <wp:docPr id="623870181" name="Picture 623870181" descr="NOPTA Factshee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3600" cy="156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B92"/>
    <w:multiLevelType w:val="hybridMultilevel"/>
    <w:tmpl w:val="C2E2C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9C2DA4"/>
    <w:multiLevelType w:val="hybridMultilevel"/>
    <w:tmpl w:val="2B4E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C23AB4"/>
    <w:multiLevelType w:val="hybridMultilevel"/>
    <w:tmpl w:val="5128BEE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BC739BF"/>
    <w:multiLevelType w:val="hybridMultilevel"/>
    <w:tmpl w:val="49329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7811C6"/>
    <w:multiLevelType w:val="hybridMultilevel"/>
    <w:tmpl w:val="05247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9D0934"/>
    <w:multiLevelType w:val="hybridMultilevel"/>
    <w:tmpl w:val="6E88AF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637D85"/>
    <w:multiLevelType w:val="hybridMultilevel"/>
    <w:tmpl w:val="608C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7F58E7"/>
    <w:multiLevelType w:val="hybridMultilevel"/>
    <w:tmpl w:val="4F44458E"/>
    <w:lvl w:ilvl="0" w:tplc="E2D6E9B4">
      <w:start w:val="1"/>
      <w:numFmt w:val="bullet"/>
      <w:pStyle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63602F"/>
    <w:multiLevelType w:val="hybridMultilevel"/>
    <w:tmpl w:val="90B60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4340A0"/>
    <w:multiLevelType w:val="hybridMultilevel"/>
    <w:tmpl w:val="2CE6D20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21693C"/>
    <w:multiLevelType w:val="hybridMultilevel"/>
    <w:tmpl w:val="E244D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06411E"/>
    <w:multiLevelType w:val="hybridMultilevel"/>
    <w:tmpl w:val="C51EA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FB075F"/>
    <w:multiLevelType w:val="hybridMultilevel"/>
    <w:tmpl w:val="425E79DA"/>
    <w:lvl w:ilvl="0" w:tplc="967ED1D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5D447A"/>
    <w:multiLevelType w:val="hybridMultilevel"/>
    <w:tmpl w:val="7652A4C0"/>
    <w:lvl w:ilvl="0" w:tplc="FFFFFFFF">
      <w:start w:val="1"/>
      <w:numFmt w:val="bullet"/>
      <w:lvlText w:val="o"/>
      <w:lvlJc w:val="left"/>
      <w:pPr>
        <w:ind w:left="360" w:hanging="360"/>
      </w:pPr>
      <w:rPr>
        <w:rFonts w:ascii="Courier New" w:hAnsi="Courier New" w:cs="Courier New"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13047A"/>
    <w:multiLevelType w:val="hybridMultilevel"/>
    <w:tmpl w:val="F1F01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67AAB"/>
    <w:multiLevelType w:val="hybridMultilevel"/>
    <w:tmpl w:val="8B06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641564">
    <w:abstractNumId w:val="7"/>
  </w:num>
  <w:num w:numId="2" w16cid:durableId="1193152201">
    <w:abstractNumId w:val="0"/>
  </w:num>
  <w:num w:numId="3" w16cid:durableId="1949775793">
    <w:abstractNumId w:val="12"/>
  </w:num>
  <w:num w:numId="4" w16cid:durableId="1134953795">
    <w:abstractNumId w:val="2"/>
  </w:num>
  <w:num w:numId="5" w16cid:durableId="1153983105">
    <w:abstractNumId w:val="10"/>
  </w:num>
  <w:num w:numId="6" w16cid:durableId="465969730">
    <w:abstractNumId w:val="15"/>
  </w:num>
  <w:num w:numId="7" w16cid:durableId="1948540712">
    <w:abstractNumId w:val="8"/>
  </w:num>
  <w:num w:numId="8" w16cid:durableId="1341926151">
    <w:abstractNumId w:val="14"/>
  </w:num>
  <w:num w:numId="9" w16cid:durableId="1228541072">
    <w:abstractNumId w:val="3"/>
  </w:num>
  <w:num w:numId="10" w16cid:durableId="627705143">
    <w:abstractNumId w:val="11"/>
  </w:num>
  <w:num w:numId="11" w16cid:durableId="1872651040">
    <w:abstractNumId w:val="1"/>
  </w:num>
  <w:num w:numId="12" w16cid:durableId="937637145">
    <w:abstractNumId w:val="4"/>
  </w:num>
  <w:num w:numId="13" w16cid:durableId="1159270171">
    <w:abstractNumId w:val="13"/>
  </w:num>
  <w:num w:numId="14" w16cid:durableId="86390755">
    <w:abstractNumId w:val="9"/>
  </w:num>
  <w:num w:numId="15" w16cid:durableId="1580940069">
    <w:abstractNumId w:val="6"/>
  </w:num>
  <w:num w:numId="16" w16cid:durableId="196703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94"/>
    <w:rsid w:val="0002461D"/>
    <w:rsid w:val="0003631B"/>
    <w:rsid w:val="000935C3"/>
    <w:rsid w:val="000C496B"/>
    <w:rsid w:val="000C7CBE"/>
    <w:rsid w:val="00130C26"/>
    <w:rsid w:val="00132882"/>
    <w:rsid w:val="001542B1"/>
    <w:rsid w:val="00173022"/>
    <w:rsid w:val="00183A8E"/>
    <w:rsid w:val="00183FEE"/>
    <w:rsid w:val="00186030"/>
    <w:rsid w:val="001A5EB0"/>
    <w:rsid w:val="001D03A6"/>
    <w:rsid w:val="001D2BC4"/>
    <w:rsid w:val="001E5CCC"/>
    <w:rsid w:val="00205A60"/>
    <w:rsid w:val="00227391"/>
    <w:rsid w:val="002308A0"/>
    <w:rsid w:val="00242050"/>
    <w:rsid w:val="00272343"/>
    <w:rsid w:val="002A3113"/>
    <w:rsid w:val="00304C8A"/>
    <w:rsid w:val="0031518B"/>
    <w:rsid w:val="003720B4"/>
    <w:rsid w:val="00390DB8"/>
    <w:rsid w:val="00396083"/>
    <w:rsid w:val="003B4501"/>
    <w:rsid w:val="003F03F7"/>
    <w:rsid w:val="0040751B"/>
    <w:rsid w:val="0046120F"/>
    <w:rsid w:val="0049142D"/>
    <w:rsid w:val="004A1412"/>
    <w:rsid w:val="004A4E36"/>
    <w:rsid w:val="004D49EA"/>
    <w:rsid w:val="005366C4"/>
    <w:rsid w:val="005503E5"/>
    <w:rsid w:val="005531CD"/>
    <w:rsid w:val="00571CDF"/>
    <w:rsid w:val="005E1179"/>
    <w:rsid w:val="005F14F1"/>
    <w:rsid w:val="005F192A"/>
    <w:rsid w:val="005F3471"/>
    <w:rsid w:val="006029C5"/>
    <w:rsid w:val="0062058B"/>
    <w:rsid w:val="00641450"/>
    <w:rsid w:val="006630AA"/>
    <w:rsid w:val="00674D44"/>
    <w:rsid w:val="006F39EB"/>
    <w:rsid w:val="00706E8D"/>
    <w:rsid w:val="00707EC5"/>
    <w:rsid w:val="00713A4B"/>
    <w:rsid w:val="00726655"/>
    <w:rsid w:val="007360DB"/>
    <w:rsid w:val="00760394"/>
    <w:rsid w:val="00794A12"/>
    <w:rsid w:val="007A2F49"/>
    <w:rsid w:val="007A58FD"/>
    <w:rsid w:val="007D5487"/>
    <w:rsid w:val="0080438D"/>
    <w:rsid w:val="008113AA"/>
    <w:rsid w:val="008176B1"/>
    <w:rsid w:val="00862151"/>
    <w:rsid w:val="00876238"/>
    <w:rsid w:val="008806AD"/>
    <w:rsid w:val="00895664"/>
    <w:rsid w:val="008A41AE"/>
    <w:rsid w:val="008A70BB"/>
    <w:rsid w:val="00913DB5"/>
    <w:rsid w:val="009147ED"/>
    <w:rsid w:val="00974705"/>
    <w:rsid w:val="0098325C"/>
    <w:rsid w:val="009C6D5D"/>
    <w:rsid w:val="00A0284E"/>
    <w:rsid w:val="00A34F3E"/>
    <w:rsid w:val="00A35163"/>
    <w:rsid w:val="00A77904"/>
    <w:rsid w:val="00AC1018"/>
    <w:rsid w:val="00AE2B45"/>
    <w:rsid w:val="00B15F81"/>
    <w:rsid w:val="00B65FB6"/>
    <w:rsid w:val="00B84CB3"/>
    <w:rsid w:val="00B925AD"/>
    <w:rsid w:val="00BA149F"/>
    <w:rsid w:val="00BA6F1E"/>
    <w:rsid w:val="00BD757F"/>
    <w:rsid w:val="00BF0C32"/>
    <w:rsid w:val="00C0315A"/>
    <w:rsid w:val="00C1086B"/>
    <w:rsid w:val="00C51245"/>
    <w:rsid w:val="00C74D70"/>
    <w:rsid w:val="00C8292A"/>
    <w:rsid w:val="00C8625D"/>
    <w:rsid w:val="00CA53D7"/>
    <w:rsid w:val="00CA63D2"/>
    <w:rsid w:val="00CF0C0C"/>
    <w:rsid w:val="00CF6098"/>
    <w:rsid w:val="00D23335"/>
    <w:rsid w:val="00D26A26"/>
    <w:rsid w:val="00D34E8E"/>
    <w:rsid w:val="00D43968"/>
    <w:rsid w:val="00D514F4"/>
    <w:rsid w:val="00D57A44"/>
    <w:rsid w:val="00D77C3D"/>
    <w:rsid w:val="00D84D7F"/>
    <w:rsid w:val="00D93981"/>
    <w:rsid w:val="00DA35C9"/>
    <w:rsid w:val="00DE6F50"/>
    <w:rsid w:val="00DF7929"/>
    <w:rsid w:val="00E86058"/>
    <w:rsid w:val="00EE4213"/>
    <w:rsid w:val="00EF0723"/>
    <w:rsid w:val="00EF17B9"/>
    <w:rsid w:val="00EF7887"/>
    <w:rsid w:val="00F322A3"/>
    <w:rsid w:val="00F4535D"/>
    <w:rsid w:val="00F63AA9"/>
    <w:rsid w:val="00F86D1C"/>
    <w:rsid w:val="00FB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D41E4"/>
  <w15:chartTrackingRefBased/>
  <w15:docId w15:val="{FCBFE27D-93FF-4628-9C63-2AEEC38A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31B"/>
    <w:pPr>
      <w:spacing w:before="100" w:beforeAutospacing="1" w:after="100" w:afterAutospacing="1" w:line="240" w:lineRule="auto"/>
    </w:pPr>
    <w:rPr>
      <w:color w:val="565751"/>
      <w:sz w:val="20"/>
    </w:rPr>
  </w:style>
  <w:style w:type="paragraph" w:styleId="Heading1">
    <w:name w:val="heading 1"/>
    <w:basedOn w:val="Title"/>
    <w:next w:val="Normal"/>
    <w:link w:val="Heading1Char"/>
    <w:uiPriority w:val="9"/>
    <w:qFormat/>
    <w:rsid w:val="00C51245"/>
    <w:pPr>
      <w:outlineLvl w:val="0"/>
    </w:pPr>
    <w:rPr>
      <w:rFonts w:ascii="Aptos Display" w:hAnsi="Aptos Display"/>
      <w:color w:val="385623"/>
    </w:rPr>
  </w:style>
  <w:style w:type="paragraph" w:styleId="Heading2">
    <w:name w:val="heading 2"/>
    <w:basedOn w:val="Normal"/>
    <w:next w:val="Normal"/>
    <w:link w:val="Heading2Char"/>
    <w:autoRedefine/>
    <w:unhideWhenUsed/>
    <w:qFormat/>
    <w:rsid w:val="00B15F81"/>
    <w:pPr>
      <w:keepNext/>
      <w:keepLines/>
      <w:spacing w:before="120" w:after="120"/>
      <w:contextualSpacing/>
      <w:outlineLvl w:val="1"/>
    </w:pPr>
    <w:rPr>
      <w:rFonts w:ascii="Aptos" w:eastAsiaTheme="majorEastAsia" w:hAnsi="Aptos" w:cstheme="minorHAnsi"/>
      <w:b/>
      <w:color w:val="385623"/>
      <w:sz w:val="24"/>
      <w:lang w:eastAsia="en-AU"/>
    </w:rPr>
  </w:style>
  <w:style w:type="paragraph" w:styleId="Heading3">
    <w:name w:val="heading 3"/>
    <w:basedOn w:val="Normal"/>
    <w:next w:val="Normal"/>
    <w:link w:val="Heading3Char"/>
    <w:autoRedefine/>
    <w:uiPriority w:val="9"/>
    <w:unhideWhenUsed/>
    <w:qFormat/>
    <w:rsid w:val="00EF7887"/>
    <w:pPr>
      <w:spacing w:after="240" w:afterAutospacing="0"/>
      <w:outlineLvl w:val="2"/>
    </w:pPr>
    <w:rPr>
      <w:rFonts w:ascii="Aptos" w:eastAsiaTheme="majorEastAsia" w:hAnsi="Aptos" w:cstheme="majorBidi"/>
      <w:b/>
      <w:sz w:val="22"/>
      <w:szCs w:val="24"/>
    </w:rPr>
  </w:style>
  <w:style w:type="paragraph" w:styleId="Heading4">
    <w:name w:val="heading 4"/>
    <w:basedOn w:val="Normal"/>
    <w:next w:val="Normal"/>
    <w:link w:val="Heading4Char"/>
    <w:autoRedefine/>
    <w:uiPriority w:val="9"/>
    <w:unhideWhenUsed/>
    <w:qFormat/>
    <w:rsid w:val="00B15F81"/>
    <w:pPr>
      <w:keepNext/>
      <w:keepLines/>
      <w:outlineLvl w:val="3"/>
    </w:pPr>
    <w:rPr>
      <w:rFonts w:ascii="Aptos" w:eastAsiaTheme="majorEastAsia" w:hAnsi="Aptos" w:cstheme="majorBidi"/>
      <w:color w:val="3856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22">
    <w:name w:val="Green 22"/>
    <w:basedOn w:val="Heading1"/>
    <w:link w:val="Green22Char"/>
    <w:autoRedefine/>
    <w:rsid w:val="00794A12"/>
    <w:pPr>
      <w:spacing w:before="0"/>
    </w:pPr>
    <w:rPr>
      <w:b w:val="0"/>
      <w:color w:val="538135" w:themeColor="accent6" w:themeShade="BF"/>
    </w:rPr>
  </w:style>
  <w:style w:type="character" w:customStyle="1" w:styleId="Green22Char">
    <w:name w:val="Green 22 Char"/>
    <w:basedOn w:val="Heading1Char"/>
    <w:link w:val="Green22"/>
    <w:rsid w:val="00794A12"/>
    <w:rPr>
      <w:rFonts w:asciiTheme="majorHAnsi" w:eastAsiaTheme="majorEastAsia" w:hAnsiTheme="majorHAnsi" w:cstheme="majorBidi"/>
      <w:b w:val="0"/>
      <w:color w:val="538135" w:themeColor="accent6" w:themeShade="BF"/>
      <w:spacing w:val="-10"/>
      <w:kern w:val="28"/>
      <w:sz w:val="44"/>
      <w:szCs w:val="32"/>
    </w:rPr>
  </w:style>
  <w:style w:type="character" w:customStyle="1" w:styleId="Heading1Char">
    <w:name w:val="Heading 1 Char"/>
    <w:basedOn w:val="DefaultParagraphFont"/>
    <w:link w:val="Heading1"/>
    <w:uiPriority w:val="9"/>
    <w:rsid w:val="00C51245"/>
    <w:rPr>
      <w:rFonts w:ascii="Aptos Display" w:eastAsiaTheme="majorEastAsia" w:hAnsi="Aptos Display" w:cstheme="majorBidi"/>
      <w:b/>
      <w:color w:val="385623"/>
      <w:spacing w:val="-10"/>
      <w:kern w:val="28"/>
      <w:sz w:val="44"/>
      <w:szCs w:val="56"/>
    </w:rPr>
  </w:style>
  <w:style w:type="character" w:customStyle="1" w:styleId="Heading2Char">
    <w:name w:val="Heading 2 Char"/>
    <w:basedOn w:val="DefaultParagraphFont"/>
    <w:link w:val="Heading2"/>
    <w:rsid w:val="00B15F81"/>
    <w:rPr>
      <w:rFonts w:ascii="Aptos" w:eastAsiaTheme="majorEastAsia" w:hAnsi="Aptos" w:cstheme="minorHAnsi"/>
      <w:b/>
      <w:color w:val="385623"/>
      <w:sz w:val="24"/>
      <w:lang w:eastAsia="en-AU"/>
    </w:rPr>
  </w:style>
  <w:style w:type="paragraph" w:styleId="Header">
    <w:name w:val="header"/>
    <w:basedOn w:val="Normal"/>
    <w:link w:val="HeaderChar"/>
    <w:unhideWhenUsed/>
    <w:rsid w:val="00760394"/>
    <w:pPr>
      <w:tabs>
        <w:tab w:val="center" w:pos="4513"/>
        <w:tab w:val="right" w:pos="9026"/>
      </w:tabs>
    </w:pPr>
  </w:style>
  <w:style w:type="character" w:customStyle="1" w:styleId="HeaderChar">
    <w:name w:val="Header Char"/>
    <w:basedOn w:val="DefaultParagraphFont"/>
    <w:link w:val="Header"/>
    <w:rsid w:val="00760394"/>
  </w:style>
  <w:style w:type="paragraph" w:styleId="Footer">
    <w:name w:val="footer"/>
    <w:basedOn w:val="Normal"/>
    <w:link w:val="FooterChar"/>
    <w:unhideWhenUsed/>
    <w:rsid w:val="00760394"/>
    <w:pPr>
      <w:tabs>
        <w:tab w:val="center" w:pos="4513"/>
        <w:tab w:val="right" w:pos="9026"/>
      </w:tabs>
    </w:pPr>
  </w:style>
  <w:style w:type="character" w:customStyle="1" w:styleId="FooterChar">
    <w:name w:val="Footer Char"/>
    <w:basedOn w:val="DefaultParagraphFont"/>
    <w:link w:val="Footer"/>
    <w:rsid w:val="00760394"/>
  </w:style>
  <w:style w:type="character" w:customStyle="1" w:styleId="Heading3Char">
    <w:name w:val="Heading 3 Char"/>
    <w:basedOn w:val="DefaultParagraphFont"/>
    <w:link w:val="Heading3"/>
    <w:uiPriority w:val="9"/>
    <w:rsid w:val="00EF7887"/>
    <w:rPr>
      <w:rFonts w:ascii="Aptos" w:eastAsiaTheme="majorEastAsia" w:hAnsi="Aptos" w:cstheme="majorBidi"/>
      <w:b/>
      <w:color w:val="565751"/>
      <w:szCs w:val="24"/>
    </w:rPr>
  </w:style>
  <w:style w:type="paragraph" w:styleId="Title">
    <w:name w:val="Title"/>
    <w:basedOn w:val="Normal"/>
    <w:next w:val="Normal"/>
    <w:link w:val="TitleChar"/>
    <w:uiPriority w:val="10"/>
    <w:qFormat/>
    <w:rsid w:val="00760394"/>
    <w:pPr>
      <w:spacing w:before="120" w:after="120"/>
    </w:pPr>
    <w:rPr>
      <w:rFonts w:eastAsiaTheme="majorEastAsia" w:cstheme="majorBidi"/>
      <w:b/>
      <w:color w:val="385623" w:themeColor="accent6" w:themeShade="80"/>
      <w:spacing w:val="-10"/>
      <w:kern w:val="28"/>
      <w:sz w:val="44"/>
      <w:szCs w:val="56"/>
    </w:rPr>
  </w:style>
  <w:style w:type="character" w:customStyle="1" w:styleId="TitleChar">
    <w:name w:val="Title Char"/>
    <w:basedOn w:val="DefaultParagraphFont"/>
    <w:link w:val="Title"/>
    <w:uiPriority w:val="10"/>
    <w:rsid w:val="00760394"/>
    <w:rPr>
      <w:rFonts w:eastAsiaTheme="majorEastAsia" w:cstheme="majorBidi"/>
      <w:b/>
      <w:color w:val="385623" w:themeColor="accent6" w:themeShade="80"/>
      <w:spacing w:val="-10"/>
      <w:kern w:val="28"/>
      <w:sz w:val="44"/>
      <w:szCs w:val="56"/>
    </w:rPr>
  </w:style>
  <w:style w:type="character" w:styleId="Hyperlink">
    <w:name w:val="Hyperlink"/>
    <w:basedOn w:val="DefaultParagraphFont"/>
    <w:uiPriority w:val="99"/>
    <w:unhideWhenUsed/>
    <w:rsid w:val="00760394"/>
    <w:rPr>
      <w:color w:val="0563C1" w:themeColor="hyperlink"/>
      <w:u w:val="single"/>
    </w:rPr>
  </w:style>
  <w:style w:type="table" w:styleId="TableGrid">
    <w:name w:val="Table Grid"/>
    <w:basedOn w:val="TableNormal"/>
    <w:uiPriority w:val="39"/>
    <w:rsid w:val="007603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760394"/>
    <w:pPr>
      <w:keepNext/>
      <w:keepLines/>
      <w:outlineLvl w:val="0"/>
    </w:pPr>
    <w:rPr>
      <w:rFonts w:eastAsiaTheme="majorEastAsia" w:cstheme="minorHAnsi"/>
      <w:b/>
      <w:color w:val="27639B"/>
      <w:sz w:val="24"/>
      <w:szCs w:val="48"/>
    </w:rPr>
  </w:style>
  <w:style w:type="paragraph" w:customStyle="1" w:styleId="bullet">
    <w:name w:val="bullet"/>
    <w:basedOn w:val="ListParagraph"/>
    <w:link w:val="bulletChar"/>
    <w:autoRedefine/>
    <w:qFormat/>
    <w:rsid w:val="008A70BB"/>
    <w:pPr>
      <w:numPr>
        <w:numId w:val="1"/>
      </w:numPr>
      <w:spacing w:before="120" w:beforeAutospacing="0" w:after="0" w:afterAutospacing="0"/>
      <w:ind w:left="357" w:hanging="357"/>
      <w:contextualSpacing w:val="0"/>
    </w:pPr>
    <w:rPr>
      <w:rFonts w:ascii="Aptos" w:hAnsi="Aptos"/>
    </w:rPr>
  </w:style>
  <w:style w:type="character" w:customStyle="1" w:styleId="bulletChar">
    <w:name w:val="bullet Char"/>
    <w:basedOn w:val="DefaultParagraphFont"/>
    <w:link w:val="bullet"/>
    <w:rsid w:val="008A70BB"/>
    <w:rPr>
      <w:rFonts w:ascii="Aptos" w:hAnsi="Aptos"/>
      <w:color w:val="565751"/>
      <w:sz w:val="20"/>
    </w:rPr>
  </w:style>
  <w:style w:type="paragraph" w:styleId="ListParagraph">
    <w:name w:val="List Paragraph"/>
    <w:basedOn w:val="Normal"/>
    <w:link w:val="ListParagraphChar"/>
    <w:uiPriority w:val="34"/>
    <w:qFormat/>
    <w:rsid w:val="00760394"/>
    <w:pPr>
      <w:ind w:left="720"/>
      <w:contextualSpacing/>
    </w:pPr>
  </w:style>
  <w:style w:type="character" w:customStyle="1" w:styleId="Heading4Char">
    <w:name w:val="Heading 4 Char"/>
    <w:basedOn w:val="DefaultParagraphFont"/>
    <w:link w:val="Heading4"/>
    <w:uiPriority w:val="9"/>
    <w:rsid w:val="00B15F81"/>
    <w:rPr>
      <w:rFonts w:ascii="Aptos" w:eastAsiaTheme="majorEastAsia" w:hAnsi="Aptos" w:cstheme="majorBidi"/>
      <w:color w:val="385623"/>
      <w:sz w:val="20"/>
      <w:u w:val="single"/>
    </w:rPr>
  </w:style>
  <w:style w:type="character" w:customStyle="1" w:styleId="ListParagraphChar">
    <w:name w:val="List Paragraph Char"/>
    <w:basedOn w:val="DefaultParagraphFont"/>
    <w:link w:val="ListParagraph"/>
    <w:uiPriority w:val="34"/>
    <w:rsid w:val="003720B4"/>
    <w:rPr>
      <w:color w:val="565751"/>
      <w:sz w:val="20"/>
    </w:rPr>
  </w:style>
  <w:style w:type="paragraph" w:customStyle="1" w:styleId="Style2">
    <w:name w:val="Style2"/>
    <w:basedOn w:val="Normal"/>
    <w:link w:val="Style2Char"/>
    <w:qFormat/>
    <w:rsid w:val="008176B1"/>
    <w:pPr>
      <w:spacing w:before="120" w:beforeAutospacing="0" w:after="0" w:afterAutospacing="0"/>
      <w:ind w:right="284"/>
    </w:pPr>
    <w:rPr>
      <w:rFonts w:ascii="Aptos" w:eastAsia="Times New Roman" w:hAnsi="Aptos" w:cstheme="minorHAnsi"/>
      <w:color w:val="5F5F5F"/>
      <w:kern w:val="0"/>
      <w:sz w:val="22"/>
      <w:szCs w:val="20"/>
      <w:lang w:val="en-US" w:eastAsia="en-AU"/>
      <w14:ligatures w14:val="none"/>
    </w:rPr>
  </w:style>
  <w:style w:type="character" w:customStyle="1" w:styleId="Style2Char">
    <w:name w:val="Style2 Char"/>
    <w:basedOn w:val="DefaultParagraphFont"/>
    <w:link w:val="Style2"/>
    <w:rsid w:val="008176B1"/>
    <w:rPr>
      <w:rFonts w:ascii="Aptos" w:eastAsia="Times New Roman" w:hAnsi="Aptos" w:cstheme="minorHAnsi"/>
      <w:color w:val="5F5F5F"/>
      <w:kern w:val="0"/>
      <w:szCs w:val="20"/>
      <w:lang w:val="en-US" w:eastAsia="en-AU"/>
      <w14:ligatures w14:val="none"/>
    </w:rPr>
  </w:style>
  <w:style w:type="character" w:styleId="FootnoteReference">
    <w:name w:val="footnote reference"/>
    <w:basedOn w:val="DefaultParagraphFont"/>
    <w:semiHidden/>
    <w:unhideWhenUsed/>
    <w:rsid w:val="00707EC5"/>
    <w:rPr>
      <w:vertAlign w:val="superscript"/>
    </w:rPr>
  </w:style>
  <w:style w:type="paragraph" w:customStyle="1" w:styleId="AptosList">
    <w:name w:val="Aptos List"/>
    <w:basedOn w:val="Normal"/>
    <w:autoRedefine/>
    <w:rsid w:val="00707EC5"/>
    <w:pPr>
      <w:spacing w:before="0" w:beforeAutospacing="0" w:after="120" w:afterAutospacing="0"/>
    </w:pPr>
    <w:rPr>
      <w:rFonts w:ascii="Aptos" w:eastAsiaTheme="majorEastAsia" w:hAnsi="Aptos" w:cstheme="majorBidi"/>
      <w:kern w:val="0"/>
      <w:szCs w:val="32"/>
      <w14:ligatures w14:val="none"/>
    </w:rPr>
  </w:style>
  <w:style w:type="character" w:styleId="CommentReference">
    <w:name w:val="annotation reference"/>
    <w:basedOn w:val="DefaultParagraphFont"/>
    <w:uiPriority w:val="99"/>
    <w:semiHidden/>
    <w:unhideWhenUsed/>
    <w:rsid w:val="001D03A6"/>
    <w:rPr>
      <w:sz w:val="16"/>
      <w:szCs w:val="16"/>
    </w:rPr>
  </w:style>
  <w:style w:type="paragraph" w:styleId="CommentText">
    <w:name w:val="annotation text"/>
    <w:basedOn w:val="Normal"/>
    <w:link w:val="CommentTextChar"/>
    <w:uiPriority w:val="99"/>
    <w:unhideWhenUsed/>
    <w:rsid w:val="001D03A6"/>
    <w:rPr>
      <w:szCs w:val="20"/>
    </w:rPr>
  </w:style>
  <w:style w:type="character" w:customStyle="1" w:styleId="CommentTextChar">
    <w:name w:val="Comment Text Char"/>
    <w:basedOn w:val="DefaultParagraphFont"/>
    <w:link w:val="CommentText"/>
    <w:uiPriority w:val="99"/>
    <w:rsid w:val="001D03A6"/>
    <w:rPr>
      <w:color w:val="565751"/>
      <w:sz w:val="20"/>
      <w:szCs w:val="20"/>
    </w:rPr>
  </w:style>
  <w:style w:type="paragraph" w:styleId="CommentSubject">
    <w:name w:val="annotation subject"/>
    <w:basedOn w:val="CommentText"/>
    <w:next w:val="CommentText"/>
    <w:link w:val="CommentSubjectChar"/>
    <w:uiPriority w:val="99"/>
    <w:semiHidden/>
    <w:unhideWhenUsed/>
    <w:rsid w:val="001D03A6"/>
    <w:rPr>
      <w:b/>
      <w:bCs/>
    </w:rPr>
  </w:style>
  <w:style w:type="character" w:customStyle="1" w:styleId="CommentSubjectChar">
    <w:name w:val="Comment Subject Char"/>
    <w:basedOn w:val="CommentTextChar"/>
    <w:link w:val="CommentSubject"/>
    <w:uiPriority w:val="99"/>
    <w:semiHidden/>
    <w:rsid w:val="001D03A6"/>
    <w:rPr>
      <w:b/>
      <w:bCs/>
      <w:color w:val="565751"/>
      <w:sz w:val="20"/>
      <w:szCs w:val="20"/>
    </w:rPr>
  </w:style>
  <w:style w:type="paragraph" w:styleId="FootnoteText">
    <w:name w:val="footnote text"/>
    <w:basedOn w:val="Normal"/>
    <w:link w:val="FootnoteTextChar"/>
    <w:unhideWhenUsed/>
    <w:rsid w:val="00272343"/>
    <w:pPr>
      <w:spacing w:before="0" w:beforeAutospacing="0" w:after="0" w:afterAutospacing="0"/>
    </w:pPr>
    <w:rPr>
      <w:rFonts w:ascii="Aptos" w:eastAsia="Times New Roman" w:hAnsi="Aptos" w:cs="Times New Roman"/>
      <w:color w:val="auto"/>
      <w:kern w:val="0"/>
      <w:sz w:val="22"/>
      <w:szCs w:val="20"/>
      <w14:ligatures w14:val="none"/>
    </w:rPr>
  </w:style>
  <w:style w:type="character" w:customStyle="1" w:styleId="FootnoteTextChar">
    <w:name w:val="Footnote Text Char"/>
    <w:basedOn w:val="DefaultParagraphFont"/>
    <w:link w:val="FootnoteText"/>
    <w:rsid w:val="00272343"/>
    <w:rPr>
      <w:rFonts w:ascii="Aptos" w:eastAsia="Times New Roman" w:hAnsi="Apto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opta.gov.au/_documents/guidelines/GHG-Guideline-Offshore-GHG-Assessment-Permit.pdf" TargetMode="External"/><Relationship Id="rId7" Type="http://schemas.openxmlformats.org/officeDocument/2006/relationships/settings" Target="settings.xml"/><Relationship Id="rId12" Type="http://schemas.openxmlformats.org/officeDocument/2006/relationships/hyperlink" Target="http://www.nopta.gov.a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opta.gov.au/forms/for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law.gov.au/Series/C2006A00014"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ghg@nopta.gov.au" TargetMode="External"/><Relationship Id="rId10" Type="http://schemas.openxmlformats.org/officeDocument/2006/relationships/endnotes" Target="endnotes.xml"/><Relationship Id="rId19" Type="http://schemas.openxmlformats.org/officeDocument/2006/relationships/hyperlink" Target="https://www.nopta.gov.au/_documents/policy/annual-titles-administration-levy-remittals-refunds-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neats.nopt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dEffectiveDate xmlns="7012054d-3a07-4b40-940b-a148fc76e5c4" xsi:nil="true"/>
    <NodRisk xmlns="7012054d-3a07-4b40-940b-a148fc76e5c4">Low</NodRisk>
    <NodDocumentType xmlns="7012054d-3a07-4b40-940b-a148fc76e5c4">Factsheet</NodDocumentType>
    <OfNationalSignificance xmlns="7012054d-3a07-4b40-940b-a148fc76e5c4">No</OfNationalSignificance>
    <NodCategory xmlns="7012054d-3a07-4b40-940b-a148fc76e5c4">Application</NodCategory>
    <NodDocumentUtility xmlns="7012054d-3a07-4b40-940b-a148fc76e5c4">
      <Value>Internal</Value>
    </NodDocumentUtility>
    <NodTeamOwner xmlns="7012054d-3a07-4b40-940b-a148fc76e5c4">Titles</NodTeamOwner>
    <NodReviewDate xmlns="7012054d-3a07-4b40-940b-a148fc76e5c4" xsi:nil="true"/>
    <_dlc_DocId xmlns="7012054d-3a07-4b40-940b-a148fc76e5c4">NOPTANET-2013565408-455</_dlc_DocId>
    <_dlc_DocIdUrl xmlns="7012054d-3a07-4b40-940b-a148fc76e5c4">
      <Url>https://nopta.sharepoint.com/team/TT/_layouts/15/DocIdRedir.aspx?ID=NOPTANET-2013565408-455</Url>
      <Description>NOPTANET-2013565408-455</Description>
    </_dlc_DocIdUrl>
    <Legislation xmlns="e24b6844-fd35-4c7c-a0c3-e85a04fb1d4a" xsi:nil="true"/>
    <Part xmlns="e24b6844-fd35-4c7c-a0c3-e85a04fb1d4a" xsi:nil="true"/>
    <Section xmlns="e24b6844-fd35-4c7c-a0c3-e85a04fb1d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1D957317C476814FAAB44FC1E0C5D83B" ma:contentTypeVersion="111" ma:contentTypeDescription="Used for controlled documents." ma:contentTypeScope="" ma:versionID="8dd8f72958fd0ed6f3f44d1ae17a2594">
  <xsd:schema xmlns:xsd="http://www.w3.org/2001/XMLSchema" xmlns:xs="http://www.w3.org/2001/XMLSchema" xmlns:p="http://schemas.microsoft.com/office/2006/metadata/properties" xmlns:ns2="7012054d-3a07-4b40-940b-a148fc76e5c4" xmlns:ns3="e24b6844-fd35-4c7c-a0c3-e85a04fb1d4a" xmlns:ns4="5fca5163-9ce5-48c5-93c4-923f0a25b977" targetNamespace="http://schemas.microsoft.com/office/2006/metadata/properties" ma:root="true" ma:fieldsID="83483ddae5e0830b18b84c8e3bad0a32" ns2:_="" ns3:_="" ns4:_="">
    <xsd:import namespace="7012054d-3a07-4b40-940b-a148fc76e5c4"/>
    <xsd:import namespace="e24b6844-fd35-4c7c-a0c3-e85a04fb1d4a"/>
    <xsd:import namespace="5fca5163-9ce5-48c5-93c4-923f0a25b977"/>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element ref="ns3:MediaServiceObjectDetectorVersions" minOccurs="0"/>
                <xsd:element ref="ns3:MediaServiceSearchProperties" minOccurs="0"/>
                <xsd:element ref="ns3:Legislation" minOccurs="0"/>
                <xsd:element ref="ns3:Part"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Titles"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6844-fd35-4c7c-a0c3-e85a04fb1d4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egislation" ma:index="27" nillable="true" ma:displayName="Legislation" ma:format="Dropdown" ma:internalName="Legislation">
      <xsd:simpleType>
        <xsd:restriction base="dms:Choice">
          <xsd:enumeration value="OPGGSA"/>
          <xsd:enumeration value="RMA"/>
          <xsd:enumeration value="OEI"/>
          <xsd:enumeration value="PGPA"/>
        </xsd:restriction>
      </xsd:simpleType>
    </xsd:element>
    <xsd:element name="Part" ma:index="28" nillable="true" ma:displayName="Part" ma:format="Dropdown" ma:internalName="Part">
      <xsd:simpleType>
        <xsd:restriction base="dms:Text">
          <xsd:maxLength value="255"/>
        </xsd:restriction>
      </xsd:simpleType>
    </xsd:element>
    <xsd:element name="Section" ma:index="29" nillable="true" ma:displayName="Section(s)"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a5163-9ce5-48c5-93c4-923f0a25b977"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A83AB-313E-4783-9913-CFC5D470F1B8}">
  <ds:schemaRefs>
    <ds:schemaRef ds:uri="http://schemas.microsoft.com/sharepoint/events"/>
  </ds:schemaRefs>
</ds:datastoreItem>
</file>

<file path=customXml/itemProps2.xml><?xml version="1.0" encoding="utf-8"?>
<ds:datastoreItem xmlns:ds="http://schemas.openxmlformats.org/officeDocument/2006/customXml" ds:itemID="{BF5B1D70-257E-4DAE-B1D5-586605D73E70}">
  <ds:schemaRefs>
    <ds:schemaRef ds:uri="http://schemas.microsoft.com/sharepoint/v3/contenttype/forms"/>
  </ds:schemaRefs>
</ds:datastoreItem>
</file>

<file path=customXml/itemProps3.xml><?xml version="1.0" encoding="utf-8"?>
<ds:datastoreItem xmlns:ds="http://schemas.openxmlformats.org/officeDocument/2006/customXml" ds:itemID="{8DB5D8A5-CC26-4DD9-9B90-B4BEA7249E41}">
  <ds:schemaRefs>
    <ds:schemaRef ds:uri="7012054d-3a07-4b40-940b-a148fc76e5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fca5163-9ce5-48c5-93c4-923f0a25b977"/>
    <ds:schemaRef ds:uri="e24b6844-fd35-4c7c-a0c3-e85a04fb1d4a"/>
    <ds:schemaRef ds:uri="http://www.w3.org/XML/1998/namespace"/>
    <ds:schemaRef ds:uri="http://purl.org/dc/dcmitype/"/>
  </ds:schemaRefs>
</ds:datastoreItem>
</file>

<file path=customXml/itemProps4.xml><?xml version="1.0" encoding="utf-8"?>
<ds:datastoreItem xmlns:ds="http://schemas.openxmlformats.org/officeDocument/2006/customXml" ds:itemID="{664F8A28-7BB1-414C-BEDB-007BD900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e24b6844-fd35-4c7c-a0c3-e85a04fb1d4a"/>
    <ds:schemaRef ds:uri="5fca5163-9ce5-48c5-93c4-923f0a25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National Offshore Petroleum Titles Administrator</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Belcher</dc:creator>
  <cp:keywords/>
  <dc:description/>
  <cp:lastModifiedBy>Rashmi Singh</cp:lastModifiedBy>
  <cp:revision>2</cp:revision>
  <dcterms:created xsi:type="dcterms:W3CDTF">2025-06-03T07:47:00Z</dcterms:created>
  <dcterms:modified xsi:type="dcterms:W3CDTF">2025-06-03T07:47:00Z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2024-02-19T07:15:46Z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7dffebbc-ae26-4ebd-a178-f82ba58009ea</vt:lpwstr>
  </property>
  <property fmtid="{D5CDD505-2E9C-101B-9397-08002B2CF9AE}" pid="8" name="MSIP_Label_93cd4f2a-0040-47df-a467-7cba635d669c_ContentBits">
    <vt:lpwstr>0</vt:lpwstr>
  </property>
  <property fmtid="{D5CDD505-2E9C-101B-9397-08002B2CF9AE}" pid="9" name="ContentTypeId">
    <vt:lpwstr>0x010100F8645BF632A9D54BB9622FA6FB859D2F001D957317C476814FAAB44FC1E0C5D83B</vt:lpwstr>
  </property>
  <property fmtid="{D5CDD505-2E9C-101B-9397-08002B2CF9AE}" pid="10" name="_dlc_DocIdItemGuid">
    <vt:lpwstr>6c670425-8ccb-4b26-86d7-e9d41dc175b7</vt:lpwstr>
  </property>
</Properties>
</file>