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0372" w14:textId="11C91733" w:rsidR="002A6393" w:rsidRPr="00567650" w:rsidRDefault="002A6393" w:rsidP="051A87B7">
      <w:pPr>
        <w:pStyle w:val="Blue22"/>
        <w:spacing w:after="120"/>
        <w:rPr>
          <w:rFonts w:asciiTheme="minorHAnsi" w:hAnsiTheme="minorHAnsi" w:cstheme="minorBidi"/>
          <w:b/>
          <w:bCs/>
          <w:color w:val="385623" w:themeColor="accent6" w:themeShade="80"/>
          <w:sz w:val="44"/>
          <w:szCs w:val="44"/>
        </w:rPr>
      </w:pPr>
      <w:r w:rsidRPr="00567650">
        <w:rPr>
          <w:rFonts w:asciiTheme="minorHAnsi" w:hAnsiTheme="minorHAnsi" w:cstheme="minorBidi"/>
          <w:b/>
          <w:bCs/>
          <w:color w:val="385623" w:themeColor="accent6" w:themeShade="80"/>
          <w:sz w:val="44"/>
          <w:szCs w:val="44"/>
        </w:rPr>
        <w:t>Risk Assessment in Offshore Greenhouse Gas Injection Licences and Site Plans</w:t>
      </w:r>
    </w:p>
    <w:p w14:paraId="7586E2CB" w14:textId="24F677E5" w:rsidR="00964CCC" w:rsidRPr="00567650" w:rsidRDefault="00964CCC" w:rsidP="00912ABB">
      <w:pPr>
        <w:pBdr>
          <w:bottom w:val="single" w:sz="4" w:space="6" w:color="auto"/>
        </w:pBdr>
        <w:spacing w:after="120"/>
        <w:rPr>
          <w:sz w:val="20"/>
          <w:szCs w:val="20"/>
        </w:rPr>
        <w:sectPr w:rsidR="00964CCC" w:rsidRPr="00567650" w:rsidSect="002B7C1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552" w:right="991" w:bottom="993" w:left="993" w:header="708" w:footer="261" w:gutter="0"/>
          <w:cols w:space="397"/>
          <w:docGrid w:linePitch="360"/>
        </w:sectPr>
      </w:pPr>
      <w:r w:rsidRPr="00567650">
        <w:rPr>
          <w:rFonts w:cstheme="minorHAnsi"/>
          <w:color w:val="5F5F5F"/>
          <w:sz w:val="20"/>
          <w:lang w:eastAsia="en-AU"/>
        </w:rPr>
        <w:t>All fact sheets should be read in conjunction with the</w:t>
      </w:r>
      <w:r w:rsidRPr="00567650">
        <w:rPr>
          <w:sz w:val="20"/>
          <w:szCs w:val="20"/>
        </w:rPr>
        <w:t xml:space="preserve"> </w:t>
      </w:r>
      <w:hyperlink r:id="rId19" w:history="1">
        <w:r w:rsidRPr="00567650">
          <w:rPr>
            <w:rStyle w:val="Hyperlink"/>
            <w:i/>
            <w:sz w:val="20"/>
            <w:szCs w:val="20"/>
          </w:rPr>
          <w:t>Offshore Petroleum and Greenhouse Gas Storage Act 2006</w:t>
        </w:r>
      </w:hyperlink>
      <w:r w:rsidRPr="00567650">
        <w:rPr>
          <w:i/>
          <w:color w:val="5F5F5F"/>
          <w:sz w:val="20"/>
          <w:szCs w:val="20"/>
        </w:rPr>
        <w:t xml:space="preserve"> </w:t>
      </w:r>
      <w:r w:rsidRPr="00567650">
        <w:rPr>
          <w:color w:val="5F5F5F"/>
          <w:sz w:val="20"/>
          <w:szCs w:val="20"/>
        </w:rPr>
        <w:t>(</w:t>
      </w:r>
      <w:r w:rsidRPr="00567650">
        <w:rPr>
          <w:rFonts w:cstheme="minorHAnsi"/>
          <w:b/>
          <w:bCs/>
          <w:color w:val="5F5F5F"/>
          <w:sz w:val="20"/>
          <w:lang w:eastAsia="en-AU"/>
        </w:rPr>
        <w:t xml:space="preserve">the </w:t>
      </w:r>
      <w:r w:rsidR="00FB0485" w:rsidRPr="00567650">
        <w:rPr>
          <w:rFonts w:cstheme="minorHAnsi"/>
          <w:b/>
          <w:bCs/>
          <w:color w:val="5F5F5F"/>
          <w:sz w:val="20"/>
          <w:lang w:eastAsia="en-AU"/>
        </w:rPr>
        <w:t xml:space="preserve">OPGGS </w:t>
      </w:r>
      <w:r w:rsidRPr="00567650">
        <w:rPr>
          <w:rFonts w:cstheme="minorHAnsi"/>
          <w:b/>
          <w:bCs/>
          <w:color w:val="5F5F5F"/>
          <w:sz w:val="20"/>
          <w:lang w:eastAsia="en-AU"/>
        </w:rPr>
        <w:t>Act</w:t>
      </w:r>
      <w:r w:rsidRPr="00567650">
        <w:rPr>
          <w:rFonts w:cstheme="minorHAnsi"/>
          <w:color w:val="5F5F5F"/>
          <w:sz w:val="20"/>
          <w:lang w:eastAsia="en-AU"/>
        </w:rPr>
        <w:t xml:space="preserve">), associated regulations, relevant guidelines and policies (available on </w:t>
      </w:r>
      <w:hyperlink r:id="rId20" w:history="1">
        <w:r w:rsidRPr="00567650">
          <w:rPr>
            <w:rStyle w:val="Hyperlink"/>
            <w:sz w:val="20"/>
            <w:szCs w:val="20"/>
          </w:rPr>
          <w:t>NOPTA’s website</w:t>
        </w:r>
      </w:hyperlink>
      <w:r w:rsidRPr="00567650">
        <w:rPr>
          <w:color w:val="5F5F5F"/>
          <w:sz w:val="20"/>
          <w:szCs w:val="20"/>
        </w:rPr>
        <w:t>).</w:t>
      </w:r>
    </w:p>
    <w:p w14:paraId="36174ECC" w14:textId="25B04B75" w:rsidR="002A6393" w:rsidRPr="00567650" w:rsidRDefault="002A6393" w:rsidP="001F326B">
      <w:pPr>
        <w:pStyle w:val="NoSpacing"/>
        <w:rPr>
          <w:lang w:val="en-AU"/>
        </w:rPr>
      </w:pPr>
      <w:r w:rsidRPr="00567650">
        <w:rPr>
          <w:lang w:val="en-AU"/>
        </w:rPr>
        <w:t xml:space="preserve">This fact sheet provides general information about </w:t>
      </w:r>
      <w:r w:rsidR="005E05CE" w:rsidRPr="00567650">
        <w:rPr>
          <w:lang w:val="en-AU"/>
        </w:rPr>
        <w:t>risk assessment</w:t>
      </w:r>
      <w:r w:rsidRPr="00567650">
        <w:rPr>
          <w:lang w:val="en-AU"/>
        </w:rPr>
        <w:t xml:space="preserve"> to be included as part of the application and assessment processes for a greenhouse gas (</w:t>
      </w:r>
      <w:r w:rsidRPr="00567650">
        <w:rPr>
          <w:b/>
          <w:bCs/>
          <w:lang w:val="en-AU"/>
        </w:rPr>
        <w:t>GHG</w:t>
      </w:r>
      <w:r w:rsidRPr="00567650">
        <w:rPr>
          <w:lang w:val="en-AU"/>
        </w:rPr>
        <w:t>) injection licence and site plan(s)</w:t>
      </w:r>
      <w:r w:rsidR="00324206" w:rsidRPr="00567650">
        <w:rPr>
          <w:lang w:val="en-AU"/>
        </w:rPr>
        <w:t xml:space="preserve"> </w:t>
      </w:r>
      <w:r w:rsidR="00FB0155" w:rsidRPr="00567650">
        <w:rPr>
          <w:lang w:val="en-AU"/>
        </w:rPr>
        <w:t>and covers</w:t>
      </w:r>
      <w:r w:rsidR="00ED5D4C" w:rsidRPr="00567650">
        <w:rPr>
          <w:lang w:val="en-AU"/>
        </w:rPr>
        <w:t xml:space="preserve"> geological </w:t>
      </w:r>
      <w:r w:rsidR="00853F5F" w:rsidRPr="00567650">
        <w:rPr>
          <w:lang w:val="en-AU"/>
        </w:rPr>
        <w:t xml:space="preserve">risks, risks to the </w:t>
      </w:r>
      <w:r w:rsidR="00444469" w:rsidRPr="00567650">
        <w:rPr>
          <w:lang w:val="en-AU"/>
        </w:rPr>
        <w:t xml:space="preserve">containment </w:t>
      </w:r>
      <w:r w:rsidR="00CE50AB" w:rsidRPr="00567650">
        <w:rPr>
          <w:lang w:val="en-AU"/>
        </w:rPr>
        <w:t>of GHG substances and</w:t>
      </w:r>
      <w:r w:rsidR="00AD06ED" w:rsidRPr="00567650">
        <w:rPr>
          <w:lang w:val="en-AU"/>
        </w:rPr>
        <w:t xml:space="preserve"> risks associated with engineering enhancements</w:t>
      </w:r>
      <w:r w:rsidR="003E6526" w:rsidRPr="00567650">
        <w:rPr>
          <w:lang w:val="en-AU"/>
        </w:rPr>
        <w:t>.</w:t>
      </w:r>
      <w:r w:rsidR="00C251A4" w:rsidRPr="00567650">
        <w:rPr>
          <w:lang w:val="en-AU"/>
        </w:rPr>
        <w:t xml:space="preserve"> </w:t>
      </w:r>
      <w:r w:rsidR="00587396" w:rsidRPr="00567650">
        <w:rPr>
          <w:lang w:val="en-AU"/>
        </w:rPr>
        <w:t>Other risk</w:t>
      </w:r>
      <w:r w:rsidR="00591CD6" w:rsidRPr="00567650">
        <w:rPr>
          <w:lang w:val="en-AU"/>
        </w:rPr>
        <w:t>s</w:t>
      </w:r>
      <w:r w:rsidR="00CA3A41" w:rsidRPr="00567650">
        <w:rPr>
          <w:lang w:val="en-AU"/>
        </w:rPr>
        <w:t>,</w:t>
      </w:r>
      <w:r w:rsidR="00587396" w:rsidRPr="00567650">
        <w:rPr>
          <w:lang w:val="en-AU"/>
        </w:rPr>
        <w:t xml:space="preserve"> </w:t>
      </w:r>
      <w:r w:rsidR="009D1904" w:rsidRPr="00567650">
        <w:rPr>
          <w:lang w:val="en-AU"/>
        </w:rPr>
        <w:t>such as</w:t>
      </w:r>
      <w:r w:rsidR="009840C2" w:rsidRPr="00567650">
        <w:rPr>
          <w:lang w:val="en-AU"/>
        </w:rPr>
        <w:t xml:space="preserve"> </w:t>
      </w:r>
      <w:r w:rsidR="00CA3A41" w:rsidRPr="00567650">
        <w:rPr>
          <w:lang w:val="en-AU"/>
        </w:rPr>
        <w:t>to</w:t>
      </w:r>
      <w:r w:rsidR="009840C2" w:rsidRPr="00567650">
        <w:rPr>
          <w:lang w:val="en-AU"/>
        </w:rPr>
        <w:t xml:space="preserve"> </w:t>
      </w:r>
      <w:r w:rsidR="002A3587" w:rsidRPr="00567650">
        <w:rPr>
          <w:lang w:val="en-AU"/>
        </w:rPr>
        <w:t>infra</w:t>
      </w:r>
      <w:r w:rsidR="00274ECB" w:rsidRPr="00567650">
        <w:rPr>
          <w:lang w:val="en-AU"/>
        </w:rPr>
        <w:t>structure</w:t>
      </w:r>
      <w:r w:rsidR="008B7228" w:rsidRPr="00567650">
        <w:rPr>
          <w:lang w:val="en-AU"/>
        </w:rPr>
        <w:t xml:space="preserve"> (</w:t>
      </w:r>
      <w:r w:rsidR="00BA19E2" w:rsidRPr="00567650">
        <w:rPr>
          <w:lang w:val="en-AU"/>
        </w:rPr>
        <w:t>e</w:t>
      </w:r>
      <w:r w:rsidR="00665DCF" w:rsidRPr="00567650">
        <w:rPr>
          <w:lang w:val="en-AU"/>
        </w:rPr>
        <w:t>.</w:t>
      </w:r>
      <w:r w:rsidR="00BA19E2" w:rsidRPr="00567650">
        <w:rPr>
          <w:lang w:val="en-AU"/>
        </w:rPr>
        <w:t>g.</w:t>
      </w:r>
      <w:r w:rsidR="00E36458" w:rsidRPr="00567650">
        <w:rPr>
          <w:lang w:val="en-AU"/>
        </w:rPr>
        <w:t xml:space="preserve"> </w:t>
      </w:r>
      <w:r w:rsidR="00B31FB5" w:rsidRPr="00567650">
        <w:rPr>
          <w:lang w:val="en-AU"/>
        </w:rPr>
        <w:t>pipelines</w:t>
      </w:r>
      <w:r w:rsidR="00034D9B" w:rsidRPr="00567650">
        <w:rPr>
          <w:lang w:val="en-AU"/>
        </w:rPr>
        <w:t>)</w:t>
      </w:r>
      <w:r w:rsidR="00C05920" w:rsidRPr="00567650">
        <w:rPr>
          <w:lang w:val="en-AU"/>
        </w:rPr>
        <w:t>,</w:t>
      </w:r>
      <w:r w:rsidR="006A3136" w:rsidRPr="00567650">
        <w:rPr>
          <w:lang w:val="en-AU"/>
        </w:rPr>
        <w:t xml:space="preserve"> </w:t>
      </w:r>
      <w:r w:rsidR="002F63DD" w:rsidRPr="00567650">
        <w:rPr>
          <w:lang w:val="en-AU"/>
        </w:rPr>
        <w:t xml:space="preserve">safety </w:t>
      </w:r>
      <w:r w:rsidR="00476C5F" w:rsidRPr="00567650">
        <w:rPr>
          <w:lang w:val="en-AU"/>
        </w:rPr>
        <w:t xml:space="preserve">and </w:t>
      </w:r>
      <w:r w:rsidR="00CA3A41" w:rsidRPr="00567650">
        <w:rPr>
          <w:lang w:val="en-AU"/>
        </w:rPr>
        <w:t xml:space="preserve">the </w:t>
      </w:r>
      <w:r w:rsidR="00476C5F" w:rsidRPr="00567650">
        <w:rPr>
          <w:lang w:val="en-AU"/>
        </w:rPr>
        <w:t>environment</w:t>
      </w:r>
      <w:r w:rsidR="005B5DAA" w:rsidRPr="00567650">
        <w:rPr>
          <w:lang w:val="en-AU"/>
        </w:rPr>
        <w:t xml:space="preserve"> are outside the scope of this fact </w:t>
      </w:r>
      <w:r w:rsidR="004654A3" w:rsidRPr="00567650">
        <w:rPr>
          <w:lang w:val="en-AU"/>
        </w:rPr>
        <w:t>sheet but</w:t>
      </w:r>
      <w:r w:rsidR="008D263C" w:rsidRPr="00567650">
        <w:rPr>
          <w:lang w:val="en-AU"/>
        </w:rPr>
        <w:t xml:space="preserve"> will need to be considered by proponent</w:t>
      </w:r>
      <w:r w:rsidR="003B617F" w:rsidRPr="00567650">
        <w:rPr>
          <w:lang w:val="en-AU"/>
        </w:rPr>
        <w:t xml:space="preserve">s. </w:t>
      </w:r>
      <w:r w:rsidR="00041F38" w:rsidRPr="00567650">
        <w:rPr>
          <w:lang w:val="en-AU"/>
        </w:rPr>
        <w:t>If propo</w:t>
      </w:r>
      <w:r w:rsidR="00D327BA" w:rsidRPr="00567650">
        <w:rPr>
          <w:lang w:val="en-AU"/>
        </w:rPr>
        <w:t>nents are unsure</w:t>
      </w:r>
      <w:r w:rsidR="002B067D" w:rsidRPr="00567650">
        <w:rPr>
          <w:lang w:val="en-AU"/>
        </w:rPr>
        <w:t xml:space="preserve"> what risks are covered under site </w:t>
      </w:r>
      <w:proofErr w:type="gramStart"/>
      <w:r w:rsidR="002B067D" w:rsidRPr="00567650">
        <w:rPr>
          <w:lang w:val="en-AU"/>
        </w:rPr>
        <w:t>p</w:t>
      </w:r>
      <w:r w:rsidR="00BF5955" w:rsidRPr="00567650">
        <w:rPr>
          <w:lang w:val="en-AU"/>
        </w:rPr>
        <w:t>lan</w:t>
      </w:r>
      <w:r w:rsidR="00B472F6" w:rsidRPr="00567650">
        <w:rPr>
          <w:lang w:val="en-AU"/>
        </w:rPr>
        <w:t>s</w:t>
      </w:r>
      <w:proofErr w:type="gramEnd"/>
      <w:r w:rsidR="00BF5955" w:rsidRPr="00567650">
        <w:rPr>
          <w:lang w:val="en-AU"/>
        </w:rPr>
        <w:t xml:space="preserve"> </w:t>
      </w:r>
      <w:r w:rsidR="00CB10C9" w:rsidRPr="00567650">
        <w:rPr>
          <w:lang w:val="en-AU"/>
        </w:rPr>
        <w:t>they</w:t>
      </w:r>
      <w:r w:rsidR="00871FA1" w:rsidRPr="00567650">
        <w:rPr>
          <w:lang w:val="en-AU"/>
        </w:rPr>
        <w:t xml:space="preserve"> should seek advice from NOPTA. </w:t>
      </w:r>
      <w:r w:rsidR="006B4470" w:rsidRPr="00567650">
        <w:rPr>
          <w:lang w:val="en-AU"/>
        </w:rPr>
        <w:t>For completeness</w:t>
      </w:r>
      <w:r w:rsidR="006763ED" w:rsidRPr="00567650">
        <w:rPr>
          <w:lang w:val="en-AU"/>
        </w:rPr>
        <w:t>, a</w:t>
      </w:r>
      <w:r w:rsidR="00580765" w:rsidRPr="00567650">
        <w:rPr>
          <w:lang w:val="en-AU"/>
        </w:rPr>
        <w:t xml:space="preserve"> </w:t>
      </w:r>
      <w:r w:rsidR="00461105" w:rsidRPr="00567650">
        <w:rPr>
          <w:lang w:val="en-AU"/>
        </w:rPr>
        <w:t xml:space="preserve">fact sheet about </w:t>
      </w:r>
      <w:r w:rsidR="00E25976" w:rsidRPr="00567650">
        <w:rPr>
          <w:lang w:val="en-AU"/>
        </w:rPr>
        <w:t xml:space="preserve">Significant Risk of </w:t>
      </w:r>
      <w:r w:rsidR="003B016A" w:rsidRPr="00567650">
        <w:rPr>
          <w:lang w:val="en-AU"/>
        </w:rPr>
        <w:t>Significant Adverse Impact (</w:t>
      </w:r>
      <w:r w:rsidR="003B016A" w:rsidRPr="00567650">
        <w:rPr>
          <w:b/>
          <w:bCs/>
          <w:lang w:val="en-AU"/>
        </w:rPr>
        <w:t>SROSAI</w:t>
      </w:r>
      <w:r w:rsidR="003B016A" w:rsidRPr="00567650">
        <w:rPr>
          <w:lang w:val="en-AU"/>
        </w:rPr>
        <w:t xml:space="preserve">) is also referenced </w:t>
      </w:r>
      <w:r w:rsidR="00461105" w:rsidRPr="00567650">
        <w:rPr>
          <w:lang w:val="en-AU"/>
        </w:rPr>
        <w:t>below</w:t>
      </w:r>
      <w:r w:rsidR="0039379F" w:rsidRPr="00567650">
        <w:rPr>
          <w:lang w:val="en-AU"/>
        </w:rPr>
        <w:t>,</w:t>
      </w:r>
      <w:r w:rsidR="00B650D9" w:rsidRPr="00567650">
        <w:rPr>
          <w:lang w:val="en-AU"/>
        </w:rPr>
        <w:t xml:space="preserve"> </w:t>
      </w:r>
      <w:r w:rsidR="0039379F" w:rsidRPr="00567650">
        <w:rPr>
          <w:lang w:val="en-AU"/>
        </w:rPr>
        <w:t xml:space="preserve">however SROSAI </w:t>
      </w:r>
      <w:r w:rsidR="00B650D9" w:rsidRPr="00567650">
        <w:rPr>
          <w:lang w:val="en-AU"/>
        </w:rPr>
        <w:t>is out</w:t>
      </w:r>
      <w:r w:rsidR="00D759C3" w:rsidRPr="00567650">
        <w:rPr>
          <w:lang w:val="en-AU"/>
        </w:rPr>
        <w:t xml:space="preserve">side the </w:t>
      </w:r>
      <w:r w:rsidR="00B650D9" w:rsidRPr="00567650">
        <w:rPr>
          <w:lang w:val="en-AU"/>
        </w:rPr>
        <w:t>scope</w:t>
      </w:r>
      <w:r w:rsidR="00D759C3" w:rsidRPr="00567650">
        <w:rPr>
          <w:lang w:val="en-AU"/>
        </w:rPr>
        <w:t xml:space="preserve"> of this fact sheet.</w:t>
      </w:r>
    </w:p>
    <w:p w14:paraId="2ECD4524" w14:textId="65FC3DB5" w:rsidR="00703879" w:rsidRPr="00567650" w:rsidRDefault="00703879" w:rsidP="009116E3">
      <w:pPr>
        <w:spacing w:after="120"/>
        <w:rPr>
          <w:rFonts w:eastAsiaTheme="minorEastAsia"/>
          <w:color w:val="5F5F5F"/>
          <w:sz w:val="20"/>
          <w:szCs w:val="20"/>
          <w:lang w:eastAsia="en-AU"/>
        </w:rPr>
      </w:pPr>
      <w:r w:rsidRPr="00567650">
        <w:rPr>
          <w:rFonts w:eastAsiaTheme="minorEastAsia"/>
          <w:color w:val="5F5F5F"/>
          <w:sz w:val="20"/>
          <w:szCs w:val="20"/>
          <w:lang w:eastAsia="en-AU"/>
        </w:rPr>
        <w:t>It remains the responsibility of project proponents to ensure compliance with all legal requirements for a project. Project proponents should ensure consistent information is provided to all regulators.</w:t>
      </w:r>
    </w:p>
    <w:p w14:paraId="320DCAC7" w14:textId="211791BC" w:rsidR="002A0BB3" w:rsidRPr="00567650" w:rsidRDefault="005752E3" w:rsidP="009116E3">
      <w:pPr>
        <w:spacing w:after="120"/>
        <w:rPr>
          <w:rFonts w:eastAsiaTheme="minorEastAsia"/>
          <w:color w:val="5F5F5F"/>
          <w:sz w:val="20"/>
          <w:szCs w:val="20"/>
          <w:lang w:eastAsia="en-AU"/>
        </w:rPr>
      </w:pPr>
      <w:r w:rsidRPr="00567650">
        <w:rPr>
          <w:rFonts w:eastAsiaTheme="minorEastAsia"/>
          <w:color w:val="5F5F5F"/>
          <w:sz w:val="20"/>
          <w:szCs w:val="20"/>
          <w:lang w:eastAsia="en-AU"/>
        </w:rPr>
        <w:t xml:space="preserve">There are </w:t>
      </w:r>
      <w:r w:rsidR="00475BB8" w:rsidRPr="00567650">
        <w:rPr>
          <w:rFonts w:eastAsiaTheme="minorEastAsia"/>
          <w:color w:val="5F5F5F"/>
          <w:sz w:val="20"/>
          <w:szCs w:val="20"/>
          <w:lang w:eastAsia="en-AU"/>
        </w:rPr>
        <w:t>multiple legislative frameworks</w:t>
      </w:r>
      <w:r w:rsidR="001062A8" w:rsidRPr="00567650">
        <w:rPr>
          <w:rFonts w:eastAsiaTheme="minorEastAsia"/>
          <w:color w:val="5F5F5F"/>
          <w:sz w:val="20"/>
          <w:szCs w:val="20"/>
          <w:lang w:eastAsia="en-AU"/>
        </w:rPr>
        <w:t xml:space="preserve"> </w:t>
      </w:r>
      <w:r w:rsidR="00475BB8" w:rsidRPr="00567650">
        <w:rPr>
          <w:rFonts w:eastAsiaTheme="minorEastAsia"/>
          <w:color w:val="5F5F5F"/>
          <w:sz w:val="20"/>
          <w:szCs w:val="20"/>
          <w:lang w:eastAsia="en-AU"/>
        </w:rPr>
        <w:t>to regulate offshore carbon capture and storage</w:t>
      </w:r>
      <w:r w:rsidR="008A6759" w:rsidRPr="00567650">
        <w:rPr>
          <w:rFonts w:eastAsiaTheme="minorEastAsia"/>
          <w:color w:val="5F5F5F"/>
          <w:sz w:val="20"/>
          <w:szCs w:val="20"/>
          <w:lang w:eastAsia="en-AU"/>
        </w:rPr>
        <w:t xml:space="preserve"> (</w:t>
      </w:r>
      <w:r w:rsidR="008A6759" w:rsidRPr="00567650">
        <w:rPr>
          <w:rFonts w:eastAsiaTheme="minorEastAsia"/>
          <w:b/>
          <w:bCs/>
          <w:color w:val="5F5F5F"/>
          <w:sz w:val="20"/>
          <w:szCs w:val="20"/>
          <w:lang w:eastAsia="en-AU"/>
        </w:rPr>
        <w:t>CCS</w:t>
      </w:r>
      <w:r w:rsidR="008A6759" w:rsidRPr="00567650">
        <w:rPr>
          <w:rFonts w:eastAsiaTheme="minorEastAsia"/>
          <w:color w:val="5F5F5F"/>
          <w:sz w:val="20"/>
          <w:szCs w:val="20"/>
          <w:lang w:eastAsia="en-AU"/>
        </w:rPr>
        <w:t>) projects in Commonwealth waters</w:t>
      </w:r>
      <w:r w:rsidR="00D91022" w:rsidRPr="00567650">
        <w:rPr>
          <w:rFonts w:eastAsiaTheme="minorEastAsia"/>
          <w:color w:val="5F5F5F"/>
          <w:sz w:val="20"/>
          <w:szCs w:val="20"/>
          <w:lang w:eastAsia="en-AU"/>
        </w:rPr>
        <w:t xml:space="preserve"> including:</w:t>
      </w:r>
    </w:p>
    <w:p w14:paraId="4A13AC34" w14:textId="52427874" w:rsidR="00D91022" w:rsidRPr="00567650" w:rsidRDefault="002717E3" w:rsidP="001D1369">
      <w:pPr>
        <w:pStyle w:val="Style2"/>
        <w:numPr>
          <w:ilvl w:val="0"/>
          <w:numId w:val="7"/>
        </w:numPr>
        <w:rPr>
          <w:lang w:val="en-AU"/>
        </w:rPr>
      </w:pPr>
      <w:r w:rsidRPr="00567650">
        <w:rPr>
          <w:i/>
          <w:lang w:val="en-AU"/>
        </w:rPr>
        <w:t>Offshore Petroleu</w:t>
      </w:r>
      <w:r w:rsidR="00C063EA" w:rsidRPr="00567650">
        <w:rPr>
          <w:i/>
          <w:lang w:val="en-AU"/>
        </w:rPr>
        <w:t xml:space="preserve">m and </w:t>
      </w:r>
      <w:r w:rsidR="00105887" w:rsidRPr="00567650">
        <w:rPr>
          <w:i/>
          <w:lang w:val="en-AU"/>
        </w:rPr>
        <w:t xml:space="preserve">Greenhouse </w:t>
      </w:r>
      <w:r w:rsidR="00C063EA" w:rsidRPr="00567650">
        <w:rPr>
          <w:i/>
          <w:lang w:val="en-AU"/>
        </w:rPr>
        <w:t>Gas Storag</w:t>
      </w:r>
      <w:r w:rsidR="001D1369" w:rsidRPr="00567650">
        <w:rPr>
          <w:i/>
          <w:lang w:val="en-AU"/>
        </w:rPr>
        <w:t>e</w:t>
      </w:r>
      <w:r w:rsidR="00C063EA" w:rsidRPr="00567650">
        <w:rPr>
          <w:i/>
          <w:lang w:val="en-AU"/>
        </w:rPr>
        <w:t xml:space="preserve"> Act </w:t>
      </w:r>
      <w:proofErr w:type="gramStart"/>
      <w:r w:rsidR="00C063EA" w:rsidRPr="00567650">
        <w:rPr>
          <w:i/>
          <w:lang w:val="en-AU"/>
        </w:rPr>
        <w:t>2006</w:t>
      </w:r>
      <w:r w:rsidR="00A73B29" w:rsidRPr="00567650">
        <w:rPr>
          <w:lang w:val="en-AU"/>
        </w:rPr>
        <w:t>;</w:t>
      </w:r>
      <w:proofErr w:type="gramEnd"/>
    </w:p>
    <w:p w14:paraId="2B75F404" w14:textId="75710BD8" w:rsidR="00C063EA" w:rsidRPr="00567650" w:rsidRDefault="00F93170" w:rsidP="001D1369">
      <w:pPr>
        <w:pStyle w:val="Style2"/>
        <w:numPr>
          <w:ilvl w:val="0"/>
          <w:numId w:val="7"/>
        </w:numPr>
        <w:rPr>
          <w:lang w:val="en-AU"/>
        </w:rPr>
      </w:pPr>
      <w:r w:rsidRPr="00567650">
        <w:rPr>
          <w:i/>
          <w:lang w:val="en-AU"/>
        </w:rPr>
        <w:t xml:space="preserve">Environment </w:t>
      </w:r>
      <w:r w:rsidR="009D22DD" w:rsidRPr="00567650">
        <w:rPr>
          <w:i/>
          <w:lang w:val="en-AU"/>
        </w:rPr>
        <w:t>P</w:t>
      </w:r>
      <w:r w:rsidRPr="00567650">
        <w:rPr>
          <w:i/>
          <w:lang w:val="en-AU"/>
        </w:rPr>
        <w:t>rotection (Sea Dumping</w:t>
      </w:r>
      <w:r w:rsidR="00A40A10" w:rsidRPr="00567650">
        <w:rPr>
          <w:i/>
          <w:iCs/>
          <w:lang w:val="en-AU"/>
        </w:rPr>
        <w:t>)</w:t>
      </w:r>
      <w:r w:rsidRPr="00567650">
        <w:rPr>
          <w:i/>
          <w:lang w:val="en-AU"/>
        </w:rPr>
        <w:t xml:space="preserve"> Act </w:t>
      </w:r>
      <w:r w:rsidR="00A73B29" w:rsidRPr="00567650">
        <w:rPr>
          <w:i/>
          <w:lang w:val="en-AU"/>
        </w:rPr>
        <w:t>1981</w:t>
      </w:r>
      <w:r w:rsidR="00A73B29" w:rsidRPr="00567650">
        <w:rPr>
          <w:lang w:val="en-AU"/>
        </w:rPr>
        <w:t>; and</w:t>
      </w:r>
    </w:p>
    <w:p w14:paraId="327071D8" w14:textId="47DA478C" w:rsidR="00A73B29" w:rsidRPr="00567650" w:rsidRDefault="00A73B29" w:rsidP="001D1369">
      <w:pPr>
        <w:pStyle w:val="Style2"/>
        <w:numPr>
          <w:ilvl w:val="0"/>
          <w:numId w:val="7"/>
        </w:numPr>
        <w:rPr>
          <w:i/>
          <w:lang w:val="en-AU"/>
        </w:rPr>
      </w:pPr>
      <w:r w:rsidRPr="00567650">
        <w:rPr>
          <w:i/>
          <w:lang w:val="en-AU"/>
        </w:rPr>
        <w:t>Environment Protection and Biodiversity Conservation</w:t>
      </w:r>
      <w:r w:rsidR="001D1369" w:rsidRPr="00567650">
        <w:rPr>
          <w:i/>
          <w:lang w:val="en-AU"/>
        </w:rPr>
        <w:t xml:space="preserve"> Act 1999</w:t>
      </w:r>
      <w:r w:rsidR="001A5322" w:rsidRPr="00567650">
        <w:rPr>
          <w:iCs/>
          <w:lang w:val="en-AU"/>
        </w:rPr>
        <w:t>.</w:t>
      </w:r>
    </w:p>
    <w:p w14:paraId="0C796DB5" w14:textId="52B2092C" w:rsidR="001D37D5" w:rsidRPr="00567650" w:rsidRDefault="00CC176F" w:rsidP="009116E3">
      <w:pPr>
        <w:spacing w:after="120"/>
        <w:rPr>
          <w:rFonts w:eastAsiaTheme="minorEastAsia"/>
          <w:color w:val="5F5F5F"/>
          <w:sz w:val="20"/>
          <w:szCs w:val="20"/>
          <w:lang w:eastAsia="en-AU"/>
        </w:rPr>
      </w:pPr>
      <w:r w:rsidRPr="00567650">
        <w:rPr>
          <w:rFonts w:eastAsiaTheme="minorEastAsia"/>
          <w:color w:val="5F5F5F"/>
          <w:sz w:val="20"/>
          <w:szCs w:val="20"/>
          <w:lang w:eastAsia="en-AU"/>
        </w:rPr>
        <w:t>The responsibilities for regulating offshore CCS projects</w:t>
      </w:r>
      <w:r w:rsidR="00153105" w:rsidRPr="00567650">
        <w:rPr>
          <w:rFonts w:eastAsiaTheme="minorEastAsia"/>
          <w:color w:val="5F5F5F"/>
          <w:sz w:val="20"/>
          <w:szCs w:val="20"/>
          <w:lang w:eastAsia="en-AU"/>
        </w:rPr>
        <w:t xml:space="preserve"> are shared across the Commonwealth</w:t>
      </w:r>
      <w:r w:rsidR="00EA4C19" w:rsidRPr="00567650">
        <w:rPr>
          <w:rFonts w:eastAsiaTheme="minorEastAsia"/>
          <w:color w:val="5F5F5F"/>
          <w:sz w:val="20"/>
          <w:szCs w:val="20"/>
          <w:lang w:eastAsia="en-AU"/>
        </w:rPr>
        <w:t xml:space="preserve"> </w:t>
      </w:r>
      <w:r w:rsidR="006D51B2" w:rsidRPr="00567650">
        <w:rPr>
          <w:rFonts w:eastAsiaTheme="minorEastAsia"/>
          <w:color w:val="5F5F5F"/>
          <w:sz w:val="20"/>
          <w:szCs w:val="20"/>
          <w:lang w:eastAsia="en-AU"/>
        </w:rPr>
        <w:t xml:space="preserve">Government’s </w:t>
      </w:r>
      <w:r w:rsidR="00EA4C19" w:rsidRPr="00567650">
        <w:rPr>
          <w:rFonts w:eastAsiaTheme="minorEastAsia"/>
          <w:color w:val="5F5F5F"/>
          <w:sz w:val="20"/>
          <w:szCs w:val="20"/>
          <w:lang w:eastAsia="en-AU"/>
        </w:rPr>
        <w:t>Department</w:t>
      </w:r>
      <w:r w:rsidR="000E397B" w:rsidRPr="00567650">
        <w:rPr>
          <w:rFonts w:eastAsiaTheme="minorEastAsia"/>
          <w:color w:val="5F5F5F"/>
          <w:sz w:val="20"/>
          <w:szCs w:val="20"/>
          <w:lang w:eastAsia="en-AU"/>
        </w:rPr>
        <w:t xml:space="preserve"> of Industry</w:t>
      </w:r>
      <w:r w:rsidR="00BE4F99">
        <w:rPr>
          <w:rFonts w:eastAsiaTheme="minorEastAsia"/>
          <w:color w:val="5F5F5F"/>
          <w:sz w:val="20"/>
          <w:szCs w:val="20"/>
          <w:lang w:eastAsia="en-AU"/>
        </w:rPr>
        <w:t>,</w:t>
      </w:r>
      <w:r w:rsidR="000E397B" w:rsidRPr="00567650">
        <w:rPr>
          <w:rFonts w:eastAsiaTheme="minorEastAsia"/>
          <w:color w:val="5F5F5F"/>
          <w:sz w:val="20"/>
          <w:szCs w:val="20"/>
          <w:lang w:eastAsia="en-AU"/>
        </w:rPr>
        <w:t xml:space="preserve"> Science and Resources</w:t>
      </w:r>
      <w:r w:rsidR="00B02287" w:rsidRPr="00567650">
        <w:rPr>
          <w:rFonts w:eastAsiaTheme="minorEastAsia"/>
          <w:color w:val="5F5F5F"/>
          <w:sz w:val="20"/>
          <w:szCs w:val="20"/>
          <w:lang w:eastAsia="en-AU"/>
        </w:rPr>
        <w:t xml:space="preserve"> (</w:t>
      </w:r>
      <w:r w:rsidR="00B02287" w:rsidRPr="00567650">
        <w:rPr>
          <w:rFonts w:eastAsiaTheme="minorEastAsia"/>
          <w:b/>
          <w:bCs/>
          <w:color w:val="5F5F5F"/>
          <w:sz w:val="20"/>
          <w:szCs w:val="20"/>
          <w:lang w:eastAsia="en-AU"/>
        </w:rPr>
        <w:t>DISR</w:t>
      </w:r>
      <w:r w:rsidR="00B02287" w:rsidRPr="00567650">
        <w:rPr>
          <w:rFonts w:eastAsiaTheme="minorEastAsia"/>
          <w:color w:val="5F5F5F"/>
          <w:sz w:val="20"/>
          <w:szCs w:val="20"/>
          <w:lang w:eastAsia="en-AU"/>
        </w:rPr>
        <w:t xml:space="preserve">) </w:t>
      </w:r>
      <w:r w:rsidR="001A6084" w:rsidRPr="00567650">
        <w:rPr>
          <w:rFonts w:eastAsiaTheme="minorEastAsia"/>
          <w:color w:val="5F5F5F"/>
          <w:sz w:val="20"/>
          <w:szCs w:val="20"/>
          <w:lang w:eastAsia="en-AU"/>
        </w:rPr>
        <w:t>and the Department of</w:t>
      </w:r>
      <w:r w:rsidR="00D22AB8" w:rsidRPr="00567650">
        <w:rPr>
          <w:rFonts w:eastAsiaTheme="minorEastAsia"/>
          <w:color w:val="5F5F5F"/>
          <w:sz w:val="20"/>
          <w:szCs w:val="20"/>
          <w:lang w:eastAsia="en-AU"/>
        </w:rPr>
        <w:t xml:space="preserve"> Climate Change</w:t>
      </w:r>
      <w:r w:rsidR="005E55CA" w:rsidRPr="00567650">
        <w:rPr>
          <w:rFonts w:eastAsiaTheme="minorEastAsia"/>
          <w:color w:val="5F5F5F"/>
          <w:sz w:val="20"/>
          <w:szCs w:val="20"/>
          <w:lang w:eastAsia="en-AU"/>
        </w:rPr>
        <w:t>, Energy</w:t>
      </w:r>
      <w:r w:rsidR="005838D5" w:rsidRPr="00567650">
        <w:rPr>
          <w:rFonts w:eastAsiaTheme="minorEastAsia"/>
          <w:color w:val="5F5F5F"/>
          <w:sz w:val="20"/>
          <w:szCs w:val="20"/>
          <w:lang w:eastAsia="en-AU"/>
        </w:rPr>
        <w:t>, the Environment and Water (</w:t>
      </w:r>
      <w:r w:rsidR="005838D5" w:rsidRPr="00567650">
        <w:rPr>
          <w:rFonts w:eastAsiaTheme="minorEastAsia"/>
          <w:b/>
          <w:bCs/>
          <w:color w:val="5F5F5F"/>
          <w:sz w:val="20"/>
          <w:szCs w:val="20"/>
          <w:lang w:eastAsia="en-AU"/>
        </w:rPr>
        <w:t>DCCEEW</w:t>
      </w:r>
      <w:r w:rsidR="005838D5" w:rsidRPr="00567650">
        <w:rPr>
          <w:rFonts w:eastAsiaTheme="minorEastAsia"/>
          <w:color w:val="5F5F5F"/>
          <w:sz w:val="20"/>
          <w:szCs w:val="20"/>
          <w:lang w:eastAsia="en-AU"/>
        </w:rPr>
        <w:t>)</w:t>
      </w:r>
      <w:r w:rsidR="00652C65" w:rsidRPr="00567650">
        <w:rPr>
          <w:rFonts w:eastAsiaTheme="minorEastAsia"/>
          <w:color w:val="5F5F5F"/>
          <w:sz w:val="20"/>
          <w:szCs w:val="20"/>
          <w:lang w:eastAsia="en-AU"/>
        </w:rPr>
        <w:t xml:space="preserve">. </w:t>
      </w:r>
    </w:p>
    <w:p w14:paraId="33E059FD" w14:textId="721A9681" w:rsidR="00D960D4" w:rsidRPr="00567650" w:rsidRDefault="0063635E" w:rsidP="009116E3">
      <w:pPr>
        <w:spacing w:after="120"/>
        <w:rPr>
          <w:rFonts w:eastAsiaTheme="minorEastAsia"/>
          <w:color w:val="5F5F5F"/>
          <w:sz w:val="20"/>
          <w:szCs w:val="20"/>
          <w:lang w:eastAsia="en-AU"/>
        </w:rPr>
      </w:pPr>
      <w:r w:rsidRPr="00567650">
        <w:rPr>
          <w:rFonts w:eastAsiaTheme="minorEastAsia"/>
          <w:color w:val="5F5F5F"/>
          <w:sz w:val="20"/>
          <w:szCs w:val="20"/>
          <w:lang w:eastAsia="en-AU"/>
        </w:rPr>
        <w:t>The four regulatory bodies that are</w:t>
      </w:r>
      <w:r w:rsidR="0050629A" w:rsidRPr="00567650">
        <w:rPr>
          <w:rFonts w:eastAsiaTheme="minorEastAsia"/>
          <w:color w:val="5F5F5F"/>
          <w:sz w:val="20"/>
          <w:szCs w:val="20"/>
          <w:lang w:eastAsia="en-AU"/>
        </w:rPr>
        <w:t xml:space="preserve"> relevant </w:t>
      </w:r>
      <w:r w:rsidR="002210D6" w:rsidRPr="00567650">
        <w:rPr>
          <w:rFonts w:eastAsiaTheme="minorEastAsia"/>
          <w:color w:val="5F5F5F"/>
          <w:sz w:val="20"/>
          <w:szCs w:val="20"/>
          <w:lang w:eastAsia="en-AU"/>
        </w:rPr>
        <w:t>to offshore CCS projects are</w:t>
      </w:r>
      <w:r w:rsidR="00D30773" w:rsidRPr="00567650">
        <w:rPr>
          <w:rFonts w:eastAsiaTheme="minorEastAsia"/>
          <w:color w:val="5F5F5F"/>
          <w:sz w:val="20"/>
          <w:szCs w:val="20"/>
          <w:lang w:eastAsia="en-AU"/>
        </w:rPr>
        <w:t>:</w:t>
      </w:r>
    </w:p>
    <w:p w14:paraId="7CB551EF" w14:textId="694E832C" w:rsidR="00D30773" w:rsidRPr="00567650" w:rsidRDefault="00ED2471" w:rsidP="003D10E9">
      <w:pPr>
        <w:pStyle w:val="Style2"/>
        <w:numPr>
          <w:ilvl w:val="0"/>
          <w:numId w:val="7"/>
        </w:numPr>
        <w:rPr>
          <w:lang w:val="en-AU"/>
        </w:rPr>
      </w:pPr>
      <w:r w:rsidRPr="00567650">
        <w:rPr>
          <w:lang w:val="en-AU"/>
        </w:rPr>
        <w:t>National Offshore Petroleum Titles Administrator (</w:t>
      </w:r>
      <w:r w:rsidRPr="00567650">
        <w:rPr>
          <w:b/>
          <w:bCs/>
          <w:lang w:val="en-AU"/>
        </w:rPr>
        <w:t>NOPTA</w:t>
      </w:r>
      <w:proofErr w:type="gramStart"/>
      <w:r w:rsidRPr="00567650">
        <w:rPr>
          <w:lang w:val="en-AU"/>
        </w:rPr>
        <w:t>);</w:t>
      </w:r>
      <w:proofErr w:type="gramEnd"/>
    </w:p>
    <w:p w14:paraId="7A692B5A" w14:textId="391FD32D" w:rsidR="00ED2471" w:rsidRPr="00567650" w:rsidRDefault="001D24FD" w:rsidP="003D10E9">
      <w:pPr>
        <w:pStyle w:val="Style2"/>
        <w:numPr>
          <w:ilvl w:val="0"/>
          <w:numId w:val="7"/>
        </w:numPr>
        <w:rPr>
          <w:lang w:val="en-AU"/>
        </w:rPr>
      </w:pPr>
      <w:r w:rsidRPr="00567650">
        <w:rPr>
          <w:lang w:val="en-AU"/>
        </w:rPr>
        <w:t>National Offshore</w:t>
      </w:r>
      <w:r w:rsidR="007D41B7" w:rsidRPr="00567650">
        <w:rPr>
          <w:lang w:val="en-AU"/>
        </w:rPr>
        <w:t xml:space="preserve"> Petroleum Safety and Environmental Managem</w:t>
      </w:r>
      <w:r w:rsidR="00B95700" w:rsidRPr="00567650">
        <w:rPr>
          <w:lang w:val="en-AU"/>
        </w:rPr>
        <w:t>ent Authority (</w:t>
      </w:r>
      <w:r w:rsidR="00B95700" w:rsidRPr="00567650">
        <w:rPr>
          <w:b/>
          <w:bCs/>
          <w:lang w:val="en-AU"/>
        </w:rPr>
        <w:t>NOPSEMA</w:t>
      </w:r>
      <w:proofErr w:type="gramStart"/>
      <w:r w:rsidR="00B95700" w:rsidRPr="00567650">
        <w:rPr>
          <w:lang w:val="en-AU"/>
        </w:rPr>
        <w:t>);</w:t>
      </w:r>
      <w:proofErr w:type="gramEnd"/>
    </w:p>
    <w:p w14:paraId="165DF662" w14:textId="2EF5623F" w:rsidR="00B95700" w:rsidRPr="00567650" w:rsidRDefault="00FE3210" w:rsidP="003D10E9">
      <w:pPr>
        <w:pStyle w:val="Style2"/>
        <w:numPr>
          <w:ilvl w:val="0"/>
          <w:numId w:val="7"/>
        </w:numPr>
        <w:rPr>
          <w:lang w:val="en-AU"/>
        </w:rPr>
      </w:pPr>
      <w:r w:rsidRPr="00567650">
        <w:rPr>
          <w:lang w:val="en-AU"/>
        </w:rPr>
        <w:t>Sea Dumping</w:t>
      </w:r>
      <w:r w:rsidR="00E2412A" w:rsidRPr="00567650">
        <w:rPr>
          <w:lang w:val="en-AU"/>
        </w:rPr>
        <w:t xml:space="preserve"> (within </w:t>
      </w:r>
      <w:r w:rsidR="007C08DB" w:rsidRPr="00567650">
        <w:rPr>
          <w:lang w:val="en-AU"/>
        </w:rPr>
        <w:t>DCCEEW); and</w:t>
      </w:r>
    </w:p>
    <w:p w14:paraId="13D408C6" w14:textId="0DB877C8" w:rsidR="007C08DB" w:rsidRPr="00567650" w:rsidRDefault="001B65D1" w:rsidP="003D10E9">
      <w:pPr>
        <w:pStyle w:val="Style2"/>
        <w:numPr>
          <w:ilvl w:val="0"/>
          <w:numId w:val="7"/>
        </w:numPr>
        <w:rPr>
          <w:lang w:val="en-AU"/>
        </w:rPr>
      </w:pPr>
      <w:r w:rsidRPr="00567650">
        <w:rPr>
          <w:lang w:val="en-AU"/>
        </w:rPr>
        <w:t>Nature Positive Regulation</w:t>
      </w:r>
      <w:r w:rsidR="00FD5F81" w:rsidRPr="00567650">
        <w:rPr>
          <w:lang w:val="en-AU"/>
        </w:rPr>
        <w:t xml:space="preserve"> Division (within DCCEEW).</w:t>
      </w:r>
    </w:p>
    <w:p w14:paraId="05787D58" w14:textId="28842CB8" w:rsidR="00835E7E" w:rsidRPr="00567650" w:rsidRDefault="00785B1F" w:rsidP="009116E3">
      <w:pPr>
        <w:spacing w:after="120"/>
        <w:rPr>
          <w:rFonts w:eastAsiaTheme="minorEastAsia"/>
          <w:color w:val="5F5F5F"/>
          <w:sz w:val="20"/>
          <w:szCs w:val="20"/>
          <w:lang w:eastAsia="en-AU"/>
        </w:rPr>
      </w:pPr>
      <w:r w:rsidRPr="00567650">
        <w:rPr>
          <w:rFonts w:eastAsiaTheme="minorEastAsia"/>
          <w:color w:val="5F5F5F"/>
          <w:sz w:val="20"/>
          <w:szCs w:val="20"/>
          <w:lang w:eastAsia="en-AU"/>
        </w:rPr>
        <w:t>This fact sheet</w:t>
      </w:r>
      <w:r w:rsidR="00835E7E" w:rsidRPr="00567650">
        <w:rPr>
          <w:rFonts w:eastAsiaTheme="minorEastAsia"/>
          <w:color w:val="5F5F5F"/>
          <w:sz w:val="20"/>
          <w:szCs w:val="20"/>
          <w:lang w:eastAsia="en-AU"/>
        </w:rPr>
        <w:t xml:space="preserve"> covers NOPTA and NOPSEMA’s</w:t>
      </w:r>
      <w:r w:rsidR="003D10E9" w:rsidRPr="00567650">
        <w:rPr>
          <w:rFonts w:eastAsiaTheme="minorEastAsia"/>
          <w:color w:val="5F5F5F"/>
          <w:sz w:val="20"/>
          <w:szCs w:val="20"/>
          <w:lang w:eastAsia="en-AU"/>
        </w:rPr>
        <w:t xml:space="preserve"> </w:t>
      </w:r>
      <w:r w:rsidR="00840F9E" w:rsidRPr="00567650">
        <w:rPr>
          <w:rFonts w:eastAsiaTheme="minorEastAsia"/>
          <w:color w:val="5F5F5F"/>
          <w:sz w:val="20"/>
          <w:szCs w:val="20"/>
          <w:lang w:eastAsia="en-AU"/>
        </w:rPr>
        <w:t>expect</w:t>
      </w:r>
      <w:r w:rsidR="00D50C9F" w:rsidRPr="00567650">
        <w:rPr>
          <w:rFonts w:eastAsiaTheme="minorEastAsia"/>
          <w:color w:val="5F5F5F"/>
          <w:sz w:val="20"/>
          <w:szCs w:val="20"/>
          <w:lang w:eastAsia="en-AU"/>
        </w:rPr>
        <w:t>ations for appropriate risk assessment</w:t>
      </w:r>
      <w:r w:rsidR="003D10E9" w:rsidRPr="00567650">
        <w:rPr>
          <w:rFonts w:eastAsiaTheme="minorEastAsia"/>
          <w:color w:val="5F5F5F"/>
          <w:sz w:val="20"/>
          <w:szCs w:val="20"/>
          <w:lang w:eastAsia="en-AU"/>
        </w:rPr>
        <w:t>.</w:t>
      </w:r>
      <w:r w:rsidR="004D5733" w:rsidRPr="00567650">
        <w:rPr>
          <w:rFonts w:eastAsiaTheme="minorEastAsia"/>
          <w:color w:val="5F5F5F"/>
          <w:sz w:val="20"/>
          <w:szCs w:val="20"/>
          <w:lang w:eastAsia="en-AU"/>
        </w:rPr>
        <w:t xml:space="preserve"> Further information</w:t>
      </w:r>
      <w:r w:rsidR="00EF673F" w:rsidRPr="00567650">
        <w:rPr>
          <w:rFonts w:eastAsiaTheme="minorEastAsia"/>
          <w:color w:val="5F5F5F"/>
          <w:sz w:val="20"/>
          <w:szCs w:val="20"/>
          <w:lang w:eastAsia="en-AU"/>
        </w:rPr>
        <w:t xml:space="preserve"> on </w:t>
      </w:r>
      <w:r w:rsidR="00305B7D" w:rsidRPr="00567650">
        <w:rPr>
          <w:rFonts w:eastAsiaTheme="minorEastAsia"/>
          <w:color w:val="5F5F5F"/>
          <w:sz w:val="20"/>
          <w:szCs w:val="20"/>
          <w:lang w:eastAsia="en-AU"/>
        </w:rPr>
        <w:t xml:space="preserve">regulatory </w:t>
      </w:r>
      <w:r w:rsidR="00EF673F" w:rsidRPr="00567650">
        <w:rPr>
          <w:rFonts w:eastAsiaTheme="minorEastAsia"/>
          <w:color w:val="5F5F5F"/>
          <w:sz w:val="20"/>
          <w:szCs w:val="20"/>
          <w:lang w:eastAsia="en-AU"/>
        </w:rPr>
        <w:t>approvals can be found in</w:t>
      </w:r>
      <w:r w:rsidR="00133643" w:rsidRPr="00567650">
        <w:rPr>
          <w:rFonts w:eastAsiaTheme="minorEastAsia"/>
          <w:color w:val="5F5F5F"/>
          <w:sz w:val="20"/>
          <w:szCs w:val="20"/>
          <w:lang w:eastAsia="en-AU"/>
        </w:rPr>
        <w:t xml:space="preserve">: </w:t>
      </w:r>
      <w:hyperlink r:id="rId21" w:tgtFrame="_blank" w:tooltip="https://www.nopta.gov.au/_documents/fact-sheets/offshore-carbon-capture-and-storage-regulatory-approvals-2023.pdf" w:history="1">
        <w:r w:rsidR="00613813" w:rsidRPr="00567650">
          <w:rPr>
            <w:rStyle w:val="Hyperlink"/>
            <w:sz w:val="20"/>
            <w:szCs w:val="20"/>
          </w:rPr>
          <w:t>Offshore Carbon Capture and Storage Regulatory Approvals</w:t>
        </w:r>
      </w:hyperlink>
    </w:p>
    <w:p w14:paraId="76622909" w14:textId="6AAE4278" w:rsidR="00703879" w:rsidRPr="00567650" w:rsidRDefault="00703879" w:rsidP="009116E3">
      <w:pPr>
        <w:spacing w:after="120"/>
        <w:rPr>
          <w:rFonts w:eastAsiaTheme="minorEastAsia"/>
          <w:color w:val="5F5F5F"/>
          <w:sz w:val="20"/>
          <w:szCs w:val="20"/>
          <w:lang w:eastAsia="en-AU"/>
        </w:rPr>
      </w:pPr>
      <w:r w:rsidRPr="00567650">
        <w:rPr>
          <w:rFonts w:eastAsiaTheme="minorEastAsia"/>
          <w:color w:val="5F5F5F"/>
          <w:sz w:val="20"/>
          <w:szCs w:val="20"/>
          <w:lang w:eastAsia="en-AU"/>
        </w:rPr>
        <w:t xml:space="preserve">Due to the complexity </w:t>
      </w:r>
      <w:r w:rsidR="00AF0653" w:rsidRPr="00567650">
        <w:rPr>
          <w:rFonts w:eastAsiaTheme="minorEastAsia"/>
          <w:color w:val="5F5F5F"/>
          <w:sz w:val="20"/>
          <w:szCs w:val="20"/>
          <w:lang w:eastAsia="en-AU"/>
        </w:rPr>
        <w:t xml:space="preserve">and </w:t>
      </w:r>
      <w:r w:rsidR="00314090" w:rsidRPr="00567650">
        <w:rPr>
          <w:rFonts w:eastAsiaTheme="minorEastAsia"/>
          <w:color w:val="5F5F5F"/>
          <w:sz w:val="20"/>
          <w:szCs w:val="20"/>
          <w:lang w:eastAsia="en-AU"/>
        </w:rPr>
        <w:t>interactions between</w:t>
      </w:r>
      <w:r w:rsidR="006509D5" w:rsidRPr="00567650">
        <w:rPr>
          <w:rFonts w:eastAsiaTheme="minorEastAsia"/>
          <w:color w:val="5F5F5F"/>
          <w:sz w:val="20"/>
          <w:szCs w:val="20"/>
          <w:lang w:eastAsia="en-AU"/>
        </w:rPr>
        <w:t xml:space="preserve"> the OPGGS Act and associated regulations with other</w:t>
      </w:r>
      <w:r w:rsidRPr="00567650">
        <w:rPr>
          <w:rFonts w:eastAsiaTheme="minorEastAsia"/>
          <w:color w:val="5F5F5F"/>
          <w:sz w:val="20"/>
          <w:szCs w:val="20"/>
          <w:lang w:eastAsia="en-AU"/>
        </w:rPr>
        <w:t xml:space="preserve"> legislative and regulatory frameworks, early and ongoing engagement with the relevant regulators is encouraged. Every project is unique and may require additional approvals to those outlined.</w:t>
      </w:r>
    </w:p>
    <w:p w14:paraId="5EDE0E38" w14:textId="60E2A7D7" w:rsidR="000650AC" w:rsidRPr="00567650" w:rsidRDefault="00E44C86" w:rsidP="005E5C10">
      <w:pPr>
        <w:spacing w:after="120"/>
        <w:rPr>
          <w:rFonts w:eastAsiaTheme="minorEastAsia"/>
          <w:color w:val="5F5F5F"/>
          <w:sz w:val="20"/>
          <w:szCs w:val="20"/>
          <w:lang w:eastAsia="en-AU"/>
        </w:rPr>
      </w:pPr>
      <w:r w:rsidRPr="00567650">
        <w:rPr>
          <w:rFonts w:eastAsiaTheme="minorEastAsia"/>
          <w:color w:val="5F5F5F"/>
          <w:sz w:val="20"/>
          <w:szCs w:val="20"/>
          <w:lang w:eastAsia="en-AU"/>
        </w:rPr>
        <w:t>This fact sheet</w:t>
      </w:r>
      <w:r w:rsidR="002A6393" w:rsidRPr="00567650">
        <w:rPr>
          <w:rFonts w:eastAsiaTheme="minorEastAsia"/>
          <w:color w:val="5F5F5F"/>
          <w:sz w:val="20"/>
          <w:szCs w:val="20"/>
          <w:lang w:eastAsia="en-AU"/>
        </w:rPr>
        <w:t xml:space="preserve"> should be read in conjunction with the OPGGS Act and the </w:t>
      </w:r>
      <w:r w:rsidR="00FD561A" w:rsidRPr="00567650">
        <w:rPr>
          <w:rFonts w:eastAsiaTheme="minorEastAsia"/>
          <w:color w:val="5F5F5F"/>
          <w:sz w:val="20"/>
          <w:szCs w:val="20"/>
          <w:lang w:eastAsia="en-AU"/>
        </w:rPr>
        <w:t>following</w:t>
      </w:r>
      <w:r w:rsidR="00525C93" w:rsidRPr="00567650">
        <w:rPr>
          <w:rFonts w:eastAsiaTheme="minorEastAsia"/>
          <w:color w:val="5F5F5F"/>
          <w:sz w:val="20"/>
          <w:szCs w:val="20"/>
          <w:lang w:eastAsia="en-AU"/>
        </w:rPr>
        <w:t xml:space="preserve"> regulations</w:t>
      </w:r>
      <w:r w:rsidR="00C875F6" w:rsidRPr="00567650">
        <w:rPr>
          <w:rFonts w:eastAsiaTheme="minorEastAsia"/>
          <w:color w:val="5F5F5F"/>
          <w:sz w:val="20"/>
          <w:szCs w:val="20"/>
          <w:lang w:eastAsia="en-AU"/>
        </w:rPr>
        <w:t>, guidelines and fact sheets</w:t>
      </w:r>
      <w:r w:rsidR="000650AC" w:rsidRPr="00567650">
        <w:rPr>
          <w:rFonts w:eastAsiaTheme="minorEastAsia"/>
          <w:color w:val="5F5F5F"/>
          <w:sz w:val="20"/>
          <w:szCs w:val="20"/>
          <w:lang w:eastAsia="en-AU"/>
        </w:rPr>
        <w:t>:</w:t>
      </w:r>
    </w:p>
    <w:p w14:paraId="3888D7C0" w14:textId="58431DBA" w:rsidR="00B02444" w:rsidRPr="00567650" w:rsidRDefault="00B02444" w:rsidP="009C26EE">
      <w:pPr>
        <w:pStyle w:val="Style2"/>
        <w:numPr>
          <w:ilvl w:val="0"/>
          <w:numId w:val="7"/>
        </w:numPr>
        <w:rPr>
          <w:lang w:val="en-AU"/>
        </w:rPr>
      </w:pPr>
      <w:hyperlink r:id="rId22">
        <w:r w:rsidRPr="00567650">
          <w:rPr>
            <w:rStyle w:val="Hyperlink"/>
            <w:i/>
            <w:iCs/>
            <w:szCs w:val="20"/>
            <w:lang w:val="en-AU"/>
          </w:rPr>
          <w:t>Offshore Petroleum and Greenhouse Gas Storage (Greenhouse Gas Injection and Storage) Regulations 2023</w:t>
        </w:r>
      </w:hyperlink>
      <w:r w:rsidRPr="00567650">
        <w:rPr>
          <w:color w:val="auto"/>
          <w:sz w:val="22"/>
          <w:lang w:val="en-AU"/>
        </w:rPr>
        <w:t xml:space="preserve"> </w:t>
      </w:r>
      <w:r w:rsidRPr="00567650">
        <w:rPr>
          <w:rFonts w:eastAsiaTheme="minorEastAsia" w:cstheme="minorBidi"/>
          <w:bCs/>
          <w:szCs w:val="20"/>
          <w:lang w:val="en-AU"/>
        </w:rPr>
        <w:t>(</w:t>
      </w:r>
      <w:r w:rsidRPr="00567650">
        <w:rPr>
          <w:rFonts w:eastAsiaTheme="minorEastAsia" w:cstheme="minorBidi"/>
          <w:b/>
          <w:szCs w:val="20"/>
          <w:lang w:val="en-AU"/>
        </w:rPr>
        <w:t>GHG Regulations</w:t>
      </w:r>
      <w:proofErr w:type="gramStart"/>
      <w:r w:rsidRPr="00567650">
        <w:rPr>
          <w:rFonts w:eastAsiaTheme="minorEastAsia" w:cstheme="minorBidi"/>
          <w:bCs/>
          <w:szCs w:val="20"/>
          <w:lang w:val="en-AU"/>
        </w:rPr>
        <w:t>);</w:t>
      </w:r>
      <w:proofErr w:type="gramEnd"/>
    </w:p>
    <w:p w14:paraId="69FC990D" w14:textId="768DC9EF" w:rsidR="003C444E" w:rsidRPr="00567650" w:rsidRDefault="003C444E" w:rsidP="009C26EE">
      <w:pPr>
        <w:pStyle w:val="Style2"/>
        <w:numPr>
          <w:ilvl w:val="0"/>
          <w:numId w:val="7"/>
        </w:numPr>
        <w:rPr>
          <w:lang w:val="en-AU"/>
        </w:rPr>
      </w:pPr>
      <w:r w:rsidRPr="00567650">
        <w:rPr>
          <w:lang w:val="en-AU"/>
        </w:rPr>
        <w:t>Guideline: Offshore Greenhouse Gas Injection Licences (</w:t>
      </w:r>
      <w:r w:rsidRPr="00567650">
        <w:rPr>
          <w:b/>
          <w:bCs/>
          <w:lang w:val="en-AU"/>
        </w:rPr>
        <w:t>Injection Licence Guideline</w:t>
      </w:r>
      <w:proofErr w:type="gramStart"/>
      <w:r w:rsidRPr="00567650">
        <w:rPr>
          <w:lang w:val="en-AU"/>
        </w:rPr>
        <w:t>)</w:t>
      </w:r>
      <w:r w:rsidR="00B65E87" w:rsidRPr="00567650">
        <w:rPr>
          <w:lang w:val="en-AU"/>
        </w:rPr>
        <w:t>;</w:t>
      </w:r>
      <w:proofErr w:type="gramEnd"/>
    </w:p>
    <w:p w14:paraId="7884A20B" w14:textId="200CFC3B" w:rsidR="002A6393" w:rsidRPr="00567650" w:rsidRDefault="002A6393" w:rsidP="005765C8">
      <w:pPr>
        <w:pStyle w:val="ListParagraph"/>
        <w:numPr>
          <w:ilvl w:val="0"/>
          <w:numId w:val="7"/>
        </w:numPr>
        <w:tabs>
          <w:tab w:val="left" w:pos="284"/>
        </w:tabs>
        <w:spacing w:after="240" w:line="240" w:lineRule="auto"/>
        <w:ind w:left="284" w:hanging="284"/>
        <w:rPr>
          <w:rStyle w:val="Hyperlink"/>
          <w:b/>
          <w:bCs/>
          <w:i/>
          <w:iCs/>
          <w:color w:val="5F5F5F"/>
          <w:sz w:val="20"/>
          <w:szCs w:val="20"/>
        </w:rPr>
      </w:pPr>
      <w:hyperlink r:id="rId23">
        <w:r w:rsidRPr="00567650">
          <w:rPr>
            <w:rStyle w:val="Hyperlink"/>
            <w:sz w:val="20"/>
            <w:szCs w:val="20"/>
          </w:rPr>
          <w:t>Offshore GHG Guideline - Declaration of Identified GHG Storage Formation Guideline</w:t>
        </w:r>
      </w:hyperlink>
      <w:r w:rsidRPr="00567650">
        <w:rPr>
          <w:rStyle w:val="Hyperlink"/>
          <w:sz w:val="20"/>
          <w:szCs w:val="20"/>
        </w:rPr>
        <w:t xml:space="preserve"> </w:t>
      </w:r>
      <w:r w:rsidRPr="00567650">
        <w:rPr>
          <w:rStyle w:val="Hyperlink"/>
          <w:color w:val="5F5F5F"/>
          <w:sz w:val="20"/>
          <w:szCs w:val="20"/>
        </w:rPr>
        <w:t>(</w:t>
      </w:r>
      <w:r w:rsidRPr="00567650">
        <w:rPr>
          <w:rStyle w:val="Hyperlink"/>
          <w:b/>
          <w:bCs/>
          <w:color w:val="5F5F5F"/>
          <w:sz w:val="20"/>
          <w:szCs w:val="20"/>
        </w:rPr>
        <w:t>DoSF Guideline</w:t>
      </w:r>
      <w:proofErr w:type="gramStart"/>
      <w:r w:rsidRPr="00567650">
        <w:rPr>
          <w:rStyle w:val="Hyperlink"/>
          <w:color w:val="5F5F5F"/>
          <w:sz w:val="20"/>
          <w:szCs w:val="20"/>
        </w:rPr>
        <w:t>)</w:t>
      </w:r>
      <w:r w:rsidR="00B65E87" w:rsidRPr="00567650">
        <w:rPr>
          <w:rStyle w:val="Hyperlink"/>
          <w:color w:val="5F5F5F"/>
          <w:sz w:val="20"/>
          <w:szCs w:val="20"/>
        </w:rPr>
        <w:t>;</w:t>
      </w:r>
      <w:proofErr w:type="gramEnd"/>
    </w:p>
    <w:p w14:paraId="1713B8B4" w14:textId="630CE370" w:rsidR="001344D9" w:rsidRPr="00567650" w:rsidRDefault="0014544D" w:rsidP="001E338C">
      <w:pPr>
        <w:pStyle w:val="Style2"/>
        <w:numPr>
          <w:ilvl w:val="0"/>
          <w:numId w:val="7"/>
        </w:numPr>
        <w:ind w:left="357" w:right="284" w:hanging="357"/>
        <w:rPr>
          <w:rStyle w:val="Hyperlink"/>
          <w:color w:val="5F5F5F"/>
          <w:u w:val="none"/>
          <w:lang w:val="en-AU"/>
        </w:rPr>
      </w:pPr>
      <w:hyperlink r:id="rId24" w:history="1">
        <w:r w:rsidRPr="00567650">
          <w:rPr>
            <w:rStyle w:val="Hyperlink"/>
            <w:lang w:val="en-AU"/>
          </w:rPr>
          <w:t xml:space="preserve">NOPSEMA </w:t>
        </w:r>
        <w:r w:rsidR="00C2673F" w:rsidRPr="00567650">
          <w:rPr>
            <w:rStyle w:val="Hyperlink"/>
            <w:lang w:val="en-AU"/>
          </w:rPr>
          <w:t>G</w:t>
        </w:r>
        <w:r w:rsidRPr="00567650">
          <w:rPr>
            <w:rStyle w:val="Hyperlink"/>
            <w:lang w:val="en-AU"/>
          </w:rPr>
          <w:t xml:space="preserve">uidance </w:t>
        </w:r>
        <w:r w:rsidR="00C2673F" w:rsidRPr="00567650">
          <w:rPr>
            <w:rStyle w:val="Hyperlink"/>
            <w:lang w:val="en-AU"/>
          </w:rPr>
          <w:t>N</w:t>
        </w:r>
        <w:r w:rsidRPr="00567650">
          <w:rPr>
            <w:rStyle w:val="Hyperlink"/>
            <w:lang w:val="en-AU"/>
          </w:rPr>
          <w:t>ote</w:t>
        </w:r>
        <w:r w:rsidR="00C2673F" w:rsidRPr="00567650">
          <w:rPr>
            <w:rStyle w:val="Hyperlink"/>
            <w:lang w:val="en-AU"/>
          </w:rPr>
          <w:t>:</w:t>
        </w:r>
        <w:r w:rsidRPr="00567650">
          <w:rPr>
            <w:rStyle w:val="Hyperlink"/>
            <w:lang w:val="en-AU"/>
          </w:rPr>
          <w:t xml:space="preserve"> </w:t>
        </w:r>
        <w:r w:rsidR="00C2673F" w:rsidRPr="00567650">
          <w:rPr>
            <w:rStyle w:val="Hyperlink"/>
            <w:lang w:val="en-AU"/>
          </w:rPr>
          <w:t>R</w:t>
        </w:r>
        <w:r w:rsidRPr="00567650">
          <w:rPr>
            <w:rStyle w:val="Hyperlink"/>
            <w:lang w:val="en-AU"/>
          </w:rPr>
          <w:t xml:space="preserve">isk </w:t>
        </w:r>
        <w:r w:rsidR="00C2673F" w:rsidRPr="00567650">
          <w:rPr>
            <w:rStyle w:val="Hyperlink"/>
            <w:lang w:val="en-AU"/>
          </w:rPr>
          <w:t>A</w:t>
        </w:r>
        <w:r w:rsidRPr="00567650">
          <w:rPr>
            <w:rStyle w:val="Hyperlink"/>
            <w:lang w:val="en-AU"/>
          </w:rPr>
          <w:t>ssessment</w:t>
        </w:r>
      </w:hyperlink>
      <w:r w:rsidR="00B65E87" w:rsidRPr="00567650">
        <w:rPr>
          <w:rStyle w:val="Hyperlink"/>
          <w:lang w:val="en-AU"/>
        </w:rPr>
        <w:t>;</w:t>
      </w:r>
    </w:p>
    <w:p w14:paraId="5496914C" w14:textId="46A89723" w:rsidR="005649A5" w:rsidRPr="00567650" w:rsidRDefault="005649A5" w:rsidP="001E338C">
      <w:pPr>
        <w:pStyle w:val="Style2"/>
        <w:numPr>
          <w:ilvl w:val="0"/>
          <w:numId w:val="7"/>
        </w:numPr>
        <w:ind w:left="357" w:right="284" w:hanging="357"/>
        <w:rPr>
          <w:rStyle w:val="Hyperlink"/>
          <w:color w:val="5F5F5F"/>
          <w:u w:val="none"/>
          <w:lang w:val="en-AU"/>
        </w:rPr>
      </w:pPr>
      <w:hyperlink r:id="rId25" w:history="1">
        <w:r w:rsidRPr="00567650">
          <w:rPr>
            <w:rStyle w:val="Hyperlink"/>
            <w:lang w:val="en-AU"/>
          </w:rPr>
          <w:t xml:space="preserve">NOPSEMA </w:t>
        </w:r>
        <w:r w:rsidR="00B541DE" w:rsidRPr="00567650">
          <w:rPr>
            <w:rStyle w:val="Hyperlink"/>
            <w:lang w:val="en-AU"/>
          </w:rPr>
          <w:t>G</w:t>
        </w:r>
        <w:r w:rsidR="001B56C2" w:rsidRPr="00567650">
          <w:rPr>
            <w:rStyle w:val="Hyperlink"/>
            <w:lang w:val="en-AU"/>
          </w:rPr>
          <w:t xml:space="preserve">uidance </w:t>
        </w:r>
        <w:r w:rsidR="00B541DE" w:rsidRPr="00567650">
          <w:rPr>
            <w:rStyle w:val="Hyperlink"/>
            <w:lang w:val="en-AU"/>
          </w:rPr>
          <w:t>N</w:t>
        </w:r>
        <w:r w:rsidR="001B56C2" w:rsidRPr="00567650">
          <w:rPr>
            <w:rStyle w:val="Hyperlink"/>
            <w:lang w:val="en-AU"/>
          </w:rPr>
          <w:t>ote</w:t>
        </w:r>
        <w:r w:rsidR="00B541DE" w:rsidRPr="00567650">
          <w:rPr>
            <w:rStyle w:val="Hyperlink"/>
            <w:lang w:val="en-AU"/>
          </w:rPr>
          <w:t>:</w:t>
        </w:r>
        <w:r w:rsidR="001B56C2" w:rsidRPr="00567650">
          <w:rPr>
            <w:rStyle w:val="Hyperlink"/>
            <w:lang w:val="en-AU"/>
          </w:rPr>
          <w:t xml:space="preserve"> </w:t>
        </w:r>
        <w:r w:rsidRPr="00567650">
          <w:rPr>
            <w:rStyle w:val="Hyperlink"/>
            <w:lang w:val="en-AU"/>
          </w:rPr>
          <w:t>ALARP</w:t>
        </w:r>
      </w:hyperlink>
      <w:r w:rsidRPr="00567650">
        <w:rPr>
          <w:rStyle w:val="Hyperlink"/>
          <w:lang w:val="en-AU"/>
        </w:rPr>
        <w:t>;</w:t>
      </w:r>
    </w:p>
    <w:p w14:paraId="143B14C4" w14:textId="08F20D54" w:rsidR="00276703" w:rsidRPr="00567650" w:rsidRDefault="000B5EC3" w:rsidP="001E338C">
      <w:pPr>
        <w:pStyle w:val="Style2"/>
        <w:numPr>
          <w:ilvl w:val="0"/>
          <w:numId w:val="7"/>
        </w:numPr>
        <w:ind w:left="357" w:right="284" w:hanging="357"/>
        <w:rPr>
          <w:lang w:val="en-AU"/>
        </w:rPr>
      </w:pPr>
      <w:hyperlink r:id="rId26" w:history="1">
        <w:r w:rsidRPr="00567650">
          <w:rPr>
            <w:rStyle w:val="Hyperlink"/>
            <w:lang w:val="en-AU"/>
          </w:rPr>
          <w:t xml:space="preserve">NOPSEMA </w:t>
        </w:r>
        <w:r w:rsidR="00B541DE" w:rsidRPr="00567650">
          <w:rPr>
            <w:rStyle w:val="Hyperlink"/>
            <w:lang w:val="en-AU"/>
          </w:rPr>
          <w:t>G</w:t>
        </w:r>
        <w:r w:rsidRPr="00567650">
          <w:rPr>
            <w:rStyle w:val="Hyperlink"/>
            <w:lang w:val="en-AU"/>
          </w:rPr>
          <w:t xml:space="preserve">uidance </w:t>
        </w:r>
        <w:r w:rsidR="00B541DE" w:rsidRPr="00567650">
          <w:rPr>
            <w:rStyle w:val="Hyperlink"/>
            <w:lang w:val="en-AU"/>
          </w:rPr>
          <w:t>N</w:t>
        </w:r>
        <w:r w:rsidRPr="00567650">
          <w:rPr>
            <w:rStyle w:val="Hyperlink"/>
            <w:lang w:val="en-AU"/>
          </w:rPr>
          <w:t>ote</w:t>
        </w:r>
        <w:r w:rsidR="00B541DE" w:rsidRPr="00567650">
          <w:rPr>
            <w:rStyle w:val="Hyperlink"/>
            <w:lang w:val="en-AU"/>
          </w:rPr>
          <w:t>: C</w:t>
        </w:r>
        <w:r w:rsidRPr="00567650">
          <w:rPr>
            <w:rStyle w:val="Hyperlink"/>
            <w:lang w:val="en-AU"/>
          </w:rPr>
          <w:t xml:space="preserve">ontrol </w:t>
        </w:r>
        <w:r w:rsidR="00B541DE" w:rsidRPr="00567650">
          <w:rPr>
            <w:rStyle w:val="Hyperlink"/>
            <w:lang w:val="en-AU"/>
          </w:rPr>
          <w:t>M</w:t>
        </w:r>
        <w:r w:rsidRPr="00567650">
          <w:rPr>
            <w:rStyle w:val="Hyperlink"/>
            <w:lang w:val="en-AU"/>
          </w:rPr>
          <w:t xml:space="preserve">easures and </w:t>
        </w:r>
        <w:r w:rsidR="00B541DE" w:rsidRPr="00567650">
          <w:rPr>
            <w:rStyle w:val="Hyperlink"/>
            <w:lang w:val="en-AU"/>
          </w:rPr>
          <w:t>P</w:t>
        </w:r>
        <w:r w:rsidRPr="00567650">
          <w:rPr>
            <w:rStyle w:val="Hyperlink"/>
            <w:lang w:val="en-AU"/>
          </w:rPr>
          <w:t xml:space="preserve">erformance </w:t>
        </w:r>
        <w:r w:rsidR="00B541DE" w:rsidRPr="00567650">
          <w:rPr>
            <w:rStyle w:val="Hyperlink"/>
            <w:lang w:val="en-AU"/>
          </w:rPr>
          <w:t>S</w:t>
        </w:r>
        <w:r w:rsidRPr="00567650">
          <w:rPr>
            <w:rStyle w:val="Hyperlink"/>
            <w:lang w:val="en-AU"/>
          </w:rPr>
          <w:t>tandards</w:t>
        </w:r>
      </w:hyperlink>
      <w:r w:rsidRPr="00567650">
        <w:rPr>
          <w:lang w:val="en-AU"/>
        </w:rPr>
        <w:t>;</w:t>
      </w:r>
    </w:p>
    <w:p w14:paraId="1B35123A" w14:textId="3AFD63A6" w:rsidR="001B2C31" w:rsidRPr="00567650" w:rsidRDefault="00513E5E" w:rsidP="00F726CD">
      <w:pPr>
        <w:pStyle w:val="Style2"/>
        <w:numPr>
          <w:ilvl w:val="0"/>
          <w:numId w:val="7"/>
        </w:numPr>
        <w:rPr>
          <w:lang w:val="en-AU"/>
        </w:rPr>
      </w:pPr>
      <w:hyperlink r:id="rId27" w:history="1">
        <w:r w:rsidRPr="00567650">
          <w:rPr>
            <w:rStyle w:val="Hyperlink"/>
            <w:lang w:val="en-AU"/>
          </w:rPr>
          <w:t xml:space="preserve">DISR/DCCEEW </w:t>
        </w:r>
        <w:r w:rsidR="007910FC" w:rsidRPr="00567650">
          <w:rPr>
            <w:rStyle w:val="Hyperlink"/>
            <w:lang w:val="en-AU"/>
          </w:rPr>
          <w:t>Guidance Note: Offshore Carbon Capture and Storage Regulatory Approvals 2023</w:t>
        </w:r>
      </w:hyperlink>
      <w:r w:rsidR="00BA0CF6" w:rsidRPr="00567650">
        <w:rPr>
          <w:lang w:val="en-AU"/>
        </w:rPr>
        <w:t>;</w:t>
      </w:r>
    </w:p>
    <w:p w14:paraId="1CF01F4E" w14:textId="30626F00" w:rsidR="00B541DE" w:rsidRPr="00567650" w:rsidRDefault="00B541DE" w:rsidP="001E338C">
      <w:pPr>
        <w:pStyle w:val="Style2"/>
        <w:numPr>
          <w:ilvl w:val="0"/>
          <w:numId w:val="7"/>
        </w:numPr>
        <w:ind w:left="357" w:right="284" w:hanging="357"/>
        <w:rPr>
          <w:lang w:val="en-AU"/>
        </w:rPr>
      </w:pPr>
      <w:hyperlink r:id="rId28" w:history="1">
        <w:r w:rsidRPr="00567650">
          <w:rPr>
            <w:rStyle w:val="Hyperlink"/>
            <w:lang w:val="en-AU"/>
          </w:rPr>
          <w:t>NOPSEMA Fact Sheet: ALARP and Acceptable</w:t>
        </w:r>
      </w:hyperlink>
      <w:r w:rsidR="00496895" w:rsidRPr="00567650">
        <w:rPr>
          <w:lang w:val="en-AU"/>
        </w:rPr>
        <w:t>;</w:t>
      </w:r>
      <w:r w:rsidRPr="00567650">
        <w:rPr>
          <w:lang w:val="en-AU"/>
        </w:rPr>
        <w:t xml:space="preserve"> </w:t>
      </w:r>
    </w:p>
    <w:p w14:paraId="268EBE0C" w14:textId="78DEA5FA" w:rsidR="00521731" w:rsidRPr="00567650" w:rsidRDefault="00521731" w:rsidP="00453EDF">
      <w:pPr>
        <w:pStyle w:val="Style2"/>
        <w:numPr>
          <w:ilvl w:val="0"/>
          <w:numId w:val="7"/>
        </w:numPr>
        <w:rPr>
          <w:lang w:val="en-AU"/>
        </w:rPr>
      </w:pPr>
      <w:r w:rsidRPr="00567650">
        <w:rPr>
          <w:lang w:val="en-AU"/>
        </w:rPr>
        <w:lastRenderedPageBreak/>
        <w:t>Fact Sheet</w:t>
      </w:r>
      <w:r w:rsidR="00EC6572" w:rsidRPr="00567650">
        <w:rPr>
          <w:lang w:val="en-AU"/>
        </w:rPr>
        <w:t xml:space="preserve">: </w:t>
      </w:r>
      <w:r w:rsidR="00CE5C35" w:rsidRPr="00567650">
        <w:rPr>
          <w:lang w:val="en-AU"/>
        </w:rPr>
        <w:t xml:space="preserve">Developing a GHG resource - </w:t>
      </w:r>
      <w:r w:rsidR="00DE651F" w:rsidRPr="00567650">
        <w:rPr>
          <w:lang w:val="en-AU"/>
        </w:rPr>
        <w:t>GHG</w:t>
      </w:r>
      <w:r w:rsidR="00195C1A" w:rsidRPr="00567650">
        <w:rPr>
          <w:lang w:val="en-AU"/>
        </w:rPr>
        <w:t xml:space="preserve"> Injection </w:t>
      </w:r>
      <w:r w:rsidR="0071393E" w:rsidRPr="00567650">
        <w:rPr>
          <w:lang w:val="en-AU"/>
        </w:rPr>
        <w:t xml:space="preserve">Licence </w:t>
      </w:r>
      <w:r w:rsidR="00195C1A" w:rsidRPr="00567650">
        <w:rPr>
          <w:lang w:val="en-AU"/>
        </w:rPr>
        <w:t xml:space="preserve">and </w:t>
      </w:r>
      <w:r w:rsidR="0071393E" w:rsidRPr="00567650">
        <w:rPr>
          <w:lang w:val="en-AU"/>
        </w:rPr>
        <w:t xml:space="preserve">Site Plan </w:t>
      </w:r>
      <w:proofErr w:type="gramStart"/>
      <w:r w:rsidR="0071393E" w:rsidRPr="00567650">
        <w:rPr>
          <w:lang w:val="en-AU"/>
        </w:rPr>
        <w:t>applications</w:t>
      </w:r>
      <w:r w:rsidR="001D5267" w:rsidRPr="00567650">
        <w:rPr>
          <w:lang w:val="en-AU"/>
        </w:rPr>
        <w:t>;</w:t>
      </w:r>
      <w:proofErr w:type="gramEnd"/>
    </w:p>
    <w:p w14:paraId="7DEAEC1C" w14:textId="4215A28A" w:rsidR="001344D9" w:rsidRPr="00567650" w:rsidRDefault="001344D9" w:rsidP="00453EDF">
      <w:pPr>
        <w:pStyle w:val="Style2"/>
        <w:numPr>
          <w:ilvl w:val="0"/>
          <w:numId w:val="7"/>
        </w:numPr>
        <w:rPr>
          <w:lang w:val="en-AU"/>
        </w:rPr>
      </w:pPr>
      <w:r w:rsidRPr="00567650">
        <w:rPr>
          <w:lang w:val="en-AU"/>
        </w:rPr>
        <w:t>Fact Sheet: Significant Risk of Significant Adverse Impact (SROSA</w:t>
      </w:r>
      <w:r w:rsidRPr="008A67CA">
        <w:rPr>
          <w:lang w:val="en-AU"/>
        </w:rPr>
        <w:t>I</w:t>
      </w:r>
      <w:r w:rsidRPr="00567650">
        <w:rPr>
          <w:lang w:val="en-AU"/>
        </w:rPr>
        <w:t>)</w:t>
      </w:r>
      <w:r w:rsidR="00CD4A5F" w:rsidRPr="00567650">
        <w:rPr>
          <w:lang w:val="en-AU"/>
        </w:rPr>
        <w:t>; and</w:t>
      </w:r>
    </w:p>
    <w:p w14:paraId="2C15FFCF" w14:textId="4D488E9D" w:rsidR="001344D9" w:rsidRPr="00567650" w:rsidRDefault="001344D9" w:rsidP="00453EDF">
      <w:pPr>
        <w:pStyle w:val="Style2"/>
        <w:numPr>
          <w:ilvl w:val="0"/>
          <w:numId w:val="7"/>
        </w:numPr>
        <w:rPr>
          <w:lang w:val="en-AU"/>
        </w:rPr>
      </w:pPr>
      <w:r w:rsidRPr="00567650">
        <w:rPr>
          <w:lang w:val="en-AU"/>
        </w:rPr>
        <w:t>Fact Sheet: Monitoring plans</w:t>
      </w:r>
      <w:r w:rsidR="005765C8" w:rsidRPr="00567650">
        <w:rPr>
          <w:lang w:val="en-AU"/>
        </w:rPr>
        <w:t xml:space="preserve"> in Offshore Greenhouse Gas Injection Licences and Site Plans. </w:t>
      </w:r>
    </w:p>
    <w:p w14:paraId="0BB68CCD" w14:textId="1E3870E8" w:rsidR="002A6393" w:rsidRPr="00567650" w:rsidRDefault="002A6393" w:rsidP="00DB0F0B">
      <w:pPr>
        <w:pStyle w:val="Heading2"/>
      </w:pPr>
      <w:r w:rsidRPr="00567650">
        <w:t>Where does risk assessment fit into a site plan?</w:t>
      </w:r>
    </w:p>
    <w:p w14:paraId="111D9014" w14:textId="542AF23F" w:rsidR="002769AD" w:rsidRPr="00567650" w:rsidRDefault="002769AD" w:rsidP="002769AD">
      <w:pPr>
        <w:tabs>
          <w:tab w:val="left" w:pos="284"/>
        </w:tabs>
        <w:rPr>
          <w:rFonts w:eastAsiaTheme="minorEastAsia"/>
          <w:color w:val="5F5F5F"/>
          <w:sz w:val="20"/>
          <w:szCs w:val="20"/>
          <w:lang w:eastAsia="en-AU"/>
        </w:rPr>
      </w:pPr>
      <w:r w:rsidRPr="00567650">
        <w:rPr>
          <w:rFonts w:eastAsiaTheme="minorEastAsia"/>
          <w:color w:val="5F5F5F"/>
          <w:sz w:val="20"/>
          <w:szCs w:val="20"/>
          <w:lang w:eastAsia="en-AU"/>
        </w:rPr>
        <w:t xml:space="preserve">A draft site plan must accompany an application for a GHG injection licence </w:t>
      </w:r>
      <w:r w:rsidR="00C84804" w:rsidRPr="00567650">
        <w:rPr>
          <w:rFonts w:eastAsiaTheme="minorEastAsia"/>
          <w:color w:val="5F5F5F"/>
          <w:sz w:val="20"/>
          <w:szCs w:val="20"/>
          <w:lang w:eastAsia="en-AU"/>
        </w:rPr>
        <w:t>with risk assessment</w:t>
      </w:r>
      <w:r w:rsidR="0094066C" w:rsidRPr="00567650">
        <w:rPr>
          <w:rFonts w:eastAsiaTheme="minorEastAsia"/>
          <w:color w:val="5F5F5F"/>
          <w:sz w:val="20"/>
          <w:szCs w:val="20"/>
          <w:lang w:eastAsia="en-AU"/>
        </w:rPr>
        <w:t xml:space="preserve"> forming part of the information </w:t>
      </w:r>
      <w:r w:rsidR="00E56C07" w:rsidRPr="00567650">
        <w:rPr>
          <w:rFonts w:eastAsiaTheme="minorEastAsia"/>
          <w:color w:val="5F5F5F"/>
          <w:sz w:val="20"/>
          <w:szCs w:val="20"/>
          <w:lang w:eastAsia="en-AU"/>
        </w:rPr>
        <w:t xml:space="preserve">required under the following </w:t>
      </w:r>
      <w:r w:rsidR="00304E6E" w:rsidRPr="00567650">
        <w:rPr>
          <w:rFonts w:eastAsiaTheme="minorEastAsia"/>
          <w:color w:val="5F5F5F"/>
          <w:sz w:val="20"/>
          <w:szCs w:val="20"/>
          <w:lang w:eastAsia="en-AU"/>
        </w:rPr>
        <w:t xml:space="preserve">provisions of the </w:t>
      </w:r>
      <w:r w:rsidR="002748FA" w:rsidRPr="00567650">
        <w:rPr>
          <w:rFonts w:eastAsiaTheme="minorEastAsia"/>
          <w:color w:val="5F5F5F"/>
          <w:sz w:val="20"/>
          <w:szCs w:val="20"/>
          <w:lang w:eastAsia="en-AU"/>
        </w:rPr>
        <w:t>GHG Re</w:t>
      </w:r>
      <w:r w:rsidR="00D939CD" w:rsidRPr="00567650">
        <w:rPr>
          <w:rFonts w:eastAsiaTheme="minorEastAsia"/>
          <w:color w:val="5F5F5F"/>
          <w:sz w:val="20"/>
          <w:szCs w:val="20"/>
          <w:lang w:eastAsia="en-AU"/>
        </w:rPr>
        <w:t>gulations</w:t>
      </w:r>
      <w:r w:rsidRPr="00567650">
        <w:rPr>
          <w:rFonts w:eastAsiaTheme="minorEastAsia"/>
          <w:color w:val="5F5F5F"/>
          <w:sz w:val="20"/>
          <w:szCs w:val="20"/>
          <w:lang w:eastAsia="en-AU"/>
        </w:rPr>
        <w:t>:</w:t>
      </w:r>
    </w:p>
    <w:p w14:paraId="362D073D" w14:textId="7CD4F208" w:rsidR="002769AD" w:rsidRPr="00567650" w:rsidRDefault="002769AD" w:rsidP="00AF0C23">
      <w:pPr>
        <w:pStyle w:val="Style2"/>
        <w:numPr>
          <w:ilvl w:val="0"/>
          <w:numId w:val="7"/>
        </w:numPr>
        <w:rPr>
          <w:lang w:val="en-AU"/>
        </w:rPr>
      </w:pPr>
      <w:r w:rsidRPr="00567650">
        <w:rPr>
          <w:lang w:val="en-AU"/>
        </w:rPr>
        <w:t>general criteria (</w:t>
      </w:r>
      <w:r w:rsidR="00CC19E8" w:rsidRPr="00567650">
        <w:rPr>
          <w:lang w:val="en-AU"/>
        </w:rPr>
        <w:t xml:space="preserve">section </w:t>
      </w:r>
      <w:r w:rsidR="001105D7" w:rsidRPr="00567650">
        <w:rPr>
          <w:lang w:val="en-AU"/>
        </w:rPr>
        <w:t>18</w:t>
      </w:r>
      <w:r w:rsidR="00B01382" w:rsidRPr="00567650">
        <w:rPr>
          <w:lang w:val="en-AU"/>
        </w:rPr>
        <w:t xml:space="preserve"> of the</w:t>
      </w:r>
      <w:r w:rsidR="001105D7" w:rsidRPr="00567650">
        <w:rPr>
          <w:lang w:val="en-AU"/>
        </w:rPr>
        <w:t xml:space="preserve"> </w:t>
      </w:r>
      <w:r w:rsidRPr="00567650">
        <w:rPr>
          <w:lang w:val="en-AU"/>
        </w:rPr>
        <w:t>GHG Regulations)</w:t>
      </w:r>
      <w:r w:rsidR="0023330F" w:rsidRPr="00567650">
        <w:rPr>
          <w:lang w:val="en-AU"/>
        </w:rPr>
        <w:t xml:space="preserve"> covering geological </w:t>
      </w:r>
      <w:proofErr w:type="gramStart"/>
      <w:r w:rsidR="0023330F" w:rsidRPr="00567650">
        <w:rPr>
          <w:lang w:val="en-AU"/>
        </w:rPr>
        <w:t>risk</w:t>
      </w:r>
      <w:r w:rsidR="00BC5ECE" w:rsidRPr="00567650">
        <w:rPr>
          <w:lang w:val="en-AU"/>
        </w:rPr>
        <w:t>s</w:t>
      </w:r>
      <w:r w:rsidR="00627BC1" w:rsidRPr="00567650">
        <w:rPr>
          <w:lang w:val="en-AU"/>
        </w:rPr>
        <w:t>;</w:t>
      </w:r>
      <w:proofErr w:type="gramEnd"/>
    </w:p>
    <w:p w14:paraId="67F219D8" w14:textId="78923BA0" w:rsidR="000539B2" w:rsidRPr="00567650" w:rsidRDefault="00CC19E8" w:rsidP="00AF0C23">
      <w:pPr>
        <w:pStyle w:val="Style2"/>
        <w:numPr>
          <w:ilvl w:val="0"/>
          <w:numId w:val="7"/>
        </w:numPr>
        <w:rPr>
          <w:lang w:val="en-AU"/>
        </w:rPr>
      </w:pPr>
      <w:r w:rsidRPr="00567650">
        <w:rPr>
          <w:lang w:val="en-AU"/>
        </w:rPr>
        <w:t>clause</w:t>
      </w:r>
      <w:r w:rsidR="00365812" w:rsidRPr="00567650">
        <w:rPr>
          <w:lang w:val="en-AU"/>
        </w:rPr>
        <w:t xml:space="preserve"> </w:t>
      </w:r>
      <w:r w:rsidR="00BA5580" w:rsidRPr="00567650">
        <w:rPr>
          <w:lang w:val="en-AU"/>
        </w:rPr>
        <w:t>13</w:t>
      </w:r>
      <w:r w:rsidR="002E0A70" w:rsidRPr="00567650">
        <w:rPr>
          <w:lang w:val="en-AU"/>
        </w:rPr>
        <w:t xml:space="preserve"> </w:t>
      </w:r>
      <w:r w:rsidR="00E728FA" w:rsidRPr="00567650">
        <w:rPr>
          <w:lang w:val="en-AU"/>
        </w:rPr>
        <w:t>of</w:t>
      </w:r>
      <w:r w:rsidR="002E0A70" w:rsidRPr="00567650" w:rsidDel="00E40621">
        <w:rPr>
          <w:lang w:val="en-AU"/>
        </w:rPr>
        <w:t xml:space="preserve"> </w:t>
      </w:r>
      <w:r w:rsidR="00FB0920" w:rsidRPr="00567650">
        <w:rPr>
          <w:lang w:val="en-AU"/>
        </w:rPr>
        <w:t>Schedule</w:t>
      </w:r>
      <w:r w:rsidR="00290783" w:rsidRPr="00567650">
        <w:rPr>
          <w:lang w:val="en-AU"/>
        </w:rPr>
        <w:t xml:space="preserve"> 1</w:t>
      </w:r>
      <w:r w:rsidR="00860F41" w:rsidRPr="00567650">
        <w:rPr>
          <w:rStyle w:val="FootnoteReference"/>
          <w:lang w:val="en-AU"/>
        </w:rPr>
        <w:footnoteReference w:id="2"/>
      </w:r>
      <w:r w:rsidR="00E840DE" w:rsidRPr="00567650">
        <w:rPr>
          <w:lang w:val="en-AU"/>
        </w:rPr>
        <w:t xml:space="preserve"> </w:t>
      </w:r>
      <w:r w:rsidR="00110CD5" w:rsidRPr="00567650">
        <w:rPr>
          <w:lang w:val="en-AU"/>
        </w:rPr>
        <w:t xml:space="preserve">and </w:t>
      </w:r>
      <w:r w:rsidRPr="00567650">
        <w:rPr>
          <w:lang w:val="en-AU"/>
        </w:rPr>
        <w:t xml:space="preserve">clause </w:t>
      </w:r>
      <w:r w:rsidR="00B117FE" w:rsidRPr="00567650">
        <w:rPr>
          <w:lang w:val="en-AU"/>
        </w:rPr>
        <w:t xml:space="preserve">4 of Schedule 2 </w:t>
      </w:r>
      <w:r w:rsidR="00E840DE" w:rsidRPr="00567650">
        <w:rPr>
          <w:lang w:val="en-AU"/>
        </w:rPr>
        <w:t>of the GHG Regulations</w:t>
      </w:r>
      <w:r w:rsidR="004E0B1B" w:rsidRPr="00567650">
        <w:rPr>
          <w:lang w:val="en-AU"/>
        </w:rPr>
        <w:t xml:space="preserve"> </w:t>
      </w:r>
      <w:r w:rsidR="00DC144E" w:rsidRPr="00567650">
        <w:rPr>
          <w:lang w:val="en-AU"/>
        </w:rPr>
        <w:t xml:space="preserve">covering </w:t>
      </w:r>
      <w:r w:rsidR="000F0FD5" w:rsidRPr="00567650">
        <w:rPr>
          <w:lang w:val="en-AU"/>
        </w:rPr>
        <w:t>risks</w:t>
      </w:r>
      <w:r w:rsidR="009E7498" w:rsidRPr="00567650">
        <w:rPr>
          <w:lang w:val="en-AU"/>
        </w:rPr>
        <w:t xml:space="preserve"> associated with engineering enhancement</w:t>
      </w:r>
      <w:r w:rsidR="00FB0920" w:rsidRPr="00567650">
        <w:rPr>
          <w:lang w:val="en-AU"/>
        </w:rPr>
        <w:t>s</w:t>
      </w:r>
      <w:r w:rsidR="000539B2" w:rsidRPr="00567650">
        <w:rPr>
          <w:lang w:val="en-AU"/>
        </w:rPr>
        <w:t>; and</w:t>
      </w:r>
      <w:r w:rsidR="00FB0920" w:rsidRPr="00567650">
        <w:rPr>
          <w:lang w:val="en-AU"/>
        </w:rPr>
        <w:t xml:space="preserve"> </w:t>
      </w:r>
    </w:p>
    <w:p w14:paraId="3474CB7F" w14:textId="1AD563C0" w:rsidR="002769AD" w:rsidRPr="00567650" w:rsidRDefault="00CC19E8" w:rsidP="00AF0C23">
      <w:pPr>
        <w:pStyle w:val="Style2"/>
        <w:numPr>
          <w:ilvl w:val="0"/>
          <w:numId w:val="7"/>
        </w:numPr>
        <w:rPr>
          <w:lang w:val="en-AU"/>
        </w:rPr>
      </w:pPr>
      <w:r w:rsidRPr="00567650">
        <w:rPr>
          <w:lang w:val="en-AU"/>
        </w:rPr>
        <w:t xml:space="preserve">clause </w:t>
      </w:r>
      <w:r w:rsidR="00BA5580" w:rsidRPr="00567650">
        <w:rPr>
          <w:lang w:val="en-AU"/>
        </w:rPr>
        <w:t>5</w:t>
      </w:r>
      <w:r w:rsidR="00D548B5" w:rsidRPr="00567650">
        <w:rPr>
          <w:lang w:val="en-AU"/>
        </w:rPr>
        <w:t xml:space="preserve"> of S</w:t>
      </w:r>
      <w:r w:rsidR="00D81DA4" w:rsidRPr="00567650">
        <w:rPr>
          <w:lang w:val="en-AU"/>
        </w:rPr>
        <w:t xml:space="preserve">chedule 2 </w:t>
      </w:r>
      <w:r w:rsidR="0080629B" w:rsidRPr="00567650">
        <w:rPr>
          <w:lang w:val="en-AU"/>
        </w:rPr>
        <w:t xml:space="preserve">of the GHG </w:t>
      </w:r>
      <w:r w:rsidR="00CF4FC6" w:rsidRPr="00567650">
        <w:rPr>
          <w:lang w:val="en-AU"/>
        </w:rPr>
        <w:t>Regulations</w:t>
      </w:r>
      <w:r w:rsidR="00BF2BFE" w:rsidRPr="00567650">
        <w:rPr>
          <w:lang w:val="en-AU"/>
        </w:rPr>
        <w:t xml:space="preserve"> covering</w:t>
      </w:r>
      <w:r w:rsidR="006E4C9F" w:rsidRPr="00567650">
        <w:rPr>
          <w:lang w:val="en-AU"/>
        </w:rPr>
        <w:t xml:space="preserve"> </w:t>
      </w:r>
      <w:r w:rsidR="00893883" w:rsidRPr="00567650">
        <w:rPr>
          <w:lang w:val="en-AU"/>
        </w:rPr>
        <w:t>risks relating to the containment of GHG substances</w:t>
      </w:r>
      <w:r w:rsidR="007C573D" w:rsidRPr="00567650" w:rsidDel="00426847">
        <w:rPr>
          <w:lang w:val="en-AU"/>
        </w:rPr>
        <w:t>.</w:t>
      </w:r>
    </w:p>
    <w:p w14:paraId="604A0C2B" w14:textId="38C3966F" w:rsidR="0084646F" w:rsidRPr="00567650" w:rsidRDefault="00BE2355" w:rsidP="0084646F">
      <w:pPr>
        <w:spacing w:after="120"/>
        <w:rPr>
          <w:rFonts w:eastAsiaTheme="minorEastAsia"/>
          <w:color w:val="5F5F5F"/>
          <w:sz w:val="20"/>
          <w:szCs w:val="20"/>
          <w:lang w:eastAsia="en-AU"/>
        </w:rPr>
      </w:pPr>
      <w:r w:rsidRPr="00567650">
        <w:rPr>
          <w:rFonts w:eastAsiaTheme="minorEastAsia"/>
          <w:color w:val="5F5F5F"/>
          <w:sz w:val="20"/>
          <w:szCs w:val="20"/>
          <w:lang w:eastAsia="en-AU"/>
        </w:rPr>
        <w:t>The</w:t>
      </w:r>
      <w:r w:rsidR="00BC1EEC" w:rsidRPr="00567650">
        <w:rPr>
          <w:rFonts w:eastAsiaTheme="minorEastAsia"/>
          <w:color w:val="5F5F5F"/>
          <w:sz w:val="20"/>
          <w:szCs w:val="20"/>
          <w:lang w:eastAsia="en-AU"/>
        </w:rPr>
        <w:t xml:space="preserve"> draft</w:t>
      </w:r>
      <w:r w:rsidRPr="00567650">
        <w:rPr>
          <w:rFonts w:eastAsiaTheme="minorEastAsia"/>
          <w:color w:val="5F5F5F"/>
          <w:sz w:val="20"/>
          <w:szCs w:val="20"/>
          <w:lang w:eastAsia="en-AU"/>
        </w:rPr>
        <w:t xml:space="preserve"> site plan must be approved by the </w:t>
      </w:r>
      <w:r w:rsidR="00F31DD8" w:rsidRPr="00567650">
        <w:rPr>
          <w:rFonts w:eastAsiaTheme="minorEastAsia"/>
          <w:color w:val="5F5F5F"/>
          <w:sz w:val="20"/>
          <w:szCs w:val="20"/>
          <w:lang w:eastAsia="en-AU"/>
        </w:rPr>
        <w:t>responsible Commonwealth Minister (</w:t>
      </w:r>
      <w:r w:rsidRPr="00567650">
        <w:rPr>
          <w:rFonts w:eastAsiaTheme="minorEastAsia"/>
          <w:b/>
          <w:color w:val="5F5F5F"/>
          <w:sz w:val="20"/>
          <w:szCs w:val="20"/>
          <w:lang w:eastAsia="en-AU"/>
        </w:rPr>
        <w:t>RCM</w:t>
      </w:r>
      <w:r w:rsidR="00F31DD8" w:rsidRPr="00567650">
        <w:rPr>
          <w:rFonts w:eastAsiaTheme="minorEastAsia"/>
          <w:color w:val="5F5F5F"/>
          <w:sz w:val="20"/>
          <w:szCs w:val="20"/>
          <w:lang w:eastAsia="en-AU"/>
        </w:rPr>
        <w:t>)</w:t>
      </w:r>
      <w:r w:rsidRPr="00567650">
        <w:rPr>
          <w:rFonts w:eastAsiaTheme="minorEastAsia"/>
          <w:color w:val="5F5F5F"/>
          <w:sz w:val="20"/>
          <w:szCs w:val="20"/>
          <w:lang w:eastAsia="en-AU"/>
        </w:rPr>
        <w:t xml:space="preserve"> before any operations in relation to an identified GHG storage formation specified in the licence can commence</w:t>
      </w:r>
      <w:r w:rsidR="00A66086" w:rsidRPr="00567650">
        <w:rPr>
          <w:rFonts w:eastAsiaTheme="minorEastAsia"/>
          <w:color w:val="5F5F5F"/>
          <w:sz w:val="20"/>
          <w:szCs w:val="20"/>
          <w:lang w:eastAsia="en-AU"/>
        </w:rPr>
        <w:t>. If an approved site plan is in force</w:t>
      </w:r>
      <w:r w:rsidRPr="00567650">
        <w:rPr>
          <w:rFonts w:eastAsiaTheme="minorEastAsia"/>
          <w:color w:val="5F5F5F"/>
          <w:sz w:val="20"/>
          <w:szCs w:val="20"/>
          <w:lang w:eastAsia="en-AU"/>
        </w:rPr>
        <w:t xml:space="preserve"> the licensee must comply with the plan.</w:t>
      </w:r>
    </w:p>
    <w:p w14:paraId="256BE41C" w14:textId="7DD5E8C9" w:rsidR="0012681D" w:rsidRPr="00567650" w:rsidRDefault="00B9221B" w:rsidP="00DB0F0B">
      <w:pPr>
        <w:pStyle w:val="Heading2"/>
      </w:pPr>
      <w:r w:rsidRPr="00567650">
        <w:t>Aims of</w:t>
      </w:r>
      <w:r w:rsidR="0084646F" w:rsidRPr="00567650">
        <w:t xml:space="preserve"> a risk assessment</w:t>
      </w:r>
    </w:p>
    <w:p w14:paraId="0FE8B514" w14:textId="07BA0A13" w:rsidR="00920027" w:rsidRPr="00567650" w:rsidRDefault="00920027" w:rsidP="00920027">
      <w:pPr>
        <w:spacing w:after="120"/>
        <w:rPr>
          <w:rFonts w:eastAsiaTheme="minorEastAsia"/>
          <w:color w:val="5F5F5F"/>
          <w:sz w:val="20"/>
          <w:szCs w:val="20"/>
          <w:lang w:eastAsia="en-AU"/>
        </w:rPr>
      </w:pPr>
      <w:r w:rsidRPr="00567650">
        <w:rPr>
          <w:rFonts w:eastAsiaTheme="minorEastAsia"/>
          <w:color w:val="5F5F5F"/>
          <w:sz w:val="20"/>
          <w:szCs w:val="20"/>
          <w:lang w:eastAsia="en-AU"/>
        </w:rPr>
        <w:t xml:space="preserve">Risk assessment </w:t>
      </w:r>
      <w:r w:rsidR="00F22BDC" w:rsidRPr="00567650">
        <w:rPr>
          <w:rFonts w:eastAsiaTheme="minorEastAsia"/>
          <w:color w:val="5F5F5F"/>
          <w:sz w:val="20"/>
          <w:szCs w:val="20"/>
          <w:lang w:eastAsia="en-AU"/>
        </w:rPr>
        <w:t>is undertaken</w:t>
      </w:r>
      <w:r w:rsidR="000E11DB" w:rsidRPr="00567650">
        <w:rPr>
          <w:rFonts w:eastAsiaTheme="minorEastAsia"/>
          <w:color w:val="5F5F5F"/>
          <w:sz w:val="20"/>
          <w:szCs w:val="20"/>
          <w:lang w:eastAsia="en-AU"/>
        </w:rPr>
        <w:t xml:space="preserve"> to</w:t>
      </w:r>
      <w:r w:rsidR="0010579B" w:rsidRPr="00567650">
        <w:rPr>
          <w:rFonts w:eastAsiaTheme="minorEastAsia"/>
          <w:color w:val="5F5F5F"/>
          <w:sz w:val="20"/>
          <w:szCs w:val="20"/>
          <w:lang w:eastAsia="en-AU"/>
        </w:rPr>
        <w:t xml:space="preserve"> </w:t>
      </w:r>
      <w:r w:rsidR="000732C1" w:rsidRPr="00567650">
        <w:rPr>
          <w:rFonts w:eastAsiaTheme="minorEastAsia"/>
          <w:color w:val="5F5F5F"/>
          <w:sz w:val="20"/>
          <w:szCs w:val="20"/>
          <w:lang w:eastAsia="en-AU"/>
        </w:rPr>
        <w:t>assist</w:t>
      </w:r>
      <w:r w:rsidR="004230E8" w:rsidRPr="00567650">
        <w:rPr>
          <w:rFonts w:eastAsiaTheme="minorEastAsia"/>
          <w:color w:val="5F5F5F"/>
          <w:sz w:val="20"/>
          <w:szCs w:val="20"/>
          <w:lang w:eastAsia="en-AU"/>
        </w:rPr>
        <w:t xml:space="preserve"> with planning for</w:t>
      </w:r>
      <w:r w:rsidR="00396347" w:rsidRPr="00567650">
        <w:rPr>
          <w:rFonts w:eastAsiaTheme="minorEastAsia"/>
          <w:color w:val="5F5F5F"/>
          <w:sz w:val="20"/>
          <w:szCs w:val="20"/>
          <w:lang w:eastAsia="en-AU"/>
        </w:rPr>
        <w:t xml:space="preserve"> </w:t>
      </w:r>
      <w:r w:rsidRPr="00567650">
        <w:rPr>
          <w:rFonts w:eastAsiaTheme="minorEastAsia"/>
          <w:color w:val="5F5F5F"/>
          <w:sz w:val="20"/>
          <w:szCs w:val="20"/>
          <w:lang w:eastAsia="en-AU"/>
        </w:rPr>
        <w:t>safe</w:t>
      </w:r>
      <w:r w:rsidR="000A7526" w:rsidRPr="00567650">
        <w:rPr>
          <w:rFonts w:eastAsiaTheme="minorEastAsia"/>
          <w:color w:val="5F5F5F"/>
          <w:sz w:val="20"/>
          <w:szCs w:val="20"/>
          <w:lang w:eastAsia="en-AU"/>
        </w:rPr>
        <w:t xml:space="preserve">, </w:t>
      </w:r>
      <w:r w:rsidRPr="00567650">
        <w:rPr>
          <w:rFonts w:eastAsiaTheme="minorEastAsia"/>
          <w:color w:val="5F5F5F"/>
          <w:sz w:val="20"/>
          <w:szCs w:val="20"/>
          <w:lang w:eastAsia="en-AU"/>
        </w:rPr>
        <w:t xml:space="preserve">secure </w:t>
      </w:r>
      <w:r w:rsidR="000A7526" w:rsidRPr="00567650">
        <w:rPr>
          <w:rFonts w:eastAsiaTheme="minorEastAsia"/>
          <w:color w:val="5F5F5F"/>
          <w:sz w:val="20"/>
          <w:szCs w:val="20"/>
          <w:lang w:eastAsia="en-AU"/>
        </w:rPr>
        <w:t>and</w:t>
      </w:r>
      <w:r w:rsidRPr="00567650">
        <w:rPr>
          <w:rFonts w:eastAsiaTheme="minorEastAsia"/>
          <w:color w:val="5F5F5F"/>
          <w:sz w:val="20"/>
          <w:szCs w:val="20"/>
          <w:lang w:eastAsia="en-AU"/>
        </w:rPr>
        <w:t xml:space="preserve"> </w:t>
      </w:r>
      <w:r w:rsidR="00F46D78" w:rsidRPr="00567650">
        <w:rPr>
          <w:rFonts w:eastAsiaTheme="minorEastAsia"/>
          <w:color w:val="5F5F5F"/>
          <w:sz w:val="20"/>
          <w:szCs w:val="20"/>
          <w:lang w:eastAsia="en-AU"/>
        </w:rPr>
        <w:t xml:space="preserve">permanent storage </w:t>
      </w:r>
      <w:r w:rsidRPr="00567650">
        <w:rPr>
          <w:rFonts w:eastAsiaTheme="minorEastAsia"/>
          <w:color w:val="5F5F5F"/>
          <w:sz w:val="20"/>
          <w:szCs w:val="20"/>
          <w:lang w:eastAsia="en-AU"/>
        </w:rPr>
        <w:t xml:space="preserve">of GHG substances. </w:t>
      </w:r>
    </w:p>
    <w:p w14:paraId="183501C2" w14:textId="0905EEDA" w:rsidR="00913E1D" w:rsidRDefault="0084646F" w:rsidP="00E821F7">
      <w:pPr>
        <w:tabs>
          <w:tab w:val="left" w:pos="284"/>
        </w:tabs>
        <w:rPr>
          <w:rFonts w:eastAsiaTheme="minorEastAsia"/>
          <w:color w:val="5F5F5F"/>
          <w:sz w:val="20"/>
          <w:szCs w:val="20"/>
          <w:lang w:eastAsia="en-AU"/>
        </w:rPr>
      </w:pPr>
      <w:r w:rsidRPr="00567650">
        <w:rPr>
          <w:rFonts w:eastAsiaTheme="minorEastAsia"/>
          <w:color w:val="5F5F5F"/>
          <w:sz w:val="20"/>
          <w:szCs w:val="20"/>
          <w:lang w:eastAsia="en-AU"/>
        </w:rPr>
        <w:t>A risk assessment</w:t>
      </w:r>
      <w:r w:rsidR="00C2225C" w:rsidRPr="00567650">
        <w:rPr>
          <w:rFonts w:eastAsiaTheme="minorEastAsia"/>
          <w:color w:val="5F5F5F"/>
          <w:sz w:val="20"/>
          <w:szCs w:val="20"/>
          <w:lang w:eastAsia="en-AU"/>
        </w:rPr>
        <w:t xml:space="preserve"> included as part of the application and assessment processes for a GHG injection licence and site plan</w:t>
      </w:r>
      <w:r w:rsidRPr="00567650">
        <w:rPr>
          <w:rFonts w:eastAsiaTheme="minorEastAsia"/>
          <w:color w:val="5F5F5F"/>
          <w:sz w:val="20"/>
          <w:szCs w:val="20"/>
          <w:lang w:eastAsia="en-AU"/>
        </w:rPr>
        <w:t xml:space="preserve"> must demonstrate that all risks associated with the </w:t>
      </w:r>
      <w:r w:rsidR="00567BE9" w:rsidRPr="00567650">
        <w:rPr>
          <w:rFonts w:eastAsiaTheme="minorEastAsia"/>
          <w:color w:val="5F5F5F"/>
          <w:sz w:val="20"/>
          <w:szCs w:val="20"/>
          <w:lang w:eastAsia="en-AU"/>
        </w:rPr>
        <w:t>geology, containment of GHG substances and engineering enhancements</w:t>
      </w:r>
      <w:r w:rsidRPr="00567650">
        <w:rPr>
          <w:rFonts w:eastAsiaTheme="minorEastAsia"/>
          <w:color w:val="5F5F5F"/>
          <w:sz w:val="20"/>
          <w:szCs w:val="20"/>
          <w:lang w:eastAsia="en-AU"/>
        </w:rPr>
        <w:t xml:space="preserve"> have been identified and that the</w:t>
      </w:r>
      <w:r w:rsidR="14950BEB" w:rsidRPr="00567650">
        <w:rPr>
          <w:rFonts w:eastAsiaTheme="minorEastAsia"/>
          <w:color w:val="5F5F5F"/>
          <w:sz w:val="20"/>
          <w:szCs w:val="20"/>
          <w:lang w:eastAsia="en-AU"/>
        </w:rPr>
        <w:t>se</w:t>
      </w:r>
      <w:r w:rsidRPr="00567650">
        <w:rPr>
          <w:rFonts w:eastAsiaTheme="minorEastAsia"/>
          <w:color w:val="5F5F5F"/>
          <w:sz w:val="20"/>
          <w:szCs w:val="20"/>
          <w:lang w:eastAsia="en-AU"/>
        </w:rPr>
        <w:t xml:space="preserve"> will be eliminated or reduced to as low as is reasonably practicable (</w:t>
      </w:r>
      <w:r w:rsidRPr="00567650">
        <w:rPr>
          <w:rFonts w:eastAsiaTheme="minorEastAsia"/>
          <w:b/>
          <w:bCs/>
          <w:color w:val="5F5F5F"/>
          <w:sz w:val="20"/>
          <w:szCs w:val="20"/>
          <w:lang w:eastAsia="en-AU"/>
        </w:rPr>
        <w:t>ALARP</w:t>
      </w:r>
      <w:r w:rsidRPr="00567650">
        <w:rPr>
          <w:rFonts w:eastAsiaTheme="minorEastAsia"/>
          <w:color w:val="5F5F5F"/>
          <w:sz w:val="20"/>
          <w:szCs w:val="20"/>
          <w:lang w:eastAsia="en-AU"/>
        </w:rPr>
        <w:t>). If a risk is identified and is reduced but not eliminated, the remaining risk must be acceptable.</w:t>
      </w:r>
    </w:p>
    <w:p w14:paraId="213E641C" w14:textId="24E8F613" w:rsidR="00487C11" w:rsidRPr="00567650" w:rsidRDefault="0084646F" w:rsidP="00E821F7">
      <w:pPr>
        <w:tabs>
          <w:tab w:val="left" w:pos="284"/>
        </w:tabs>
        <w:rPr>
          <w:rFonts w:eastAsiaTheme="minorEastAsia"/>
          <w:color w:val="5F5F5F"/>
          <w:sz w:val="20"/>
          <w:szCs w:val="20"/>
          <w:lang w:eastAsia="en-AU"/>
        </w:rPr>
      </w:pPr>
      <w:r w:rsidRPr="00567650">
        <w:rPr>
          <w:rFonts w:eastAsiaTheme="minorEastAsia"/>
          <w:color w:val="5F5F5F"/>
          <w:sz w:val="20"/>
          <w:szCs w:val="20"/>
          <w:lang w:eastAsia="en-AU"/>
        </w:rPr>
        <w:t>Details of the risk assessment analysis used by the applicant should include the following for each risk</w:t>
      </w:r>
      <w:r w:rsidR="006B4DFC" w:rsidRPr="00567650">
        <w:rPr>
          <w:rFonts w:eastAsiaTheme="minorEastAsia"/>
          <w:color w:val="5F5F5F"/>
          <w:sz w:val="20"/>
          <w:szCs w:val="20"/>
          <w:lang w:eastAsia="en-AU"/>
        </w:rPr>
        <w:t>:</w:t>
      </w:r>
    </w:p>
    <w:p w14:paraId="4776689C" w14:textId="4AC7C9F7" w:rsidR="0084646F" w:rsidRPr="00567650" w:rsidRDefault="0084646F" w:rsidP="00EA1EDE">
      <w:pPr>
        <w:pStyle w:val="Style2"/>
        <w:numPr>
          <w:ilvl w:val="0"/>
          <w:numId w:val="17"/>
        </w:numPr>
        <w:rPr>
          <w:lang w:val="en-AU"/>
        </w:rPr>
      </w:pPr>
      <w:r w:rsidRPr="00567650">
        <w:rPr>
          <w:lang w:val="en-AU"/>
        </w:rPr>
        <w:t xml:space="preserve">a description of the </w:t>
      </w:r>
      <w:proofErr w:type="gramStart"/>
      <w:r w:rsidRPr="00567650">
        <w:rPr>
          <w:lang w:val="en-AU"/>
        </w:rPr>
        <w:t>risk;</w:t>
      </w:r>
      <w:proofErr w:type="gramEnd"/>
    </w:p>
    <w:p w14:paraId="24980E0D" w14:textId="5AABAF58" w:rsidR="0084646F" w:rsidRPr="00567650" w:rsidRDefault="0084646F" w:rsidP="00C40DA6">
      <w:pPr>
        <w:pStyle w:val="Style2"/>
        <w:numPr>
          <w:ilvl w:val="0"/>
          <w:numId w:val="7"/>
        </w:numPr>
        <w:rPr>
          <w:lang w:val="en-AU"/>
        </w:rPr>
      </w:pPr>
      <w:r w:rsidRPr="00567650">
        <w:rPr>
          <w:lang w:val="en-AU"/>
        </w:rPr>
        <w:t xml:space="preserve">the possible consequences of the </w:t>
      </w:r>
      <w:proofErr w:type="gramStart"/>
      <w:r w:rsidRPr="00567650">
        <w:rPr>
          <w:lang w:val="en-AU"/>
        </w:rPr>
        <w:t>risk;</w:t>
      </w:r>
      <w:proofErr w:type="gramEnd"/>
    </w:p>
    <w:p w14:paraId="785FD958" w14:textId="4196B197" w:rsidR="0084646F" w:rsidRPr="00567650" w:rsidRDefault="0084646F" w:rsidP="00C40DA6">
      <w:pPr>
        <w:pStyle w:val="Style2"/>
        <w:numPr>
          <w:ilvl w:val="0"/>
          <w:numId w:val="7"/>
        </w:numPr>
        <w:rPr>
          <w:lang w:val="en-AU"/>
        </w:rPr>
      </w:pPr>
      <w:r w:rsidRPr="00567650">
        <w:rPr>
          <w:lang w:val="en-AU"/>
        </w:rPr>
        <w:t xml:space="preserve">an assessment of the probability of occurrence of the </w:t>
      </w:r>
      <w:proofErr w:type="gramStart"/>
      <w:r w:rsidRPr="00567650">
        <w:rPr>
          <w:lang w:val="en-AU"/>
        </w:rPr>
        <w:t>risk;</w:t>
      </w:r>
      <w:proofErr w:type="gramEnd"/>
    </w:p>
    <w:p w14:paraId="1021EFE5" w14:textId="7341BA6F" w:rsidR="0084646F" w:rsidRPr="00567650" w:rsidRDefault="0084646F" w:rsidP="00C40DA6">
      <w:pPr>
        <w:pStyle w:val="Style2"/>
        <w:numPr>
          <w:ilvl w:val="0"/>
          <w:numId w:val="7"/>
        </w:numPr>
        <w:rPr>
          <w:lang w:val="en-AU"/>
        </w:rPr>
      </w:pPr>
      <w:r w:rsidRPr="00567650">
        <w:rPr>
          <w:lang w:val="en-AU"/>
        </w:rPr>
        <w:t>the strategies for the elimination or reducing the risk to ALARP;</w:t>
      </w:r>
      <w:r w:rsidR="002B266B" w:rsidRPr="00567650">
        <w:rPr>
          <w:lang w:val="en-AU"/>
        </w:rPr>
        <w:t xml:space="preserve"> and</w:t>
      </w:r>
    </w:p>
    <w:p w14:paraId="61F58BA2" w14:textId="29E03EC5" w:rsidR="0084646F" w:rsidRPr="00567650" w:rsidRDefault="0084646F" w:rsidP="00C40DA6">
      <w:pPr>
        <w:pStyle w:val="Style2"/>
        <w:numPr>
          <w:ilvl w:val="0"/>
          <w:numId w:val="7"/>
        </w:numPr>
        <w:rPr>
          <w:lang w:val="en-AU"/>
        </w:rPr>
      </w:pPr>
      <w:r w:rsidRPr="00567650">
        <w:rPr>
          <w:lang w:val="en-AU"/>
        </w:rPr>
        <w:t>if the risk has been, or will be, reduced but not eliminated</w:t>
      </w:r>
      <w:r w:rsidR="00D57ADE" w:rsidRPr="00567650">
        <w:rPr>
          <w:lang w:val="en-AU"/>
        </w:rPr>
        <w:t>:</w:t>
      </w:r>
      <w:r w:rsidRPr="00567650">
        <w:rPr>
          <w:lang w:val="en-AU"/>
        </w:rPr>
        <w:t xml:space="preserve"> information demonstrating that the remaining risk will</w:t>
      </w:r>
      <w:r w:rsidR="00CE7B33" w:rsidRPr="00567650">
        <w:rPr>
          <w:lang w:val="en-AU"/>
        </w:rPr>
        <w:t xml:space="preserve"> be acceptable</w:t>
      </w:r>
      <w:r w:rsidR="00F67F5F" w:rsidRPr="00567650">
        <w:rPr>
          <w:lang w:val="en-AU"/>
        </w:rPr>
        <w:t>.</w:t>
      </w:r>
    </w:p>
    <w:p w14:paraId="5E49C1CF" w14:textId="15ED7257" w:rsidR="00A769BD" w:rsidRPr="00567650" w:rsidRDefault="0084646F" w:rsidP="0084646F">
      <w:pPr>
        <w:tabs>
          <w:tab w:val="left" w:pos="284"/>
        </w:tabs>
        <w:rPr>
          <w:rFonts w:eastAsiaTheme="minorEastAsia"/>
          <w:color w:val="5F5F5F"/>
          <w:sz w:val="20"/>
          <w:szCs w:val="20"/>
          <w:lang w:eastAsia="en-AU"/>
        </w:rPr>
      </w:pPr>
      <w:r w:rsidRPr="00567650">
        <w:rPr>
          <w:rFonts w:eastAsiaTheme="minorEastAsia"/>
          <w:color w:val="5F5F5F"/>
          <w:sz w:val="20"/>
          <w:szCs w:val="20"/>
          <w:lang w:eastAsia="en-AU"/>
        </w:rPr>
        <w:t xml:space="preserve">A </w:t>
      </w:r>
      <w:r w:rsidR="00C06299" w:rsidRPr="00567650">
        <w:rPr>
          <w:rFonts w:eastAsiaTheme="minorEastAsia"/>
          <w:color w:val="5F5F5F"/>
          <w:sz w:val="20"/>
          <w:szCs w:val="20"/>
          <w:lang w:eastAsia="en-AU"/>
        </w:rPr>
        <w:t>ri</w:t>
      </w:r>
      <w:r w:rsidR="008654A0" w:rsidRPr="00567650">
        <w:rPr>
          <w:rFonts w:eastAsiaTheme="minorEastAsia"/>
          <w:color w:val="5F5F5F"/>
          <w:sz w:val="20"/>
          <w:szCs w:val="20"/>
          <w:lang w:eastAsia="en-AU"/>
        </w:rPr>
        <w:t xml:space="preserve">gorous and </w:t>
      </w:r>
      <w:r w:rsidRPr="00567650">
        <w:rPr>
          <w:rFonts w:eastAsiaTheme="minorEastAsia"/>
          <w:color w:val="5F5F5F"/>
          <w:sz w:val="20"/>
          <w:szCs w:val="20"/>
          <w:lang w:eastAsia="en-AU"/>
        </w:rPr>
        <w:t xml:space="preserve">comprehensive risk assessment </w:t>
      </w:r>
      <w:r w:rsidR="00D54C8E" w:rsidRPr="00567650">
        <w:rPr>
          <w:rFonts w:eastAsiaTheme="minorEastAsia"/>
          <w:color w:val="5F5F5F"/>
          <w:sz w:val="20"/>
          <w:szCs w:val="20"/>
          <w:lang w:eastAsia="en-AU"/>
        </w:rPr>
        <w:t xml:space="preserve">of the entire project </w:t>
      </w:r>
      <w:r w:rsidRPr="00567650">
        <w:rPr>
          <w:rFonts w:eastAsiaTheme="minorEastAsia"/>
          <w:color w:val="5F5F5F"/>
          <w:sz w:val="20"/>
          <w:szCs w:val="20"/>
          <w:lang w:eastAsia="en-AU"/>
        </w:rPr>
        <w:t>should identify the various risks, evaluate potential impact of these risks and develop mitigation plans for safe</w:t>
      </w:r>
      <w:r w:rsidR="00BB6D95" w:rsidRPr="00567650">
        <w:rPr>
          <w:rFonts w:eastAsiaTheme="minorEastAsia"/>
          <w:color w:val="5F5F5F"/>
          <w:sz w:val="20"/>
          <w:szCs w:val="20"/>
          <w:lang w:eastAsia="en-AU"/>
        </w:rPr>
        <w:t>,</w:t>
      </w:r>
      <w:r w:rsidRPr="00567650">
        <w:rPr>
          <w:rFonts w:eastAsiaTheme="minorEastAsia"/>
          <w:color w:val="5F5F5F"/>
          <w:sz w:val="20"/>
          <w:szCs w:val="20"/>
          <w:lang w:eastAsia="en-AU"/>
        </w:rPr>
        <w:t xml:space="preserve"> </w:t>
      </w:r>
      <w:r w:rsidR="00537B7D" w:rsidRPr="00567650">
        <w:rPr>
          <w:rFonts w:eastAsiaTheme="minorEastAsia"/>
          <w:color w:val="5F5F5F"/>
          <w:sz w:val="20"/>
          <w:szCs w:val="20"/>
          <w:lang w:eastAsia="en-AU"/>
        </w:rPr>
        <w:t>secure and permanent</w:t>
      </w:r>
      <w:r w:rsidRPr="00567650">
        <w:rPr>
          <w:rFonts w:eastAsiaTheme="minorEastAsia"/>
          <w:color w:val="5F5F5F"/>
          <w:sz w:val="20"/>
          <w:szCs w:val="20"/>
          <w:lang w:eastAsia="en-AU"/>
        </w:rPr>
        <w:t xml:space="preserve"> storage. </w:t>
      </w:r>
      <w:r w:rsidR="005E4BBE" w:rsidRPr="00567650">
        <w:rPr>
          <w:rFonts w:eastAsiaTheme="minorEastAsia"/>
          <w:color w:val="5F5F5F"/>
          <w:sz w:val="20"/>
          <w:szCs w:val="20"/>
          <w:lang w:eastAsia="en-AU"/>
        </w:rPr>
        <w:t>The identified risks should be collated in a risk register</w:t>
      </w:r>
      <w:r w:rsidR="000368AC" w:rsidRPr="00567650">
        <w:rPr>
          <w:rFonts w:eastAsiaTheme="minorEastAsia"/>
          <w:color w:val="5F5F5F"/>
          <w:sz w:val="20"/>
          <w:szCs w:val="20"/>
          <w:lang w:eastAsia="en-AU"/>
        </w:rPr>
        <w:t>,</w:t>
      </w:r>
      <w:r w:rsidR="005E4BBE" w:rsidRPr="00567650">
        <w:rPr>
          <w:rFonts w:eastAsiaTheme="minorEastAsia"/>
          <w:color w:val="5F5F5F"/>
          <w:sz w:val="20"/>
          <w:szCs w:val="20"/>
          <w:lang w:eastAsia="en-AU"/>
        </w:rPr>
        <w:t xml:space="preserve"> ranked to identify the most significant risks to the containment of GHG substances</w:t>
      </w:r>
      <w:r w:rsidR="000368AC" w:rsidRPr="00567650">
        <w:rPr>
          <w:rFonts w:eastAsiaTheme="minorEastAsia"/>
          <w:color w:val="5F5F5F"/>
          <w:sz w:val="20"/>
          <w:szCs w:val="20"/>
          <w:lang w:eastAsia="en-AU"/>
        </w:rPr>
        <w:t xml:space="preserve"> and mapped to the </w:t>
      </w:r>
      <w:r w:rsidR="004147CE" w:rsidRPr="00567650">
        <w:rPr>
          <w:rFonts w:eastAsiaTheme="minorEastAsia"/>
          <w:color w:val="5F5F5F"/>
          <w:sz w:val="20"/>
          <w:szCs w:val="20"/>
          <w:lang w:eastAsia="en-AU"/>
        </w:rPr>
        <w:t>proponent’s</w:t>
      </w:r>
      <w:r w:rsidR="000368AC" w:rsidRPr="00567650">
        <w:rPr>
          <w:rFonts w:eastAsiaTheme="minorEastAsia"/>
          <w:color w:val="5F5F5F"/>
          <w:sz w:val="20"/>
          <w:szCs w:val="20"/>
          <w:lang w:eastAsia="en-AU"/>
        </w:rPr>
        <w:t xml:space="preserve"> risk </w:t>
      </w:r>
      <w:r w:rsidR="00680942" w:rsidRPr="00567650">
        <w:rPr>
          <w:rFonts w:eastAsiaTheme="minorEastAsia"/>
          <w:color w:val="5F5F5F"/>
          <w:sz w:val="20"/>
          <w:szCs w:val="20"/>
          <w:lang w:eastAsia="en-AU"/>
        </w:rPr>
        <w:t>matrix</w:t>
      </w:r>
      <w:r w:rsidR="000368AC" w:rsidRPr="00567650">
        <w:rPr>
          <w:rFonts w:eastAsiaTheme="minorEastAsia"/>
          <w:color w:val="5F5F5F"/>
          <w:sz w:val="20"/>
          <w:szCs w:val="20"/>
          <w:lang w:eastAsia="en-AU"/>
        </w:rPr>
        <w:t>,</w:t>
      </w:r>
      <w:r w:rsidR="005E4BBE" w:rsidRPr="00567650">
        <w:rPr>
          <w:rFonts w:eastAsiaTheme="minorEastAsia"/>
          <w:color w:val="5F5F5F"/>
          <w:sz w:val="20"/>
          <w:szCs w:val="20"/>
          <w:lang w:eastAsia="en-AU"/>
        </w:rPr>
        <w:t xml:space="preserve"> with </w:t>
      </w:r>
      <w:r w:rsidR="00143DF3" w:rsidRPr="00567650">
        <w:rPr>
          <w:rFonts w:eastAsiaTheme="minorEastAsia"/>
          <w:color w:val="5F5F5F"/>
          <w:sz w:val="20"/>
          <w:szCs w:val="20"/>
          <w:lang w:eastAsia="en-AU"/>
        </w:rPr>
        <w:t xml:space="preserve">a </w:t>
      </w:r>
      <w:r w:rsidR="005E4BBE" w:rsidRPr="00567650">
        <w:rPr>
          <w:rFonts w:eastAsiaTheme="minorEastAsia"/>
          <w:color w:val="5F5F5F"/>
          <w:sz w:val="20"/>
          <w:szCs w:val="20"/>
          <w:lang w:eastAsia="en-AU"/>
        </w:rPr>
        <w:t>clear rationale for the ranking provided</w:t>
      </w:r>
      <w:r w:rsidR="00680942" w:rsidRPr="00567650">
        <w:rPr>
          <w:rFonts w:eastAsiaTheme="minorEastAsia"/>
          <w:color w:val="5F5F5F"/>
          <w:sz w:val="20"/>
          <w:szCs w:val="20"/>
          <w:lang w:eastAsia="en-AU"/>
        </w:rPr>
        <w:t xml:space="preserve"> under their risk management framework</w:t>
      </w:r>
      <w:r w:rsidR="005E4BBE" w:rsidRPr="00567650">
        <w:rPr>
          <w:rFonts w:eastAsiaTheme="minorEastAsia"/>
          <w:color w:val="5F5F5F"/>
          <w:sz w:val="20"/>
          <w:szCs w:val="20"/>
          <w:lang w:eastAsia="en-AU"/>
        </w:rPr>
        <w:t>.</w:t>
      </w:r>
    </w:p>
    <w:p w14:paraId="2442A4B4" w14:textId="5C03DD74" w:rsidR="0084646F" w:rsidRPr="00567650" w:rsidRDefault="0084646F" w:rsidP="0084646F">
      <w:pPr>
        <w:tabs>
          <w:tab w:val="left" w:pos="284"/>
        </w:tabs>
        <w:rPr>
          <w:rFonts w:eastAsiaTheme="minorEastAsia"/>
          <w:color w:val="5F5F5F"/>
          <w:sz w:val="20"/>
          <w:szCs w:val="20"/>
          <w:lang w:eastAsia="en-AU"/>
        </w:rPr>
      </w:pPr>
      <w:r w:rsidRPr="00567650">
        <w:rPr>
          <w:rFonts w:eastAsiaTheme="minorEastAsia"/>
          <w:color w:val="5F5F5F"/>
          <w:sz w:val="20"/>
          <w:szCs w:val="20"/>
          <w:lang w:eastAsia="en-AU"/>
        </w:rPr>
        <w:t xml:space="preserve">The outcome of this risk assessment, combined with regulatory requirements should </w:t>
      </w:r>
      <w:r w:rsidR="0010432F" w:rsidRPr="00567650">
        <w:rPr>
          <w:rFonts w:eastAsiaTheme="minorEastAsia"/>
          <w:color w:val="5F5F5F"/>
          <w:sz w:val="20"/>
          <w:szCs w:val="20"/>
          <w:lang w:eastAsia="en-AU"/>
        </w:rPr>
        <w:t xml:space="preserve">support the design of the project and </w:t>
      </w:r>
      <w:r w:rsidRPr="00567650">
        <w:rPr>
          <w:rFonts w:eastAsiaTheme="minorEastAsia"/>
          <w:color w:val="5F5F5F"/>
          <w:sz w:val="20"/>
          <w:szCs w:val="20"/>
          <w:lang w:eastAsia="en-AU"/>
        </w:rPr>
        <w:t>drive the development of a monitoring (</w:t>
      </w:r>
      <w:r w:rsidR="002024A9" w:rsidRPr="00567650">
        <w:rPr>
          <w:rFonts w:eastAsiaTheme="minorEastAsia"/>
          <w:color w:val="5F5F5F"/>
          <w:sz w:val="20"/>
          <w:szCs w:val="20"/>
          <w:lang w:eastAsia="en-AU"/>
        </w:rPr>
        <w:t>Monitoring, Measurement and Ver</w:t>
      </w:r>
      <w:r w:rsidR="001014D4" w:rsidRPr="00567650">
        <w:rPr>
          <w:rFonts w:eastAsiaTheme="minorEastAsia"/>
          <w:color w:val="5F5F5F"/>
          <w:sz w:val="20"/>
          <w:szCs w:val="20"/>
          <w:lang w:eastAsia="en-AU"/>
        </w:rPr>
        <w:t>ification (</w:t>
      </w:r>
      <w:r w:rsidRPr="00567650">
        <w:rPr>
          <w:rFonts w:eastAsiaTheme="minorEastAsia"/>
          <w:b/>
          <w:color w:val="5F5F5F"/>
          <w:sz w:val="20"/>
          <w:szCs w:val="20"/>
          <w:lang w:eastAsia="en-AU"/>
        </w:rPr>
        <w:t>MMV</w:t>
      </w:r>
      <w:r w:rsidR="00C71B65" w:rsidRPr="00567650">
        <w:rPr>
          <w:rFonts w:eastAsiaTheme="minorEastAsia"/>
          <w:color w:val="5F5F5F"/>
          <w:sz w:val="20"/>
          <w:szCs w:val="20"/>
          <w:lang w:eastAsia="en-AU"/>
        </w:rPr>
        <w:t>)</w:t>
      </w:r>
      <w:r w:rsidRPr="00567650">
        <w:rPr>
          <w:rFonts w:eastAsiaTheme="minorEastAsia"/>
          <w:color w:val="5F5F5F"/>
          <w:sz w:val="20"/>
          <w:szCs w:val="20"/>
          <w:lang w:eastAsia="en-AU"/>
        </w:rPr>
        <w:t>) plan.</w:t>
      </w:r>
      <w:r w:rsidR="0010432F" w:rsidRPr="00567650">
        <w:rPr>
          <w:rFonts w:eastAsiaTheme="minorEastAsia"/>
          <w:color w:val="5F5F5F"/>
          <w:sz w:val="20"/>
          <w:szCs w:val="20"/>
          <w:lang w:eastAsia="en-AU"/>
        </w:rPr>
        <w:t xml:space="preserve"> The frequency of data acquisition should also be justified having regard for the timeframes required to identify if the GHG plume is behaving as predicted and undertake remedial action if required.</w:t>
      </w:r>
    </w:p>
    <w:p w14:paraId="051C5829" w14:textId="47E93D9F" w:rsidR="0084646F" w:rsidRPr="00567650" w:rsidRDefault="0084646F" w:rsidP="0084646F">
      <w:pPr>
        <w:tabs>
          <w:tab w:val="left" w:pos="284"/>
        </w:tabs>
        <w:rPr>
          <w:color w:val="5F5F5F"/>
          <w:sz w:val="20"/>
          <w:szCs w:val="20"/>
        </w:rPr>
      </w:pPr>
      <w:r w:rsidRPr="00567650">
        <w:rPr>
          <w:color w:val="5F5F5F"/>
          <w:sz w:val="20"/>
          <w:szCs w:val="20"/>
        </w:rPr>
        <w:t>The probability of occurrence and associated consequence of each identified risk will generally evolve throughout a project life cycle</w:t>
      </w:r>
      <w:r w:rsidR="0010432F" w:rsidRPr="00567650">
        <w:rPr>
          <w:color w:val="5F5F5F"/>
          <w:sz w:val="20"/>
          <w:szCs w:val="20"/>
        </w:rPr>
        <w:t>, as will MMV technology</w:t>
      </w:r>
      <w:r w:rsidRPr="00567650">
        <w:rPr>
          <w:color w:val="5F5F5F"/>
          <w:sz w:val="20"/>
          <w:szCs w:val="20"/>
        </w:rPr>
        <w:t>. Accordingly, the mitigation steps</w:t>
      </w:r>
      <w:r w:rsidR="0010432F" w:rsidRPr="00567650">
        <w:rPr>
          <w:color w:val="5F5F5F"/>
          <w:sz w:val="20"/>
          <w:szCs w:val="20"/>
        </w:rPr>
        <w:t>,</w:t>
      </w:r>
      <w:r w:rsidRPr="00567650">
        <w:rPr>
          <w:color w:val="5F5F5F"/>
          <w:sz w:val="20"/>
          <w:szCs w:val="20"/>
        </w:rPr>
        <w:t xml:space="preserve"> monitoring </w:t>
      </w:r>
      <w:r w:rsidR="0010432F" w:rsidRPr="00567650">
        <w:rPr>
          <w:color w:val="5F5F5F"/>
          <w:sz w:val="20"/>
          <w:szCs w:val="20"/>
        </w:rPr>
        <w:t xml:space="preserve">and reporting </w:t>
      </w:r>
      <w:r w:rsidRPr="00567650">
        <w:rPr>
          <w:color w:val="5F5F5F"/>
          <w:sz w:val="20"/>
          <w:szCs w:val="20"/>
        </w:rPr>
        <w:t>plans will also evolve.</w:t>
      </w:r>
      <w:r w:rsidR="00460E20" w:rsidRPr="00567650">
        <w:rPr>
          <w:color w:val="5F5F5F"/>
          <w:sz w:val="20"/>
          <w:szCs w:val="20"/>
        </w:rPr>
        <w:t xml:space="preserve"> </w:t>
      </w:r>
      <w:r w:rsidR="00FC5F11" w:rsidRPr="00567650">
        <w:rPr>
          <w:color w:val="5F5F5F"/>
          <w:sz w:val="20"/>
          <w:szCs w:val="20"/>
        </w:rPr>
        <w:t>The evolution of</w:t>
      </w:r>
      <w:r w:rsidR="00B5289E" w:rsidRPr="00567650">
        <w:rPr>
          <w:color w:val="5F5F5F"/>
          <w:sz w:val="20"/>
          <w:szCs w:val="20"/>
        </w:rPr>
        <w:t xml:space="preserve"> any identified risk</w:t>
      </w:r>
      <w:r w:rsidR="004B723F" w:rsidRPr="00567650">
        <w:rPr>
          <w:color w:val="5F5F5F"/>
          <w:sz w:val="20"/>
          <w:szCs w:val="20"/>
        </w:rPr>
        <w:t xml:space="preserve"> and the associated</w:t>
      </w:r>
      <w:r w:rsidR="00D84BD8" w:rsidRPr="00567650">
        <w:rPr>
          <w:color w:val="5F5F5F"/>
          <w:sz w:val="20"/>
          <w:szCs w:val="20"/>
        </w:rPr>
        <w:t xml:space="preserve"> mitigation steps and monitoring plans </w:t>
      </w:r>
      <w:r w:rsidR="00B905DE" w:rsidRPr="00567650">
        <w:rPr>
          <w:color w:val="5F5F5F"/>
          <w:sz w:val="20"/>
          <w:szCs w:val="20"/>
        </w:rPr>
        <w:t>will be c</w:t>
      </w:r>
      <w:r w:rsidR="004A19D7" w:rsidRPr="00567650">
        <w:rPr>
          <w:color w:val="5F5F5F"/>
          <w:sz w:val="20"/>
          <w:szCs w:val="20"/>
        </w:rPr>
        <w:t>aptured</w:t>
      </w:r>
      <w:r w:rsidR="00E06980" w:rsidRPr="00567650">
        <w:rPr>
          <w:color w:val="5F5F5F"/>
          <w:sz w:val="20"/>
          <w:szCs w:val="20"/>
        </w:rPr>
        <w:t xml:space="preserve"> in the reviews of the approved site plan </w:t>
      </w:r>
      <w:r w:rsidR="00247424" w:rsidRPr="00567650">
        <w:rPr>
          <w:color w:val="5F5F5F"/>
          <w:sz w:val="20"/>
          <w:szCs w:val="20"/>
        </w:rPr>
        <w:t xml:space="preserve">which must take place at least once in each period of </w:t>
      </w:r>
      <w:r w:rsidR="00AC408A" w:rsidRPr="00567650">
        <w:rPr>
          <w:color w:val="5F5F5F"/>
          <w:sz w:val="20"/>
          <w:szCs w:val="20"/>
        </w:rPr>
        <w:t>5 years during which it is in force</w:t>
      </w:r>
      <w:r w:rsidR="00442850" w:rsidRPr="00567650">
        <w:rPr>
          <w:color w:val="5F5F5F"/>
          <w:sz w:val="20"/>
          <w:szCs w:val="20"/>
        </w:rPr>
        <w:t xml:space="preserve"> (</w:t>
      </w:r>
      <w:r w:rsidR="00CC19E8" w:rsidRPr="00567650">
        <w:rPr>
          <w:color w:val="5F5F5F"/>
          <w:sz w:val="20"/>
          <w:szCs w:val="20"/>
        </w:rPr>
        <w:t xml:space="preserve">sections </w:t>
      </w:r>
      <w:r w:rsidR="00442850" w:rsidRPr="00567650">
        <w:rPr>
          <w:color w:val="5F5F5F"/>
          <w:sz w:val="20"/>
          <w:szCs w:val="20"/>
        </w:rPr>
        <w:t>36 to 38</w:t>
      </w:r>
      <w:r w:rsidR="001D7CF5" w:rsidRPr="00567650">
        <w:rPr>
          <w:color w:val="5F5F5F"/>
          <w:sz w:val="20"/>
          <w:szCs w:val="20"/>
        </w:rPr>
        <w:t xml:space="preserve"> of the GHG Regulations) </w:t>
      </w:r>
      <w:r w:rsidR="000C3D1C" w:rsidRPr="00567650">
        <w:rPr>
          <w:color w:val="5F5F5F"/>
          <w:sz w:val="20"/>
          <w:szCs w:val="20"/>
        </w:rPr>
        <w:t xml:space="preserve">or </w:t>
      </w:r>
      <w:r w:rsidR="006A2F3C">
        <w:rPr>
          <w:color w:val="5F5F5F"/>
          <w:sz w:val="20"/>
          <w:szCs w:val="20"/>
        </w:rPr>
        <w:t>in the circumstances</w:t>
      </w:r>
      <w:r w:rsidR="00574126">
        <w:rPr>
          <w:color w:val="5F5F5F"/>
          <w:sz w:val="20"/>
          <w:szCs w:val="20"/>
        </w:rPr>
        <w:t xml:space="preserve"> mentioned in subsection 37(1) of the GHG Regulations.</w:t>
      </w:r>
    </w:p>
    <w:p w14:paraId="036F2371" w14:textId="55B0C395" w:rsidR="001A5150" w:rsidRPr="00567650" w:rsidRDefault="001D7857" w:rsidP="001A5150">
      <w:pPr>
        <w:tabs>
          <w:tab w:val="left" w:pos="284"/>
        </w:tabs>
        <w:rPr>
          <w:rFonts w:eastAsiaTheme="minorEastAsia"/>
          <w:color w:val="5F5F5F"/>
          <w:sz w:val="20"/>
          <w:szCs w:val="20"/>
          <w:lang w:eastAsia="en-AU"/>
        </w:rPr>
      </w:pPr>
      <w:r w:rsidRPr="00567650">
        <w:rPr>
          <w:rFonts w:eastAsiaTheme="minorEastAsia"/>
          <w:color w:val="5F5F5F"/>
          <w:sz w:val="20"/>
          <w:szCs w:val="20"/>
          <w:lang w:eastAsia="en-AU"/>
        </w:rPr>
        <w:t xml:space="preserve">Additional </w:t>
      </w:r>
      <w:r w:rsidR="001A5150" w:rsidRPr="00567650">
        <w:rPr>
          <w:rFonts w:eastAsiaTheme="minorEastAsia"/>
          <w:color w:val="5F5F5F"/>
          <w:sz w:val="20"/>
          <w:szCs w:val="20"/>
          <w:lang w:eastAsia="en-AU"/>
        </w:rPr>
        <w:t>risks arising from GHG operations will continue to be regulated under other parts of the OPGGS Act and regulations, particularly through the requirements to prepare and have</w:t>
      </w:r>
      <w:r w:rsidR="00C0748D" w:rsidRPr="00567650">
        <w:rPr>
          <w:rFonts w:eastAsiaTheme="minorEastAsia"/>
          <w:color w:val="5F5F5F"/>
          <w:sz w:val="20"/>
          <w:szCs w:val="20"/>
          <w:lang w:eastAsia="en-AU"/>
        </w:rPr>
        <w:t xml:space="preserve"> the following</w:t>
      </w:r>
      <w:r w:rsidR="001A5150" w:rsidRPr="00567650">
        <w:rPr>
          <w:rFonts w:eastAsiaTheme="minorEastAsia"/>
          <w:color w:val="5F5F5F"/>
          <w:sz w:val="20"/>
          <w:szCs w:val="20"/>
          <w:lang w:eastAsia="en-AU"/>
        </w:rPr>
        <w:t xml:space="preserve"> accepted by NOPSEMA:</w:t>
      </w:r>
    </w:p>
    <w:p w14:paraId="59AF5734" w14:textId="7F12A1A5" w:rsidR="001A5150" w:rsidRPr="00567650" w:rsidRDefault="00783180" w:rsidP="001E42C3">
      <w:pPr>
        <w:pStyle w:val="Style2"/>
        <w:numPr>
          <w:ilvl w:val="0"/>
          <w:numId w:val="7"/>
        </w:numPr>
        <w:rPr>
          <w:lang w:val="en-AU"/>
        </w:rPr>
      </w:pPr>
      <w:r w:rsidRPr="00567650">
        <w:rPr>
          <w:lang w:val="en-AU"/>
        </w:rPr>
        <w:lastRenderedPageBreak/>
        <w:t xml:space="preserve">Environment Plans </w:t>
      </w:r>
      <w:r w:rsidR="001A5150" w:rsidRPr="00567650">
        <w:rPr>
          <w:lang w:val="en-AU"/>
        </w:rPr>
        <w:t xml:space="preserve">for environmental management of offshore GHG </w:t>
      </w:r>
      <w:proofErr w:type="gramStart"/>
      <w:r w:rsidR="001A5150" w:rsidRPr="00567650">
        <w:rPr>
          <w:lang w:val="en-AU"/>
        </w:rPr>
        <w:t>activities</w:t>
      </w:r>
      <w:r w:rsidR="00C0748D" w:rsidRPr="00567650">
        <w:rPr>
          <w:lang w:val="en-AU"/>
        </w:rPr>
        <w:t>;</w:t>
      </w:r>
      <w:proofErr w:type="gramEnd"/>
    </w:p>
    <w:p w14:paraId="36B145BA" w14:textId="1864CA6F" w:rsidR="001A5150" w:rsidRPr="00567650" w:rsidRDefault="00783180" w:rsidP="001E42C3">
      <w:pPr>
        <w:pStyle w:val="Style2"/>
        <w:numPr>
          <w:ilvl w:val="0"/>
          <w:numId w:val="7"/>
        </w:numPr>
        <w:rPr>
          <w:lang w:val="en-AU"/>
        </w:rPr>
      </w:pPr>
      <w:r w:rsidRPr="00567650">
        <w:rPr>
          <w:lang w:val="en-AU"/>
        </w:rPr>
        <w:t xml:space="preserve">Well Operations Management </w:t>
      </w:r>
      <w:r w:rsidR="00A61799" w:rsidRPr="00567650">
        <w:rPr>
          <w:lang w:val="en-AU"/>
        </w:rPr>
        <w:t xml:space="preserve">Plans </w:t>
      </w:r>
      <w:r w:rsidR="001A5150" w:rsidRPr="00567650">
        <w:rPr>
          <w:lang w:val="en-AU"/>
        </w:rPr>
        <w:t>for well activities, and</w:t>
      </w:r>
    </w:p>
    <w:p w14:paraId="479A44E6" w14:textId="2695AFE4" w:rsidR="001A5150" w:rsidRPr="00567650" w:rsidRDefault="002F40C4" w:rsidP="001E42C3">
      <w:pPr>
        <w:pStyle w:val="Style2"/>
        <w:numPr>
          <w:ilvl w:val="0"/>
          <w:numId w:val="7"/>
        </w:numPr>
        <w:rPr>
          <w:lang w:val="en-AU"/>
        </w:rPr>
      </w:pPr>
      <w:r w:rsidRPr="00567650">
        <w:rPr>
          <w:lang w:val="en-AU"/>
        </w:rPr>
        <w:t xml:space="preserve">Safety Cases </w:t>
      </w:r>
      <w:r w:rsidR="001A5150" w:rsidRPr="00567650">
        <w:rPr>
          <w:lang w:val="en-AU"/>
        </w:rPr>
        <w:t>to address occupation</w:t>
      </w:r>
      <w:r w:rsidR="00AE46A0" w:rsidRPr="00567650">
        <w:rPr>
          <w:lang w:val="en-AU"/>
        </w:rPr>
        <w:t>al</w:t>
      </w:r>
      <w:r w:rsidR="001A5150" w:rsidRPr="00567650">
        <w:rPr>
          <w:lang w:val="en-AU"/>
        </w:rPr>
        <w:t xml:space="preserve"> health and safety at offshore facilities.</w:t>
      </w:r>
    </w:p>
    <w:p w14:paraId="2BA02788" w14:textId="3F949E68" w:rsidR="00573197" w:rsidRPr="00567650" w:rsidRDefault="00573197" w:rsidP="00573197">
      <w:pPr>
        <w:pStyle w:val="Style2"/>
        <w:rPr>
          <w:lang w:val="en-AU"/>
        </w:rPr>
      </w:pPr>
      <w:r w:rsidRPr="00567650">
        <w:rPr>
          <w:lang w:val="en-AU"/>
        </w:rPr>
        <w:t>For this reason, early engagement with both NOPTA and NOPSEMA on the</w:t>
      </w:r>
      <w:r w:rsidR="002C6D9E" w:rsidRPr="00567650">
        <w:rPr>
          <w:lang w:val="en-AU"/>
        </w:rPr>
        <w:t xml:space="preserve"> draft</w:t>
      </w:r>
      <w:r w:rsidRPr="00567650">
        <w:rPr>
          <w:lang w:val="en-AU"/>
        </w:rPr>
        <w:t xml:space="preserve"> site plan is encouraged to </w:t>
      </w:r>
      <w:r w:rsidR="00C3578F" w:rsidRPr="00567650">
        <w:rPr>
          <w:lang w:val="en-AU"/>
        </w:rPr>
        <w:t>facilitate</w:t>
      </w:r>
      <w:r w:rsidRPr="00567650">
        <w:rPr>
          <w:lang w:val="en-AU"/>
        </w:rPr>
        <w:t xml:space="preserve"> other OPGGS</w:t>
      </w:r>
      <w:r w:rsidR="009624A7" w:rsidRPr="00567650">
        <w:rPr>
          <w:lang w:val="en-AU"/>
        </w:rPr>
        <w:t xml:space="preserve"> </w:t>
      </w:r>
      <w:r w:rsidR="003551B5" w:rsidRPr="00567650">
        <w:rPr>
          <w:lang w:val="en-AU"/>
        </w:rPr>
        <w:t>Act</w:t>
      </w:r>
      <w:r w:rsidRPr="00567650">
        <w:rPr>
          <w:lang w:val="en-AU"/>
        </w:rPr>
        <w:t xml:space="preserve"> regulatory approvals.</w:t>
      </w:r>
    </w:p>
    <w:p w14:paraId="517DE338" w14:textId="77777777" w:rsidR="0093321F" w:rsidRPr="00567650" w:rsidRDefault="009C1B95" w:rsidP="00DB0F0B">
      <w:pPr>
        <w:pStyle w:val="Heading2"/>
      </w:pPr>
      <w:r w:rsidRPr="00567650">
        <w:t>Risk assessment</w:t>
      </w:r>
      <w:r w:rsidR="002131D1" w:rsidRPr="00567650">
        <w:t xml:space="preserve"> techniques</w:t>
      </w:r>
    </w:p>
    <w:p w14:paraId="43DE09B8" w14:textId="3A1FA44C" w:rsidR="0063742C" w:rsidRPr="00567650" w:rsidRDefault="0001780D" w:rsidP="00EC5EF8">
      <w:pPr>
        <w:spacing w:before="120" w:after="120"/>
        <w:rPr>
          <w:rFonts w:cstheme="minorHAnsi"/>
          <w:color w:val="5F5F5F"/>
          <w:sz w:val="20"/>
          <w:lang w:eastAsia="en-AU"/>
        </w:rPr>
      </w:pPr>
      <w:r w:rsidRPr="00567650">
        <w:rPr>
          <w:rFonts w:cstheme="minorHAnsi"/>
          <w:color w:val="5F5F5F"/>
          <w:sz w:val="20"/>
          <w:lang w:eastAsia="en-AU"/>
        </w:rPr>
        <w:t>T</w:t>
      </w:r>
      <w:r w:rsidR="00975F78" w:rsidRPr="00567650">
        <w:rPr>
          <w:rFonts w:cstheme="minorHAnsi"/>
          <w:color w:val="5F5F5F"/>
          <w:sz w:val="20"/>
          <w:lang w:eastAsia="en-AU"/>
        </w:rPr>
        <w:t xml:space="preserve">he NOPSEMA </w:t>
      </w:r>
      <w:r w:rsidR="0072613F" w:rsidRPr="00567650">
        <w:rPr>
          <w:rFonts w:cstheme="minorHAnsi"/>
          <w:color w:val="5F5F5F"/>
          <w:sz w:val="20"/>
          <w:lang w:eastAsia="en-AU"/>
        </w:rPr>
        <w:t xml:space="preserve">guidance note on </w:t>
      </w:r>
      <w:r w:rsidR="008206E1" w:rsidRPr="00567650">
        <w:rPr>
          <w:rFonts w:cstheme="minorHAnsi"/>
          <w:color w:val="5F5F5F"/>
          <w:sz w:val="20"/>
          <w:lang w:eastAsia="en-AU"/>
        </w:rPr>
        <w:t>r</w:t>
      </w:r>
      <w:r w:rsidR="00DE16F7" w:rsidRPr="00567650">
        <w:rPr>
          <w:rFonts w:cstheme="minorHAnsi"/>
          <w:color w:val="5F5F5F"/>
          <w:sz w:val="20"/>
          <w:lang w:eastAsia="en-AU"/>
        </w:rPr>
        <w:t xml:space="preserve">isk assessment </w:t>
      </w:r>
      <w:r w:rsidR="000F58E2" w:rsidRPr="00567650">
        <w:rPr>
          <w:rFonts w:cstheme="minorHAnsi"/>
          <w:color w:val="5F5F5F"/>
          <w:sz w:val="20"/>
          <w:lang w:eastAsia="en-AU"/>
        </w:rPr>
        <w:t xml:space="preserve">includes descriptions </w:t>
      </w:r>
      <w:r w:rsidR="00AD31F2" w:rsidRPr="00567650">
        <w:rPr>
          <w:rFonts w:cstheme="minorHAnsi"/>
          <w:color w:val="5F5F5F"/>
          <w:sz w:val="20"/>
          <w:lang w:eastAsia="en-AU"/>
        </w:rPr>
        <w:t>of various risk assessment techniques</w:t>
      </w:r>
      <w:r w:rsidR="00E80C91" w:rsidRPr="00567650">
        <w:rPr>
          <w:rFonts w:cstheme="minorHAnsi"/>
          <w:color w:val="5F5F5F"/>
          <w:sz w:val="20"/>
          <w:lang w:eastAsia="en-AU"/>
        </w:rPr>
        <w:t xml:space="preserve"> </w:t>
      </w:r>
      <w:r w:rsidR="00AA7EBE" w:rsidRPr="00567650">
        <w:rPr>
          <w:rFonts w:cstheme="minorHAnsi"/>
          <w:color w:val="5F5F5F"/>
          <w:sz w:val="20"/>
          <w:lang w:eastAsia="en-AU"/>
        </w:rPr>
        <w:t xml:space="preserve">and the main </w:t>
      </w:r>
      <w:r w:rsidR="003249D0" w:rsidRPr="00567650">
        <w:rPr>
          <w:rFonts w:cstheme="minorHAnsi"/>
          <w:color w:val="5F5F5F"/>
          <w:sz w:val="20"/>
          <w:lang w:eastAsia="en-AU"/>
        </w:rPr>
        <w:t>considerations that should be taken in</w:t>
      </w:r>
      <w:r w:rsidR="0042674E" w:rsidRPr="00567650">
        <w:rPr>
          <w:rFonts w:cstheme="minorHAnsi"/>
          <w:color w:val="5F5F5F"/>
          <w:sz w:val="20"/>
          <w:lang w:eastAsia="en-AU"/>
        </w:rPr>
        <w:t>to account</w:t>
      </w:r>
      <w:r w:rsidR="00C0576F" w:rsidRPr="00567650">
        <w:rPr>
          <w:rFonts w:cstheme="minorHAnsi"/>
          <w:color w:val="5F5F5F"/>
          <w:sz w:val="20"/>
          <w:lang w:eastAsia="en-AU"/>
        </w:rPr>
        <w:t xml:space="preserve"> when selecting the appropriate tech</w:t>
      </w:r>
      <w:r w:rsidR="00C84DB8" w:rsidRPr="00567650">
        <w:rPr>
          <w:rFonts w:cstheme="minorHAnsi"/>
          <w:color w:val="5F5F5F"/>
          <w:sz w:val="20"/>
          <w:lang w:eastAsia="en-AU"/>
        </w:rPr>
        <w:t>ni</w:t>
      </w:r>
      <w:r w:rsidR="00EB01C5" w:rsidRPr="00567650">
        <w:rPr>
          <w:rFonts w:cstheme="minorHAnsi"/>
          <w:color w:val="5F5F5F"/>
          <w:sz w:val="20"/>
          <w:lang w:eastAsia="en-AU"/>
        </w:rPr>
        <w:t>que.</w:t>
      </w:r>
    </w:p>
    <w:p w14:paraId="1B8F7471" w14:textId="20E56C8A" w:rsidR="00075BB6" w:rsidRPr="00567650" w:rsidRDefault="00611DD7" w:rsidP="00EC5EF8">
      <w:pPr>
        <w:spacing w:before="120" w:after="120"/>
        <w:rPr>
          <w:rFonts w:cstheme="minorHAnsi"/>
          <w:color w:val="5F5F5F"/>
          <w:sz w:val="20"/>
          <w:lang w:eastAsia="en-AU"/>
        </w:rPr>
      </w:pPr>
      <w:r w:rsidRPr="00567650">
        <w:rPr>
          <w:rFonts w:cstheme="minorHAnsi"/>
          <w:color w:val="5F5F5F"/>
          <w:sz w:val="20"/>
          <w:lang w:eastAsia="en-AU"/>
        </w:rPr>
        <w:t xml:space="preserve">The risk assessment technique(s) selected </w:t>
      </w:r>
      <w:r w:rsidR="002F5DD5" w:rsidRPr="00567650">
        <w:rPr>
          <w:rFonts w:cstheme="minorHAnsi"/>
          <w:color w:val="5F5F5F"/>
          <w:sz w:val="20"/>
          <w:lang w:eastAsia="en-AU"/>
        </w:rPr>
        <w:t>should</w:t>
      </w:r>
      <w:r w:rsidR="00447E3F" w:rsidRPr="00567650">
        <w:rPr>
          <w:rFonts w:cstheme="minorHAnsi"/>
          <w:color w:val="5F5F5F"/>
          <w:sz w:val="20"/>
          <w:lang w:eastAsia="en-AU"/>
        </w:rPr>
        <w:t>:</w:t>
      </w:r>
    </w:p>
    <w:p w14:paraId="7646C302" w14:textId="1C81ABB3" w:rsidR="0069569B" w:rsidRPr="00567650" w:rsidRDefault="00D2333C" w:rsidP="00075BB6">
      <w:pPr>
        <w:pStyle w:val="Style2"/>
        <w:numPr>
          <w:ilvl w:val="0"/>
          <w:numId w:val="7"/>
        </w:numPr>
        <w:rPr>
          <w:lang w:val="en-AU"/>
        </w:rPr>
      </w:pPr>
      <w:r w:rsidRPr="00567650">
        <w:rPr>
          <w:lang w:val="en-AU"/>
        </w:rPr>
        <w:t>b</w:t>
      </w:r>
      <w:r w:rsidR="00FA6DEC" w:rsidRPr="00567650">
        <w:rPr>
          <w:lang w:val="en-AU"/>
        </w:rPr>
        <w:t xml:space="preserve">e </w:t>
      </w:r>
      <w:r w:rsidR="002F5DD5" w:rsidRPr="00567650">
        <w:rPr>
          <w:lang w:val="en-AU"/>
        </w:rPr>
        <w:t xml:space="preserve">suitable </w:t>
      </w:r>
      <w:r w:rsidR="00483DA4" w:rsidRPr="00567650">
        <w:rPr>
          <w:lang w:val="en-AU"/>
        </w:rPr>
        <w:t>for the type and complexity</w:t>
      </w:r>
      <w:r w:rsidR="008E5954" w:rsidRPr="00567650">
        <w:rPr>
          <w:lang w:val="en-AU"/>
        </w:rPr>
        <w:t xml:space="preserve"> of the facility</w:t>
      </w:r>
      <w:r w:rsidR="00802F74" w:rsidRPr="00567650">
        <w:rPr>
          <w:lang w:val="en-AU"/>
        </w:rPr>
        <w:t xml:space="preserve"> and nature of the hazards</w:t>
      </w:r>
      <w:r w:rsidR="00455771" w:rsidRPr="00567650">
        <w:rPr>
          <w:lang w:val="en-AU"/>
        </w:rPr>
        <w:t xml:space="preserve"> </w:t>
      </w:r>
      <w:proofErr w:type="gramStart"/>
      <w:r w:rsidR="00455771" w:rsidRPr="00567650">
        <w:rPr>
          <w:lang w:val="en-AU"/>
        </w:rPr>
        <w:t>present</w:t>
      </w:r>
      <w:r w:rsidR="003E26D6" w:rsidRPr="00567650">
        <w:rPr>
          <w:lang w:val="en-AU"/>
        </w:rPr>
        <w:t>;</w:t>
      </w:r>
      <w:proofErr w:type="gramEnd"/>
    </w:p>
    <w:p w14:paraId="0BF4E269" w14:textId="4B7615C4" w:rsidR="00075BB6" w:rsidRPr="00567650" w:rsidRDefault="0020109E" w:rsidP="00075BB6">
      <w:pPr>
        <w:pStyle w:val="Style2"/>
        <w:numPr>
          <w:ilvl w:val="0"/>
          <w:numId w:val="7"/>
        </w:numPr>
        <w:rPr>
          <w:lang w:val="en-AU"/>
        </w:rPr>
      </w:pPr>
      <w:r w:rsidRPr="00567650">
        <w:rPr>
          <w:lang w:val="en-AU"/>
        </w:rPr>
        <w:t>assist in understanding and selecting control measures</w:t>
      </w:r>
      <w:r w:rsidR="005D7A43" w:rsidRPr="00567650">
        <w:rPr>
          <w:lang w:val="en-AU"/>
        </w:rPr>
        <w:t>;</w:t>
      </w:r>
      <w:r w:rsidR="00D10F43" w:rsidRPr="00567650">
        <w:rPr>
          <w:lang w:val="en-AU"/>
        </w:rPr>
        <w:t xml:space="preserve"> and</w:t>
      </w:r>
    </w:p>
    <w:p w14:paraId="67FDC657" w14:textId="0C2DE86F" w:rsidR="00331173" w:rsidRPr="00567650" w:rsidRDefault="00D10F43" w:rsidP="00075BB6">
      <w:pPr>
        <w:pStyle w:val="Style2"/>
        <w:numPr>
          <w:ilvl w:val="0"/>
          <w:numId w:val="7"/>
        </w:numPr>
        <w:rPr>
          <w:lang w:val="en-AU"/>
        </w:rPr>
      </w:pPr>
      <w:r w:rsidRPr="00567650">
        <w:rPr>
          <w:lang w:val="en-AU"/>
        </w:rPr>
        <w:t>be capable of assessing</w:t>
      </w:r>
      <w:r w:rsidR="00BD3743" w:rsidRPr="00567650">
        <w:rPr>
          <w:lang w:val="en-AU"/>
        </w:rPr>
        <w:t xml:space="preserve"> the potential</w:t>
      </w:r>
      <w:r w:rsidR="00331173" w:rsidRPr="00567650">
        <w:rPr>
          <w:lang w:val="en-AU"/>
        </w:rPr>
        <w:t xml:space="preserve"> effect of risk reduction measures.</w:t>
      </w:r>
    </w:p>
    <w:p w14:paraId="4B2F11C8" w14:textId="53914C65" w:rsidR="00611DD7" w:rsidRPr="00567650" w:rsidRDefault="00E61D0A" w:rsidP="00EC5EF8">
      <w:pPr>
        <w:spacing w:before="120" w:after="120"/>
        <w:rPr>
          <w:rFonts w:cstheme="minorHAnsi"/>
          <w:color w:val="5F5F5F"/>
          <w:sz w:val="20"/>
          <w:lang w:eastAsia="en-AU"/>
        </w:rPr>
      </w:pPr>
      <w:r w:rsidRPr="00567650">
        <w:rPr>
          <w:rFonts w:cstheme="minorHAnsi"/>
          <w:color w:val="5F5F5F"/>
          <w:sz w:val="20"/>
          <w:lang w:eastAsia="en-AU"/>
        </w:rPr>
        <w:t>No single tech</w:t>
      </w:r>
      <w:r w:rsidR="00A00F6D" w:rsidRPr="00567650">
        <w:rPr>
          <w:rFonts w:cstheme="minorHAnsi"/>
          <w:color w:val="5F5F5F"/>
          <w:sz w:val="20"/>
          <w:lang w:eastAsia="en-AU"/>
        </w:rPr>
        <w:t>niqu</w:t>
      </w:r>
      <w:r w:rsidR="00337103" w:rsidRPr="00567650">
        <w:rPr>
          <w:rFonts w:cstheme="minorHAnsi"/>
          <w:color w:val="5F5F5F"/>
          <w:sz w:val="20"/>
          <w:lang w:eastAsia="en-AU"/>
        </w:rPr>
        <w:t xml:space="preserve">e </w:t>
      </w:r>
      <w:proofErr w:type="gramStart"/>
      <w:r w:rsidR="00E77EE2" w:rsidRPr="00567650">
        <w:rPr>
          <w:rFonts w:cstheme="minorHAnsi"/>
          <w:color w:val="5F5F5F"/>
          <w:sz w:val="20"/>
          <w:lang w:eastAsia="en-AU"/>
        </w:rPr>
        <w:t>is able to</w:t>
      </w:r>
      <w:proofErr w:type="gramEnd"/>
      <w:r w:rsidR="00E77EE2" w:rsidRPr="00567650">
        <w:rPr>
          <w:rFonts w:cstheme="minorHAnsi"/>
          <w:color w:val="5F5F5F"/>
          <w:sz w:val="20"/>
          <w:lang w:eastAsia="en-AU"/>
        </w:rPr>
        <w:t xml:space="preserve"> meet all of the </w:t>
      </w:r>
      <w:r w:rsidR="00496409" w:rsidRPr="00567650">
        <w:rPr>
          <w:rFonts w:cstheme="minorHAnsi"/>
          <w:color w:val="5F5F5F"/>
          <w:sz w:val="20"/>
          <w:lang w:eastAsia="en-AU"/>
        </w:rPr>
        <w:t>requirement</w:t>
      </w:r>
      <w:r w:rsidR="00852CF7" w:rsidRPr="00567650">
        <w:rPr>
          <w:rFonts w:cstheme="minorHAnsi"/>
          <w:color w:val="5F5F5F"/>
          <w:sz w:val="20"/>
          <w:lang w:eastAsia="en-AU"/>
        </w:rPr>
        <w:t>s</w:t>
      </w:r>
      <w:r w:rsidR="00496409" w:rsidRPr="00567650">
        <w:rPr>
          <w:rFonts w:cstheme="minorHAnsi"/>
          <w:color w:val="5F5F5F"/>
          <w:sz w:val="20"/>
          <w:lang w:eastAsia="en-AU"/>
        </w:rPr>
        <w:t xml:space="preserve"> of risk assessm</w:t>
      </w:r>
      <w:r w:rsidR="001A3357" w:rsidRPr="00567650">
        <w:rPr>
          <w:rFonts w:cstheme="minorHAnsi"/>
          <w:color w:val="5F5F5F"/>
          <w:sz w:val="20"/>
          <w:lang w:eastAsia="en-AU"/>
        </w:rPr>
        <w:t>ent</w:t>
      </w:r>
      <w:r w:rsidR="00491D2E" w:rsidRPr="00567650">
        <w:rPr>
          <w:rFonts w:cstheme="minorHAnsi"/>
          <w:color w:val="5F5F5F"/>
          <w:sz w:val="20"/>
          <w:lang w:eastAsia="en-AU"/>
        </w:rPr>
        <w:t xml:space="preserve"> as all techniques have</w:t>
      </w:r>
      <w:r w:rsidR="00592BAA" w:rsidRPr="00567650">
        <w:rPr>
          <w:rFonts w:cstheme="minorHAnsi"/>
          <w:color w:val="5F5F5F"/>
          <w:sz w:val="20"/>
          <w:lang w:eastAsia="en-AU"/>
        </w:rPr>
        <w:t xml:space="preserve"> their limitations</w:t>
      </w:r>
      <w:r w:rsidR="00926DF4" w:rsidRPr="00567650">
        <w:rPr>
          <w:rFonts w:cstheme="minorHAnsi"/>
          <w:color w:val="5F5F5F"/>
          <w:sz w:val="20"/>
          <w:lang w:eastAsia="en-AU"/>
        </w:rPr>
        <w:t xml:space="preserve"> and </w:t>
      </w:r>
      <w:r w:rsidR="00A85C0B" w:rsidRPr="00567650">
        <w:rPr>
          <w:rFonts w:cstheme="minorHAnsi"/>
          <w:color w:val="5F5F5F"/>
          <w:sz w:val="20"/>
          <w:lang w:eastAsia="en-AU"/>
        </w:rPr>
        <w:t>weaknesses.</w:t>
      </w:r>
      <w:r w:rsidR="00D66EE0" w:rsidRPr="00567650">
        <w:rPr>
          <w:rFonts w:cstheme="minorHAnsi"/>
          <w:color w:val="5F5F5F"/>
          <w:sz w:val="20"/>
          <w:lang w:eastAsia="en-AU"/>
        </w:rPr>
        <w:t xml:space="preserve"> </w:t>
      </w:r>
      <w:r w:rsidR="004A4E90" w:rsidRPr="00567650">
        <w:rPr>
          <w:rFonts w:cstheme="minorHAnsi"/>
          <w:color w:val="5F5F5F"/>
          <w:sz w:val="20"/>
          <w:lang w:eastAsia="en-AU"/>
        </w:rPr>
        <w:t>A t</w:t>
      </w:r>
      <w:r w:rsidR="0020019B" w:rsidRPr="00567650">
        <w:rPr>
          <w:rFonts w:cstheme="minorHAnsi"/>
          <w:color w:val="5F5F5F"/>
          <w:sz w:val="20"/>
          <w:lang w:eastAsia="en-AU"/>
        </w:rPr>
        <w:t xml:space="preserve">iered approach </w:t>
      </w:r>
      <w:r w:rsidR="00A439A0" w:rsidRPr="00567650">
        <w:rPr>
          <w:rFonts w:cstheme="minorHAnsi"/>
          <w:color w:val="5F5F5F"/>
          <w:sz w:val="20"/>
          <w:lang w:eastAsia="en-AU"/>
        </w:rPr>
        <w:t>to risk assessment</w:t>
      </w:r>
      <w:r w:rsidR="00927BA4" w:rsidRPr="00567650">
        <w:rPr>
          <w:rFonts w:cstheme="minorHAnsi"/>
          <w:color w:val="5F5F5F"/>
          <w:sz w:val="20"/>
          <w:lang w:eastAsia="en-AU"/>
        </w:rPr>
        <w:t xml:space="preserve"> </w:t>
      </w:r>
      <w:r w:rsidR="00B93387" w:rsidRPr="00567650">
        <w:rPr>
          <w:rFonts w:cstheme="minorHAnsi"/>
          <w:color w:val="5F5F5F"/>
          <w:sz w:val="20"/>
          <w:lang w:eastAsia="en-AU"/>
        </w:rPr>
        <w:t>is recommended</w:t>
      </w:r>
      <w:r w:rsidR="00A439A0" w:rsidRPr="00567650">
        <w:rPr>
          <w:rFonts w:cstheme="minorHAnsi"/>
          <w:color w:val="5F5F5F"/>
          <w:sz w:val="20"/>
          <w:lang w:eastAsia="en-AU"/>
        </w:rPr>
        <w:t xml:space="preserve"> </w:t>
      </w:r>
      <w:r w:rsidR="00DC3902" w:rsidRPr="00567650">
        <w:rPr>
          <w:rFonts w:cstheme="minorHAnsi"/>
          <w:color w:val="5F5F5F"/>
          <w:sz w:val="20"/>
          <w:lang w:eastAsia="en-AU"/>
        </w:rPr>
        <w:t>where simp</w:t>
      </w:r>
      <w:r w:rsidR="0037219C" w:rsidRPr="00567650">
        <w:rPr>
          <w:rFonts w:cstheme="minorHAnsi"/>
          <w:color w:val="5F5F5F"/>
          <w:sz w:val="20"/>
          <w:lang w:eastAsia="en-AU"/>
        </w:rPr>
        <w:t xml:space="preserve">le </w:t>
      </w:r>
      <w:r w:rsidR="00471ACD" w:rsidRPr="00567650">
        <w:rPr>
          <w:rFonts w:cstheme="minorHAnsi"/>
          <w:color w:val="5F5F5F"/>
          <w:sz w:val="20"/>
          <w:lang w:eastAsia="en-AU"/>
        </w:rPr>
        <w:t xml:space="preserve">techniques </w:t>
      </w:r>
      <w:r w:rsidR="00832E66" w:rsidRPr="00567650">
        <w:rPr>
          <w:rFonts w:cstheme="minorHAnsi"/>
          <w:color w:val="5F5F5F"/>
          <w:sz w:val="20"/>
          <w:lang w:eastAsia="en-AU"/>
        </w:rPr>
        <w:t>are used init</w:t>
      </w:r>
      <w:r w:rsidR="00433336" w:rsidRPr="00567650">
        <w:rPr>
          <w:rFonts w:cstheme="minorHAnsi"/>
          <w:color w:val="5F5F5F"/>
          <w:sz w:val="20"/>
          <w:lang w:eastAsia="en-AU"/>
        </w:rPr>
        <w:t xml:space="preserve">ially </w:t>
      </w:r>
      <w:r w:rsidR="00F25681" w:rsidRPr="00567650">
        <w:rPr>
          <w:rFonts w:cstheme="minorHAnsi"/>
          <w:color w:val="5F5F5F"/>
          <w:sz w:val="20"/>
          <w:lang w:eastAsia="en-AU"/>
        </w:rPr>
        <w:t>as part of a screening process</w:t>
      </w:r>
      <w:r w:rsidR="00062390" w:rsidRPr="00567650">
        <w:rPr>
          <w:rFonts w:cstheme="minorHAnsi"/>
          <w:color w:val="5F5F5F"/>
          <w:sz w:val="20"/>
          <w:lang w:eastAsia="en-AU"/>
        </w:rPr>
        <w:t xml:space="preserve"> before</w:t>
      </w:r>
      <w:r w:rsidR="00F71859" w:rsidRPr="00567650">
        <w:rPr>
          <w:rFonts w:cstheme="minorHAnsi"/>
          <w:color w:val="5F5F5F"/>
          <w:sz w:val="20"/>
          <w:lang w:eastAsia="en-AU"/>
        </w:rPr>
        <w:t xml:space="preserve"> the areas of high risk or uncertainty </w:t>
      </w:r>
      <w:r w:rsidR="00800729" w:rsidRPr="00567650">
        <w:rPr>
          <w:rFonts w:cstheme="minorHAnsi"/>
          <w:color w:val="5F5F5F"/>
          <w:sz w:val="20"/>
          <w:lang w:eastAsia="en-AU"/>
        </w:rPr>
        <w:t>are addressed by more detailed ris</w:t>
      </w:r>
      <w:r w:rsidR="00EF4319" w:rsidRPr="00567650">
        <w:rPr>
          <w:rFonts w:cstheme="minorHAnsi"/>
          <w:color w:val="5F5F5F"/>
          <w:sz w:val="20"/>
          <w:lang w:eastAsia="en-AU"/>
        </w:rPr>
        <w:t>k assessment.</w:t>
      </w:r>
    </w:p>
    <w:p w14:paraId="460B78AE" w14:textId="2EDF124E" w:rsidR="005D0C54" w:rsidRPr="00567650" w:rsidRDefault="005D0C54" w:rsidP="00EC5EF8">
      <w:pPr>
        <w:spacing w:before="120" w:after="120"/>
        <w:rPr>
          <w:rFonts w:cstheme="minorHAnsi"/>
          <w:color w:val="5F5F5F"/>
          <w:sz w:val="20"/>
          <w:lang w:eastAsia="en-AU"/>
        </w:rPr>
      </w:pPr>
      <w:r w:rsidRPr="00567650">
        <w:rPr>
          <w:rFonts w:cstheme="minorHAnsi"/>
          <w:color w:val="5F5F5F"/>
          <w:sz w:val="20"/>
          <w:lang w:eastAsia="en-AU"/>
        </w:rPr>
        <w:t xml:space="preserve">The risk assessment should include details </w:t>
      </w:r>
      <w:r w:rsidR="00001AA5" w:rsidRPr="00567650">
        <w:rPr>
          <w:rFonts w:cstheme="minorHAnsi"/>
          <w:color w:val="5F5F5F"/>
          <w:sz w:val="20"/>
          <w:lang w:eastAsia="en-AU"/>
        </w:rPr>
        <w:t>of</w:t>
      </w:r>
      <w:r w:rsidRPr="00567650">
        <w:rPr>
          <w:rFonts w:cstheme="minorHAnsi"/>
          <w:color w:val="5F5F5F"/>
          <w:sz w:val="20"/>
          <w:lang w:eastAsia="en-AU"/>
        </w:rPr>
        <w:t xml:space="preserve"> the data available, the assumptions made</w:t>
      </w:r>
      <w:r w:rsidR="00001AA5" w:rsidRPr="00567650">
        <w:rPr>
          <w:rFonts w:cstheme="minorHAnsi"/>
          <w:color w:val="5F5F5F"/>
          <w:sz w:val="20"/>
          <w:lang w:eastAsia="en-AU"/>
        </w:rPr>
        <w:t xml:space="preserve"> </w:t>
      </w:r>
      <w:r w:rsidR="00B86421" w:rsidRPr="00567650">
        <w:rPr>
          <w:rFonts w:cstheme="minorHAnsi"/>
          <w:color w:val="5F5F5F"/>
          <w:sz w:val="20"/>
          <w:lang w:eastAsia="en-AU"/>
        </w:rPr>
        <w:t xml:space="preserve">and </w:t>
      </w:r>
      <w:r w:rsidRPr="00567650">
        <w:rPr>
          <w:rFonts w:cstheme="minorHAnsi"/>
          <w:color w:val="5F5F5F"/>
          <w:sz w:val="20"/>
          <w:lang w:eastAsia="en-AU"/>
        </w:rPr>
        <w:t>areas of uncertainty to undertake the risk assessment</w:t>
      </w:r>
      <w:r w:rsidR="005571A1" w:rsidRPr="00567650">
        <w:rPr>
          <w:rFonts w:cstheme="minorHAnsi"/>
          <w:color w:val="5F5F5F"/>
          <w:sz w:val="20"/>
          <w:lang w:eastAsia="en-AU"/>
        </w:rPr>
        <w:t xml:space="preserve">. </w:t>
      </w:r>
      <w:r w:rsidR="007E63B3" w:rsidRPr="00567650">
        <w:rPr>
          <w:rFonts w:cstheme="minorHAnsi"/>
          <w:color w:val="5F5F5F"/>
          <w:sz w:val="20"/>
          <w:lang w:eastAsia="en-AU"/>
        </w:rPr>
        <w:t xml:space="preserve">Consideration should also be given </w:t>
      </w:r>
      <w:r w:rsidR="00C600AA" w:rsidRPr="00567650">
        <w:rPr>
          <w:rFonts w:cstheme="minorHAnsi"/>
          <w:color w:val="5F5F5F"/>
          <w:sz w:val="20"/>
          <w:lang w:eastAsia="en-AU"/>
        </w:rPr>
        <w:t xml:space="preserve">to </w:t>
      </w:r>
      <w:r w:rsidRPr="00567650">
        <w:rPr>
          <w:rFonts w:cstheme="minorHAnsi"/>
          <w:color w:val="5F5F5F"/>
          <w:sz w:val="20"/>
          <w:lang w:eastAsia="en-AU"/>
        </w:rPr>
        <w:t xml:space="preserve">how </w:t>
      </w:r>
      <w:r w:rsidR="00C600AA" w:rsidRPr="00567650">
        <w:rPr>
          <w:rFonts w:cstheme="minorHAnsi"/>
          <w:color w:val="5F5F5F"/>
          <w:sz w:val="20"/>
          <w:lang w:eastAsia="en-AU"/>
        </w:rPr>
        <w:t xml:space="preserve">the risk assessment </w:t>
      </w:r>
      <w:r w:rsidRPr="00567650">
        <w:rPr>
          <w:rFonts w:cstheme="minorHAnsi"/>
          <w:color w:val="5F5F5F"/>
          <w:sz w:val="20"/>
          <w:lang w:eastAsia="en-AU"/>
        </w:rPr>
        <w:t xml:space="preserve">could change based on </w:t>
      </w:r>
      <w:r w:rsidR="00796CCC" w:rsidRPr="00567650">
        <w:rPr>
          <w:rFonts w:cstheme="minorHAnsi"/>
          <w:color w:val="5F5F5F"/>
          <w:sz w:val="20"/>
          <w:lang w:eastAsia="en-AU"/>
        </w:rPr>
        <w:t xml:space="preserve">any </w:t>
      </w:r>
      <w:r w:rsidRPr="00567650">
        <w:rPr>
          <w:rFonts w:cstheme="minorHAnsi"/>
          <w:color w:val="5F5F5F"/>
          <w:sz w:val="20"/>
          <w:lang w:eastAsia="en-AU"/>
        </w:rPr>
        <w:t>new data</w:t>
      </w:r>
      <w:r w:rsidR="00796CCC" w:rsidRPr="00567650">
        <w:rPr>
          <w:rFonts w:cstheme="minorHAnsi"/>
          <w:color w:val="5F5F5F"/>
          <w:sz w:val="20"/>
          <w:lang w:eastAsia="en-AU"/>
        </w:rPr>
        <w:t xml:space="preserve"> acquired</w:t>
      </w:r>
      <w:r w:rsidR="00213970" w:rsidRPr="00567650">
        <w:rPr>
          <w:rFonts w:cstheme="minorHAnsi"/>
          <w:color w:val="5F5F5F"/>
          <w:sz w:val="20"/>
          <w:lang w:eastAsia="en-AU"/>
        </w:rPr>
        <w:t>.</w:t>
      </w:r>
    </w:p>
    <w:p w14:paraId="593B3086" w14:textId="3A9A9246" w:rsidR="00296F69" w:rsidRPr="00567650" w:rsidRDefault="005D0C54" w:rsidP="00C27B38">
      <w:pPr>
        <w:spacing w:before="120" w:after="120"/>
      </w:pPr>
      <w:r w:rsidRPr="00567650">
        <w:rPr>
          <w:rFonts w:cstheme="minorHAnsi"/>
          <w:color w:val="5F5F5F"/>
          <w:sz w:val="20"/>
          <w:lang w:eastAsia="en-AU"/>
        </w:rPr>
        <w:t>D</w:t>
      </w:r>
      <w:r w:rsidR="00471ACD" w:rsidRPr="00567650">
        <w:rPr>
          <w:rFonts w:cstheme="minorHAnsi"/>
          <w:color w:val="5F5F5F"/>
          <w:sz w:val="20"/>
          <w:lang w:eastAsia="en-AU"/>
        </w:rPr>
        <w:t>escriptions</w:t>
      </w:r>
      <w:r w:rsidR="009C4D7E" w:rsidRPr="00567650">
        <w:rPr>
          <w:rFonts w:cstheme="minorHAnsi"/>
          <w:color w:val="5F5F5F"/>
          <w:sz w:val="20"/>
          <w:lang w:eastAsia="en-AU"/>
        </w:rPr>
        <w:t xml:space="preserve"> of </w:t>
      </w:r>
      <w:r w:rsidR="000A108E" w:rsidRPr="00567650">
        <w:rPr>
          <w:rFonts w:cstheme="minorHAnsi"/>
          <w:color w:val="5F5F5F"/>
          <w:sz w:val="20"/>
          <w:lang w:eastAsia="en-AU"/>
        </w:rPr>
        <w:t xml:space="preserve">some risk assessment techniques are provided in Appendix A </w:t>
      </w:r>
      <w:r w:rsidR="000C06D2" w:rsidRPr="00567650">
        <w:rPr>
          <w:rFonts w:cstheme="minorHAnsi"/>
          <w:color w:val="5F5F5F"/>
          <w:sz w:val="20"/>
          <w:lang w:eastAsia="en-AU"/>
        </w:rPr>
        <w:t xml:space="preserve">of the </w:t>
      </w:r>
      <w:hyperlink r:id="rId29" w:history="1">
        <w:r w:rsidR="00A63EC5" w:rsidRPr="00567650">
          <w:rPr>
            <w:rStyle w:val="Hyperlink"/>
            <w:sz w:val="20"/>
            <w:szCs w:val="20"/>
          </w:rPr>
          <w:t>NOPSEMA Guidance Note: Risk Assessment</w:t>
        </w:r>
      </w:hyperlink>
      <w:r w:rsidR="001F39D9" w:rsidRPr="00567650">
        <w:rPr>
          <w:rFonts w:cstheme="minorHAnsi"/>
          <w:color w:val="5F5F5F"/>
          <w:sz w:val="20"/>
          <w:lang w:eastAsia="en-AU"/>
        </w:rPr>
        <w:t>.</w:t>
      </w:r>
    </w:p>
    <w:p w14:paraId="50FC1F3D" w14:textId="4087611A" w:rsidR="007D75CB" w:rsidRPr="00567650" w:rsidRDefault="007D75CB" w:rsidP="00DB0F0B">
      <w:pPr>
        <w:pStyle w:val="Heading2"/>
      </w:pPr>
      <w:r w:rsidRPr="00567650">
        <w:t xml:space="preserve">Risks to </w:t>
      </w:r>
      <w:r w:rsidR="00744EBF" w:rsidRPr="00567650">
        <w:t xml:space="preserve">include </w:t>
      </w:r>
      <w:r w:rsidR="00FA4CE9" w:rsidRPr="00567650">
        <w:t>in a site plan application</w:t>
      </w:r>
    </w:p>
    <w:p w14:paraId="3CC955E5" w14:textId="37A0EF6E" w:rsidR="009E7E05" w:rsidRPr="00567650" w:rsidRDefault="00410CD1" w:rsidP="00C27B38">
      <w:pPr>
        <w:spacing w:before="120" w:after="120"/>
        <w:rPr>
          <w:rFonts w:cstheme="minorHAnsi"/>
          <w:color w:val="5F5F5F"/>
          <w:sz w:val="20"/>
          <w:lang w:eastAsia="en-AU"/>
        </w:rPr>
      </w:pPr>
      <w:r w:rsidRPr="00567650">
        <w:rPr>
          <w:rFonts w:cstheme="minorHAnsi"/>
          <w:color w:val="5F5F5F"/>
          <w:sz w:val="20"/>
          <w:lang w:eastAsia="en-AU"/>
        </w:rPr>
        <w:t xml:space="preserve">The following sections describe the type of risks </w:t>
      </w:r>
      <w:r w:rsidR="005142AA" w:rsidRPr="00567650">
        <w:rPr>
          <w:rFonts w:cstheme="minorHAnsi"/>
          <w:color w:val="5F5F5F"/>
          <w:sz w:val="20"/>
          <w:lang w:eastAsia="en-AU"/>
        </w:rPr>
        <w:t xml:space="preserve">the </w:t>
      </w:r>
      <w:r w:rsidRPr="00567650">
        <w:rPr>
          <w:rFonts w:cstheme="minorHAnsi"/>
          <w:color w:val="5F5F5F"/>
          <w:sz w:val="20"/>
          <w:lang w:eastAsia="en-AU"/>
        </w:rPr>
        <w:t xml:space="preserve">proponent should consider in an application for </w:t>
      </w:r>
      <w:r w:rsidR="00324958" w:rsidRPr="00567650">
        <w:rPr>
          <w:rFonts w:cstheme="minorHAnsi"/>
          <w:color w:val="5F5F5F"/>
          <w:sz w:val="20"/>
          <w:lang w:eastAsia="en-AU"/>
        </w:rPr>
        <w:t xml:space="preserve">the grant of </w:t>
      </w:r>
      <w:r w:rsidRPr="00567650">
        <w:rPr>
          <w:rFonts w:cstheme="minorHAnsi"/>
          <w:color w:val="5F5F5F"/>
          <w:sz w:val="20"/>
          <w:lang w:eastAsia="en-AU"/>
        </w:rPr>
        <w:t xml:space="preserve">a GHG injection licence and </w:t>
      </w:r>
      <w:r w:rsidR="00324958" w:rsidRPr="00567650">
        <w:rPr>
          <w:rFonts w:cstheme="minorHAnsi"/>
          <w:color w:val="5F5F5F"/>
          <w:sz w:val="20"/>
          <w:lang w:eastAsia="en-AU"/>
        </w:rPr>
        <w:t>approval of a</w:t>
      </w:r>
      <w:r w:rsidR="00B6527C" w:rsidRPr="00567650">
        <w:rPr>
          <w:rFonts w:cstheme="minorHAnsi"/>
          <w:color w:val="5F5F5F"/>
          <w:sz w:val="20"/>
          <w:lang w:eastAsia="en-AU"/>
        </w:rPr>
        <w:t xml:space="preserve"> draft</w:t>
      </w:r>
      <w:r w:rsidR="00324958" w:rsidRPr="00567650">
        <w:rPr>
          <w:rFonts w:cstheme="minorHAnsi"/>
          <w:color w:val="5F5F5F"/>
          <w:sz w:val="20"/>
          <w:lang w:eastAsia="en-AU"/>
        </w:rPr>
        <w:t xml:space="preserve"> </w:t>
      </w:r>
      <w:r w:rsidRPr="00567650">
        <w:rPr>
          <w:rFonts w:cstheme="minorHAnsi"/>
          <w:color w:val="5F5F5F"/>
          <w:sz w:val="20"/>
          <w:lang w:eastAsia="en-AU"/>
        </w:rPr>
        <w:t xml:space="preserve">site plan. The GHG </w:t>
      </w:r>
      <w:r w:rsidR="00FB0BD4" w:rsidRPr="00567650">
        <w:rPr>
          <w:rFonts w:cstheme="minorHAnsi"/>
          <w:color w:val="5F5F5F"/>
          <w:sz w:val="20"/>
          <w:lang w:eastAsia="en-AU"/>
        </w:rPr>
        <w:t>R</w:t>
      </w:r>
      <w:r w:rsidRPr="00567650">
        <w:rPr>
          <w:rFonts w:cstheme="minorHAnsi"/>
          <w:color w:val="5F5F5F"/>
          <w:sz w:val="20"/>
          <w:lang w:eastAsia="en-AU"/>
        </w:rPr>
        <w:t xml:space="preserve">egulations cover geological risks, risks to the containment of GHG substances and risks associated with engineering enhancements. </w:t>
      </w:r>
      <w:r w:rsidR="00634332" w:rsidRPr="00567650">
        <w:rPr>
          <w:rFonts w:cstheme="minorHAnsi"/>
          <w:color w:val="5F5F5F"/>
          <w:sz w:val="20"/>
          <w:lang w:eastAsia="en-AU"/>
        </w:rPr>
        <w:t xml:space="preserve">It should be noted that </w:t>
      </w:r>
      <w:r w:rsidR="00D9596E" w:rsidRPr="00567650">
        <w:rPr>
          <w:rFonts w:cstheme="minorHAnsi"/>
          <w:color w:val="5F5F5F"/>
          <w:sz w:val="20"/>
          <w:lang w:eastAsia="en-AU"/>
        </w:rPr>
        <w:t xml:space="preserve">some </w:t>
      </w:r>
      <w:r w:rsidR="00D9596E" w:rsidRPr="00567650">
        <w:rPr>
          <w:rFonts w:cstheme="minorHAnsi"/>
          <w:color w:val="5F5F5F"/>
          <w:sz w:val="20"/>
          <w:lang w:eastAsia="en-AU"/>
        </w:rPr>
        <w:t>of</w:t>
      </w:r>
      <w:r w:rsidR="00F43D47" w:rsidRPr="00567650">
        <w:rPr>
          <w:rFonts w:cstheme="minorHAnsi"/>
          <w:color w:val="5F5F5F"/>
          <w:sz w:val="20"/>
          <w:lang w:eastAsia="en-AU"/>
        </w:rPr>
        <w:t xml:space="preserve"> the</w:t>
      </w:r>
      <w:r w:rsidR="00D14A68" w:rsidRPr="00567650">
        <w:rPr>
          <w:rFonts w:cstheme="minorHAnsi"/>
          <w:color w:val="5F5F5F"/>
          <w:sz w:val="20"/>
          <w:lang w:eastAsia="en-AU"/>
        </w:rPr>
        <w:t xml:space="preserve"> </w:t>
      </w:r>
      <w:r w:rsidR="008F76FD" w:rsidRPr="00567650">
        <w:rPr>
          <w:rFonts w:cstheme="minorHAnsi"/>
          <w:color w:val="5F5F5F"/>
          <w:sz w:val="20"/>
          <w:lang w:eastAsia="en-AU"/>
        </w:rPr>
        <w:t>containment risks</w:t>
      </w:r>
      <w:r w:rsidR="003E314C" w:rsidRPr="00567650">
        <w:rPr>
          <w:rFonts w:cstheme="minorHAnsi"/>
          <w:color w:val="5F5F5F"/>
          <w:sz w:val="20"/>
          <w:lang w:eastAsia="en-AU"/>
        </w:rPr>
        <w:t xml:space="preserve"> </w:t>
      </w:r>
      <w:r w:rsidR="00D14A68" w:rsidRPr="00567650">
        <w:rPr>
          <w:rFonts w:cstheme="minorHAnsi"/>
          <w:color w:val="5F5F5F"/>
          <w:sz w:val="20"/>
          <w:lang w:eastAsia="en-AU"/>
        </w:rPr>
        <w:t xml:space="preserve">are </w:t>
      </w:r>
      <w:r w:rsidR="00D9596E" w:rsidRPr="00567650">
        <w:rPr>
          <w:rFonts w:cstheme="minorHAnsi"/>
          <w:color w:val="5F5F5F"/>
          <w:sz w:val="20"/>
          <w:lang w:eastAsia="en-AU"/>
        </w:rPr>
        <w:t>related to geology and where this is the case they have been included under the geological risk section below.</w:t>
      </w:r>
    </w:p>
    <w:p w14:paraId="090ACC10" w14:textId="7862CF0D" w:rsidR="00296F69" w:rsidRPr="00567650" w:rsidRDefault="00410CD1" w:rsidP="00C27B38">
      <w:pPr>
        <w:spacing w:before="120" w:after="120"/>
        <w:rPr>
          <w:rFonts w:cstheme="minorHAnsi"/>
          <w:color w:val="5F5F5F"/>
          <w:sz w:val="20"/>
          <w:lang w:eastAsia="en-AU"/>
        </w:rPr>
      </w:pPr>
      <w:r w:rsidRPr="00567650">
        <w:rPr>
          <w:rFonts w:cstheme="minorHAnsi"/>
          <w:color w:val="5F5F5F"/>
          <w:sz w:val="20"/>
          <w:lang w:eastAsia="en-AU"/>
        </w:rPr>
        <w:t>In addition to these risks</w:t>
      </w:r>
      <w:r w:rsidR="00C37BB3" w:rsidRPr="00567650">
        <w:rPr>
          <w:rFonts w:cstheme="minorHAnsi"/>
          <w:color w:val="5F5F5F"/>
          <w:sz w:val="20"/>
          <w:lang w:eastAsia="en-AU"/>
        </w:rPr>
        <w:t>,</w:t>
      </w:r>
      <w:r w:rsidRPr="00567650">
        <w:rPr>
          <w:rFonts w:cstheme="minorHAnsi"/>
          <w:color w:val="5F5F5F"/>
          <w:sz w:val="20"/>
          <w:lang w:eastAsia="en-AU"/>
        </w:rPr>
        <w:t xml:space="preserve"> proponents should also consider</w:t>
      </w:r>
      <w:r w:rsidR="00A26511" w:rsidRPr="00567650">
        <w:rPr>
          <w:rFonts w:cstheme="minorHAnsi"/>
          <w:color w:val="5F5F5F"/>
          <w:sz w:val="20"/>
          <w:lang w:eastAsia="en-AU"/>
        </w:rPr>
        <w:t xml:space="preserve"> risks</w:t>
      </w:r>
      <w:r w:rsidR="00BC7B9C" w:rsidRPr="00567650">
        <w:rPr>
          <w:rFonts w:cstheme="minorHAnsi"/>
          <w:color w:val="5F5F5F"/>
          <w:sz w:val="20"/>
          <w:lang w:eastAsia="en-AU"/>
        </w:rPr>
        <w:t xml:space="preserve"> associated with facility des</w:t>
      </w:r>
      <w:r w:rsidR="00E65EB7" w:rsidRPr="00567650">
        <w:rPr>
          <w:rFonts w:cstheme="minorHAnsi"/>
          <w:color w:val="5F5F5F"/>
          <w:sz w:val="20"/>
          <w:lang w:eastAsia="en-AU"/>
        </w:rPr>
        <w:t>ign</w:t>
      </w:r>
      <w:r w:rsidR="00EC4B13" w:rsidRPr="00567650">
        <w:rPr>
          <w:rFonts w:cstheme="minorHAnsi"/>
          <w:color w:val="5F5F5F"/>
          <w:sz w:val="20"/>
          <w:lang w:eastAsia="en-AU"/>
        </w:rPr>
        <w:t xml:space="preserve"> and structural integrity</w:t>
      </w:r>
      <w:r w:rsidR="00A53392" w:rsidRPr="00567650">
        <w:rPr>
          <w:rFonts w:cstheme="minorHAnsi"/>
          <w:color w:val="5F5F5F"/>
          <w:sz w:val="20"/>
          <w:lang w:eastAsia="en-AU"/>
        </w:rPr>
        <w:t>, and</w:t>
      </w:r>
      <w:r w:rsidRPr="00567650">
        <w:rPr>
          <w:rFonts w:cstheme="minorHAnsi"/>
          <w:color w:val="5F5F5F"/>
          <w:sz w:val="20"/>
          <w:lang w:eastAsia="en-AU"/>
        </w:rPr>
        <w:t xml:space="preserve"> monitorability risks where the system </w:t>
      </w:r>
      <w:r w:rsidR="00086A5E" w:rsidRPr="00567650">
        <w:rPr>
          <w:rFonts w:cstheme="minorHAnsi"/>
          <w:color w:val="5F5F5F"/>
          <w:sz w:val="20"/>
          <w:lang w:eastAsia="en-AU"/>
        </w:rPr>
        <w:t xml:space="preserve">(as </w:t>
      </w:r>
      <w:r w:rsidR="00832C29" w:rsidRPr="00567650">
        <w:rPr>
          <w:rFonts w:cstheme="minorHAnsi"/>
          <w:color w:val="5F5F5F"/>
          <w:sz w:val="20"/>
          <w:lang w:eastAsia="en-AU"/>
        </w:rPr>
        <w:t>outlined</w:t>
      </w:r>
      <w:r w:rsidR="001C1BD6" w:rsidRPr="00567650">
        <w:rPr>
          <w:rFonts w:cstheme="minorHAnsi"/>
          <w:color w:val="5F5F5F"/>
          <w:sz w:val="20"/>
          <w:lang w:eastAsia="en-AU"/>
        </w:rPr>
        <w:t xml:space="preserve"> </w:t>
      </w:r>
      <w:r w:rsidR="00832C29" w:rsidRPr="00567650">
        <w:rPr>
          <w:rFonts w:cstheme="minorHAnsi"/>
          <w:color w:val="5F5F5F"/>
          <w:sz w:val="20"/>
          <w:lang w:eastAsia="en-AU"/>
        </w:rPr>
        <w:t xml:space="preserve">under the Monitorability risk section of this fact sheet) </w:t>
      </w:r>
      <w:r w:rsidRPr="00567650">
        <w:rPr>
          <w:rFonts w:cstheme="minorHAnsi"/>
          <w:color w:val="5F5F5F"/>
          <w:sz w:val="20"/>
          <w:lang w:eastAsia="en-AU"/>
        </w:rPr>
        <w:t>cannot be monitored to the degree required.</w:t>
      </w:r>
    </w:p>
    <w:p w14:paraId="28A888A8" w14:textId="27D79277" w:rsidR="00B077F3" w:rsidRPr="00567650" w:rsidRDefault="000B21CA" w:rsidP="00034B93">
      <w:pPr>
        <w:pStyle w:val="Heading3"/>
      </w:pPr>
      <w:proofErr w:type="spellStart"/>
      <w:r w:rsidRPr="00567650">
        <w:t>i</w:t>
      </w:r>
      <w:proofErr w:type="spellEnd"/>
      <w:r w:rsidR="003F1BDC" w:rsidRPr="00567650">
        <w:t>)</w:t>
      </w:r>
      <w:r w:rsidR="0016482D" w:rsidRPr="00567650">
        <w:t xml:space="preserve"> </w:t>
      </w:r>
      <w:r w:rsidR="00061CC8" w:rsidRPr="00567650">
        <w:t xml:space="preserve">Geological </w:t>
      </w:r>
      <w:r w:rsidR="00B10927" w:rsidRPr="00567650">
        <w:t>risks</w:t>
      </w:r>
    </w:p>
    <w:p w14:paraId="00EFA21A" w14:textId="2BC66445" w:rsidR="00061CC8" w:rsidRPr="00567650" w:rsidRDefault="005E5C03" w:rsidP="00061CC8">
      <w:pPr>
        <w:spacing w:before="120" w:after="120"/>
        <w:rPr>
          <w:rFonts w:cstheme="minorHAnsi"/>
          <w:color w:val="5F5F5F"/>
          <w:sz w:val="20"/>
          <w:lang w:eastAsia="en-AU"/>
        </w:rPr>
      </w:pPr>
      <w:bookmarkStart w:id="0" w:name="_Hlk167709615"/>
      <w:r w:rsidRPr="00567650">
        <w:rPr>
          <w:rFonts w:cstheme="minorHAnsi"/>
          <w:color w:val="5F5F5F"/>
          <w:sz w:val="20"/>
          <w:lang w:eastAsia="en-AU"/>
        </w:rPr>
        <w:t>A geological risk assessment</w:t>
      </w:r>
      <w:r w:rsidR="00061CC8" w:rsidRPr="00567650">
        <w:rPr>
          <w:rFonts w:cstheme="minorHAnsi"/>
          <w:color w:val="5F5F5F"/>
          <w:sz w:val="20"/>
          <w:lang w:eastAsia="en-AU"/>
        </w:rPr>
        <w:t xml:space="preserve"> </w:t>
      </w:r>
      <w:r w:rsidR="00333A87" w:rsidRPr="00567650">
        <w:rPr>
          <w:rFonts w:cstheme="minorHAnsi"/>
          <w:color w:val="5F5F5F"/>
          <w:sz w:val="20"/>
          <w:lang w:eastAsia="en-AU"/>
        </w:rPr>
        <w:t>should consider all aspects of the geolog</w:t>
      </w:r>
      <w:r w:rsidR="00BE3C21" w:rsidRPr="00567650">
        <w:rPr>
          <w:rFonts w:cstheme="minorHAnsi"/>
          <w:color w:val="5F5F5F"/>
          <w:sz w:val="20"/>
          <w:lang w:eastAsia="en-AU"/>
        </w:rPr>
        <w:t>y</w:t>
      </w:r>
      <w:r w:rsidR="00333A87" w:rsidRPr="00567650">
        <w:rPr>
          <w:rFonts w:cstheme="minorHAnsi"/>
          <w:color w:val="5F5F5F"/>
          <w:sz w:val="20"/>
          <w:lang w:eastAsia="en-AU"/>
        </w:rPr>
        <w:t xml:space="preserve"> to ensure the formation </w:t>
      </w:r>
      <w:r w:rsidR="006C06B9" w:rsidRPr="00567650">
        <w:rPr>
          <w:rFonts w:cstheme="minorHAnsi"/>
          <w:color w:val="5F5F5F"/>
          <w:sz w:val="20"/>
          <w:lang w:eastAsia="en-AU"/>
        </w:rPr>
        <w:t xml:space="preserve">will be safe and secure </w:t>
      </w:r>
      <w:r w:rsidR="00333A87" w:rsidRPr="00567650">
        <w:rPr>
          <w:rFonts w:cstheme="minorHAnsi"/>
          <w:color w:val="5F5F5F"/>
          <w:sz w:val="20"/>
          <w:lang w:eastAsia="en-AU"/>
        </w:rPr>
        <w:t xml:space="preserve">for the </w:t>
      </w:r>
      <w:r w:rsidR="002519D9" w:rsidRPr="00567650">
        <w:rPr>
          <w:rFonts w:cstheme="minorHAnsi"/>
          <w:color w:val="5F5F5F"/>
          <w:sz w:val="20"/>
          <w:lang w:eastAsia="en-AU"/>
        </w:rPr>
        <w:t>permanent</w:t>
      </w:r>
      <w:r w:rsidR="006C06B9" w:rsidRPr="00567650">
        <w:rPr>
          <w:rFonts w:cstheme="minorHAnsi"/>
          <w:color w:val="5F5F5F"/>
          <w:sz w:val="20"/>
          <w:lang w:eastAsia="en-AU"/>
        </w:rPr>
        <w:t xml:space="preserve"> storage of </w:t>
      </w:r>
      <w:r w:rsidR="00333A87" w:rsidRPr="00567650">
        <w:rPr>
          <w:rFonts w:cstheme="minorHAnsi"/>
          <w:color w:val="5F5F5F"/>
          <w:sz w:val="20"/>
          <w:lang w:eastAsia="en-AU"/>
        </w:rPr>
        <w:t>the GHG substances</w:t>
      </w:r>
      <w:r w:rsidR="0093686E" w:rsidRPr="00567650">
        <w:rPr>
          <w:rStyle w:val="CommentReference"/>
        </w:rPr>
        <w:t>.</w:t>
      </w:r>
      <w:r w:rsidR="00BA5EEB" w:rsidRPr="00567650">
        <w:rPr>
          <w:rFonts w:cstheme="minorHAnsi"/>
          <w:color w:val="5F5F5F"/>
          <w:sz w:val="20"/>
          <w:lang w:eastAsia="en-AU"/>
        </w:rPr>
        <w:t xml:space="preserve"> </w:t>
      </w:r>
      <w:r w:rsidR="00336FE9" w:rsidRPr="00567650">
        <w:rPr>
          <w:rFonts w:cstheme="minorHAnsi"/>
          <w:color w:val="5F5F5F"/>
          <w:sz w:val="20"/>
          <w:lang w:eastAsia="en-AU"/>
        </w:rPr>
        <w:t xml:space="preserve"> It should i</w:t>
      </w:r>
      <w:r w:rsidR="00D2001F" w:rsidRPr="00567650">
        <w:rPr>
          <w:rFonts w:cstheme="minorHAnsi"/>
          <w:color w:val="5F5F5F"/>
          <w:sz w:val="20"/>
          <w:lang w:eastAsia="en-AU"/>
        </w:rPr>
        <w:t xml:space="preserve">nclude </w:t>
      </w:r>
      <w:r w:rsidR="00333A87" w:rsidRPr="00567650">
        <w:rPr>
          <w:rFonts w:cstheme="minorHAnsi"/>
          <w:color w:val="5F5F5F"/>
          <w:sz w:val="20"/>
          <w:lang w:eastAsia="en-AU"/>
        </w:rPr>
        <w:t xml:space="preserve">the proposed strategies for the elimination or reduction and management of those risks. The risk assessment </w:t>
      </w:r>
      <w:r w:rsidR="00061CC8" w:rsidRPr="00567650">
        <w:rPr>
          <w:rFonts w:cstheme="minorHAnsi"/>
          <w:color w:val="5F5F5F"/>
          <w:sz w:val="20"/>
          <w:lang w:eastAsia="en-AU"/>
        </w:rPr>
        <w:t xml:space="preserve">must demonstrate </w:t>
      </w:r>
      <w:proofErr w:type="gramStart"/>
      <w:r w:rsidR="00061CC8" w:rsidRPr="00567650">
        <w:rPr>
          <w:rFonts w:cstheme="minorHAnsi"/>
          <w:color w:val="5F5F5F"/>
          <w:sz w:val="20"/>
          <w:lang w:eastAsia="en-AU"/>
        </w:rPr>
        <w:t>all of</w:t>
      </w:r>
      <w:proofErr w:type="gramEnd"/>
      <w:r w:rsidR="00061CC8" w:rsidRPr="00567650">
        <w:rPr>
          <w:rFonts w:cstheme="minorHAnsi"/>
          <w:color w:val="5F5F5F"/>
          <w:sz w:val="20"/>
          <w:lang w:eastAsia="en-AU"/>
        </w:rPr>
        <w:t xml:space="preserve"> the following for the proposed operations for the injection or </w:t>
      </w:r>
      <w:bookmarkEnd w:id="0"/>
      <w:r w:rsidR="00061CC8" w:rsidRPr="00567650">
        <w:rPr>
          <w:rFonts w:cstheme="minorHAnsi"/>
          <w:color w:val="5F5F5F"/>
          <w:sz w:val="20"/>
          <w:lang w:eastAsia="en-AU"/>
        </w:rPr>
        <w:t xml:space="preserve">permanent storage of a </w:t>
      </w:r>
      <w:r w:rsidRPr="00567650">
        <w:rPr>
          <w:rFonts w:cstheme="minorHAnsi"/>
          <w:color w:val="5F5F5F"/>
          <w:sz w:val="20"/>
          <w:lang w:eastAsia="en-AU"/>
        </w:rPr>
        <w:t>GHG</w:t>
      </w:r>
      <w:r w:rsidR="00061CC8" w:rsidRPr="00567650">
        <w:rPr>
          <w:rFonts w:cstheme="minorHAnsi"/>
          <w:color w:val="5F5F5F"/>
          <w:sz w:val="20"/>
          <w:lang w:eastAsia="en-AU"/>
        </w:rPr>
        <w:t xml:space="preserve"> substance</w:t>
      </w:r>
      <w:r w:rsidR="00B738D3" w:rsidRPr="00567650">
        <w:rPr>
          <w:rFonts w:cstheme="minorHAnsi"/>
          <w:color w:val="5F5F5F"/>
          <w:sz w:val="20"/>
          <w:lang w:eastAsia="en-AU"/>
        </w:rPr>
        <w:t xml:space="preserve"> (</w:t>
      </w:r>
      <w:r w:rsidR="00CC19E8" w:rsidRPr="00567650">
        <w:rPr>
          <w:rFonts w:cstheme="minorHAnsi"/>
          <w:color w:val="5F5F5F"/>
          <w:sz w:val="20"/>
          <w:lang w:eastAsia="en-AU"/>
        </w:rPr>
        <w:t xml:space="preserve">section </w:t>
      </w:r>
      <w:r w:rsidR="00B77F17" w:rsidRPr="00567650">
        <w:rPr>
          <w:rFonts w:cstheme="minorHAnsi"/>
          <w:color w:val="5F5F5F"/>
          <w:sz w:val="20"/>
          <w:lang w:eastAsia="en-AU"/>
        </w:rPr>
        <w:t>18</w:t>
      </w:r>
      <w:r w:rsidR="00917143" w:rsidRPr="00567650">
        <w:rPr>
          <w:rFonts w:cstheme="minorHAnsi"/>
          <w:color w:val="5F5F5F"/>
          <w:sz w:val="20"/>
          <w:lang w:eastAsia="en-AU"/>
        </w:rPr>
        <w:t xml:space="preserve"> of the GHG Regulations</w:t>
      </w:r>
      <w:r w:rsidR="00C45D29" w:rsidRPr="00567650">
        <w:rPr>
          <w:rFonts w:cstheme="minorHAnsi"/>
          <w:color w:val="5F5F5F"/>
          <w:sz w:val="20"/>
          <w:lang w:eastAsia="en-AU"/>
        </w:rPr>
        <w:t>)</w:t>
      </w:r>
      <w:r w:rsidR="00061CC8" w:rsidRPr="00567650">
        <w:rPr>
          <w:rFonts w:cstheme="minorHAnsi"/>
          <w:color w:val="5F5F5F"/>
          <w:sz w:val="20"/>
          <w:lang w:eastAsia="en-AU"/>
        </w:rPr>
        <w:t>:</w:t>
      </w:r>
    </w:p>
    <w:p w14:paraId="042A7A7E" w14:textId="77777777" w:rsidR="00061CC8" w:rsidRPr="00567650" w:rsidRDefault="00061CC8" w:rsidP="008C1C40">
      <w:pPr>
        <w:pStyle w:val="Style2"/>
        <w:numPr>
          <w:ilvl w:val="0"/>
          <w:numId w:val="7"/>
        </w:numPr>
        <w:rPr>
          <w:lang w:val="en-AU"/>
        </w:rPr>
      </w:pPr>
      <w:r w:rsidRPr="00567650">
        <w:rPr>
          <w:lang w:val="en-AU"/>
        </w:rPr>
        <w:t xml:space="preserve">that the geological risks associated with the operations have been </w:t>
      </w:r>
      <w:proofErr w:type="gramStart"/>
      <w:r w:rsidRPr="00567650">
        <w:rPr>
          <w:lang w:val="en-AU"/>
        </w:rPr>
        <w:t>identified;</w:t>
      </w:r>
      <w:proofErr w:type="gramEnd"/>
    </w:p>
    <w:p w14:paraId="6CA9EC58" w14:textId="77777777" w:rsidR="00061CC8" w:rsidRPr="00567650" w:rsidRDefault="00061CC8" w:rsidP="008C1C40">
      <w:pPr>
        <w:pStyle w:val="Style2"/>
        <w:numPr>
          <w:ilvl w:val="0"/>
          <w:numId w:val="7"/>
        </w:numPr>
        <w:rPr>
          <w:lang w:val="en-AU"/>
        </w:rPr>
      </w:pPr>
      <w:r w:rsidRPr="00567650">
        <w:rPr>
          <w:lang w:val="en-AU"/>
        </w:rPr>
        <w:t xml:space="preserve">that new geological risks associated with the operations will be identified as they </w:t>
      </w:r>
      <w:proofErr w:type="gramStart"/>
      <w:r w:rsidRPr="00567650">
        <w:rPr>
          <w:lang w:val="en-AU"/>
        </w:rPr>
        <w:t>arise;</w:t>
      </w:r>
      <w:proofErr w:type="gramEnd"/>
    </w:p>
    <w:p w14:paraId="4DDCD6A0" w14:textId="77777777" w:rsidR="00061CC8" w:rsidRPr="00567650" w:rsidRDefault="00061CC8" w:rsidP="008C1C40">
      <w:pPr>
        <w:pStyle w:val="Style2"/>
        <w:numPr>
          <w:ilvl w:val="0"/>
          <w:numId w:val="7"/>
        </w:numPr>
        <w:rPr>
          <w:lang w:val="en-AU"/>
        </w:rPr>
      </w:pPr>
      <w:r w:rsidRPr="00567650">
        <w:rPr>
          <w:lang w:val="en-AU"/>
        </w:rPr>
        <w:t xml:space="preserve">that increases in the levels of existing geological risks associated with the operations will be identified as they </w:t>
      </w:r>
      <w:proofErr w:type="gramStart"/>
      <w:r w:rsidRPr="00567650">
        <w:rPr>
          <w:lang w:val="en-AU"/>
        </w:rPr>
        <w:t>arise;</w:t>
      </w:r>
      <w:proofErr w:type="gramEnd"/>
    </w:p>
    <w:p w14:paraId="2C228CDF" w14:textId="45E8E1B8" w:rsidR="00061CC8" w:rsidRPr="00567650" w:rsidRDefault="00061CC8" w:rsidP="008C1C40">
      <w:pPr>
        <w:pStyle w:val="Style2"/>
        <w:numPr>
          <w:ilvl w:val="0"/>
          <w:numId w:val="7"/>
        </w:numPr>
        <w:rPr>
          <w:lang w:val="en-AU"/>
        </w:rPr>
      </w:pPr>
      <w:r w:rsidRPr="00567650">
        <w:rPr>
          <w:lang w:val="en-AU"/>
        </w:rPr>
        <w:t>that the geological risks mentioned above will be eliminated or reduced to ALARP; and</w:t>
      </w:r>
    </w:p>
    <w:p w14:paraId="186DB4B1" w14:textId="77777777" w:rsidR="00DB6C85" w:rsidRPr="00567650" w:rsidRDefault="00061CC8" w:rsidP="008C1C40">
      <w:pPr>
        <w:pStyle w:val="Style2"/>
        <w:numPr>
          <w:ilvl w:val="0"/>
          <w:numId w:val="7"/>
        </w:numPr>
        <w:rPr>
          <w:lang w:val="en-AU"/>
        </w:rPr>
      </w:pPr>
      <w:r w:rsidRPr="00567650">
        <w:rPr>
          <w:lang w:val="en-AU"/>
        </w:rPr>
        <w:t>that if a geological risk mentioned above is reduced but not eliminated, the remaining risk will be acceptable.</w:t>
      </w:r>
    </w:p>
    <w:p w14:paraId="124AEA83" w14:textId="77777777" w:rsidR="0075038E" w:rsidRPr="00567650" w:rsidRDefault="00712DC7" w:rsidP="00DB6C85">
      <w:pPr>
        <w:spacing w:before="120" w:after="120"/>
        <w:rPr>
          <w:rFonts w:cstheme="minorHAnsi"/>
          <w:color w:val="5F5F5F"/>
          <w:sz w:val="20"/>
          <w:lang w:eastAsia="en-AU"/>
        </w:rPr>
      </w:pPr>
      <w:r w:rsidRPr="00567650">
        <w:rPr>
          <w:rFonts w:cstheme="minorHAnsi"/>
          <w:color w:val="5F5F5F"/>
          <w:sz w:val="20"/>
          <w:lang w:eastAsia="en-AU"/>
        </w:rPr>
        <w:t xml:space="preserve">Geological </w:t>
      </w:r>
      <w:r w:rsidR="0075038E" w:rsidRPr="00567650">
        <w:rPr>
          <w:rFonts w:cstheme="minorHAnsi"/>
          <w:color w:val="5F5F5F"/>
          <w:sz w:val="20"/>
          <w:lang w:eastAsia="en-AU"/>
        </w:rPr>
        <w:t>risks include the following categories:</w:t>
      </w:r>
    </w:p>
    <w:p w14:paraId="006952C0" w14:textId="2FBF1102" w:rsidR="00A522C6" w:rsidRPr="00567650" w:rsidRDefault="00A522C6" w:rsidP="00DB6C85">
      <w:pPr>
        <w:pStyle w:val="Style2"/>
        <w:numPr>
          <w:ilvl w:val="0"/>
          <w:numId w:val="7"/>
        </w:numPr>
        <w:rPr>
          <w:lang w:val="en-AU"/>
        </w:rPr>
      </w:pPr>
      <w:r w:rsidRPr="00567650">
        <w:rPr>
          <w:lang w:val="en-AU"/>
        </w:rPr>
        <w:t>t</w:t>
      </w:r>
      <w:r w:rsidR="0075038E" w:rsidRPr="00567650">
        <w:rPr>
          <w:lang w:val="en-AU"/>
        </w:rPr>
        <w:t xml:space="preserve">he containment of GHG </w:t>
      </w:r>
      <w:proofErr w:type="gramStart"/>
      <w:r w:rsidR="0075038E" w:rsidRPr="00567650">
        <w:rPr>
          <w:lang w:val="en-AU"/>
        </w:rPr>
        <w:t>substances</w:t>
      </w:r>
      <w:r w:rsidRPr="00567650">
        <w:rPr>
          <w:lang w:val="en-AU"/>
        </w:rPr>
        <w:t>;</w:t>
      </w:r>
      <w:proofErr w:type="gramEnd"/>
    </w:p>
    <w:p w14:paraId="773A9397" w14:textId="5D25B650" w:rsidR="00A522C6" w:rsidRPr="00567650" w:rsidRDefault="00896264" w:rsidP="00DB6C85">
      <w:pPr>
        <w:pStyle w:val="Style2"/>
        <w:numPr>
          <w:ilvl w:val="0"/>
          <w:numId w:val="7"/>
        </w:numPr>
        <w:rPr>
          <w:lang w:val="en-AU"/>
        </w:rPr>
      </w:pPr>
      <w:r w:rsidRPr="00567650">
        <w:rPr>
          <w:lang w:val="en-AU"/>
        </w:rPr>
        <w:t>the capacity of the storage formation (the volume</w:t>
      </w:r>
      <w:r w:rsidR="0056243D" w:rsidRPr="00567650">
        <w:rPr>
          <w:lang w:val="en-AU"/>
        </w:rPr>
        <w:t xml:space="preserve"> of GHG substances that can be stored</w:t>
      </w:r>
      <w:proofErr w:type="gramStart"/>
      <w:r w:rsidR="0056243D" w:rsidRPr="00567650">
        <w:rPr>
          <w:lang w:val="en-AU"/>
        </w:rPr>
        <w:t>);</w:t>
      </w:r>
      <w:proofErr w:type="gramEnd"/>
    </w:p>
    <w:p w14:paraId="317380AB" w14:textId="4BD45C2F" w:rsidR="0056243D" w:rsidRPr="00567650" w:rsidRDefault="0056243D" w:rsidP="00DB6C85">
      <w:pPr>
        <w:pStyle w:val="Style2"/>
        <w:numPr>
          <w:ilvl w:val="0"/>
          <w:numId w:val="7"/>
        </w:numPr>
        <w:rPr>
          <w:lang w:val="en-AU"/>
        </w:rPr>
      </w:pPr>
      <w:r w:rsidRPr="00567650">
        <w:rPr>
          <w:lang w:val="en-AU"/>
        </w:rPr>
        <w:t>the injectivity</w:t>
      </w:r>
      <w:r w:rsidR="00BF03A7" w:rsidRPr="00567650">
        <w:rPr>
          <w:lang w:val="en-AU"/>
        </w:rPr>
        <w:t xml:space="preserve"> of the storage formation</w:t>
      </w:r>
      <w:r w:rsidR="007F1275" w:rsidRPr="00567650">
        <w:rPr>
          <w:lang w:val="en-AU"/>
        </w:rPr>
        <w:t xml:space="preserve"> (the rate at which GHG substances can flow</w:t>
      </w:r>
      <w:r w:rsidR="00BF03A7" w:rsidRPr="00567650">
        <w:rPr>
          <w:lang w:val="en-AU"/>
        </w:rPr>
        <w:t xml:space="preserve"> into the formation)</w:t>
      </w:r>
      <w:r w:rsidR="00671CBA" w:rsidRPr="00567650">
        <w:rPr>
          <w:lang w:val="en-AU"/>
        </w:rPr>
        <w:t>; and</w:t>
      </w:r>
    </w:p>
    <w:p w14:paraId="6AB1218C" w14:textId="2D11BC06" w:rsidR="00CE5032" w:rsidRPr="00567650" w:rsidRDefault="00671CBA" w:rsidP="005417A9">
      <w:pPr>
        <w:pStyle w:val="Style2"/>
        <w:numPr>
          <w:ilvl w:val="0"/>
          <w:numId w:val="7"/>
        </w:numPr>
        <w:rPr>
          <w:lang w:val="en-AU"/>
        </w:rPr>
      </w:pPr>
      <w:r w:rsidRPr="00567650">
        <w:rPr>
          <w:lang w:val="en-AU"/>
        </w:rPr>
        <w:t>the physical impacts of the injection of GHG substances</w:t>
      </w:r>
      <w:r w:rsidR="0070515C" w:rsidRPr="00567650">
        <w:rPr>
          <w:lang w:val="en-AU"/>
        </w:rPr>
        <w:t xml:space="preserve"> on other domains</w:t>
      </w:r>
      <w:r w:rsidR="00D24D9B" w:rsidRPr="00567650">
        <w:rPr>
          <w:lang w:val="en-AU"/>
        </w:rPr>
        <w:t xml:space="preserve"> including the storage formation</w:t>
      </w:r>
      <w:r w:rsidR="00C939EA" w:rsidRPr="00567650">
        <w:rPr>
          <w:lang w:val="en-AU"/>
        </w:rPr>
        <w:t xml:space="preserve">, </w:t>
      </w:r>
      <w:r w:rsidR="0067689A" w:rsidRPr="00567650">
        <w:rPr>
          <w:lang w:val="en-AU"/>
        </w:rPr>
        <w:t>sealing units</w:t>
      </w:r>
      <w:r w:rsidR="00C939EA" w:rsidRPr="00567650">
        <w:rPr>
          <w:lang w:val="en-AU"/>
        </w:rPr>
        <w:t>, any faults and the seabed</w:t>
      </w:r>
      <w:r w:rsidR="0070515C" w:rsidRPr="00567650">
        <w:rPr>
          <w:lang w:val="en-AU"/>
        </w:rPr>
        <w:t>.</w:t>
      </w:r>
    </w:p>
    <w:p w14:paraId="4C722163" w14:textId="22748222" w:rsidR="00DB6C85" w:rsidRPr="00567650" w:rsidRDefault="009752B3" w:rsidP="00DB6C85">
      <w:pPr>
        <w:spacing w:before="120" w:after="120"/>
        <w:rPr>
          <w:rFonts w:cstheme="minorHAnsi"/>
          <w:color w:val="5F5F5F"/>
          <w:sz w:val="20"/>
          <w:lang w:eastAsia="en-AU"/>
        </w:rPr>
      </w:pPr>
      <w:r w:rsidRPr="00567650">
        <w:rPr>
          <w:rFonts w:cstheme="minorHAnsi"/>
          <w:color w:val="5F5F5F"/>
          <w:sz w:val="20"/>
          <w:lang w:eastAsia="en-AU"/>
        </w:rPr>
        <w:t>Risks under these categories could include, but are not limited to the following</w:t>
      </w:r>
      <w:r w:rsidR="00C3446B" w:rsidRPr="00567650">
        <w:rPr>
          <w:rFonts w:cstheme="minorHAnsi"/>
          <w:color w:val="5F5F5F"/>
          <w:sz w:val="20"/>
          <w:lang w:eastAsia="en-AU"/>
        </w:rPr>
        <w:t>:</w:t>
      </w:r>
    </w:p>
    <w:p w14:paraId="5177C3CE" w14:textId="5A4BD6DB" w:rsidR="00DB6C85" w:rsidRPr="00567650" w:rsidRDefault="007E6FC2" w:rsidP="00DB6C85">
      <w:pPr>
        <w:pStyle w:val="Style2"/>
        <w:numPr>
          <w:ilvl w:val="0"/>
          <w:numId w:val="7"/>
        </w:numPr>
        <w:rPr>
          <w:lang w:val="en-AU"/>
        </w:rPr>
      </w:pPr>
      <w:r w:rsidRPr="00567650">
        <w:rPr>
          <w:lang w:val="en-AU"/>
        </w:rPr>
        <w:lastRenderedPageBreak/>
        <w:t>unexpected</w:t>
      </w:r>
      <w:r w:rsidR="00DB6C85" w:rsidRPr="00567650">
        <w:rPr>
          <w:lang w:val="en-AU"/>
        </w:rPr>
        <w:t xml:space="preserve"> chemical/physical conditions </w:t>
      </w:r>
      <w:r w:rsidR="00224C91" w:rsidRPr="00567650">
        <w:rPr>
          <w:lang w:val="en-AU"/>
        </w:rPr>
        <w:t xml:space="preserve">during injection or </w:t>
      </w:r>
      <w:r w:rsidR="00DB6C85" w:rsidRPr="00567650">
        <w:rPr>
          <w:lang w:val="en-AU"/>
        </w:rPr>
        <w:t xml:space="preserve">within the storage </w:t>
      </w:r>
      <w:proofErr w:type="gramStart"/>
      <w:r w:rsidR="00DB6C85" w:rsidRPr="00567650">
        <w:rPr>
          <w:lang w:val="en-AU"/>
        </w:rPr>
        <w:t>formation;</w:t>
      </w:r>
      <w:proofErr w:type="gramEnd"/>
    </w:p>
    <w:p w14:paraId="7A9FA4CD" w14:textId="7AA4E497" w:rsidR="00DB6C85" w:rsidRPr="00567650" w:rsidRDefault="00DB6C85" w:rsidP="00DB6C85">
      <w:pPr>
        <w:pStyle w:val="Style2"/>
        <w:numPr>
          <w:ilvl w:val="0"/>
          <w:numId w:val="7"/>
        </w:numPr>
        <w:rPr>
          <w:lang w:val="en-AU"/>
        </w:rPr>
      </w:pPr>
      <w:r w:rsidRPr="00567650">
        <w:rPr>
          <w:lang w:val="en-AU"/>
        </w:rPr>
        <w:t xml:space="preserve">pressurization of the formation due to unexpected </w:t>
      </w:r>
      <w:proofErr w:type="gramStart"/>
      <w:r w:rsidR="003D5C96" w:rsidRPr="00567650">
        <w:rPr>
          <w:lang w:val="en-AU"/>
        </w:rPr>
        <w:t>compartmentalisation</w:t>
      </w:r>
      <w:r w:rsidRPr="00567650">
        <w:rPr>
          <w:lang w:val="en-AU"/>
        </w:rPr>
        <w:t>;</w:t>
      </w:r>
      <w:proofErr w:type="gramEnd"/>
    </w:p>
    <w:p w14:paraId="40B47425" w14:textId="310332D3" w:rsidR="00DB6C85" w:rsidRPr="00567650" w:rsidRDefault="00DB6C85" w:rsidP="00DB6C85">
      <w:pPr>
        <w:pStyle w:val="Style2"/>
        <w:numPr>
          <w:ilvl w:val="0"/>
          <w:numId w:val="7"/>
        </w:numPr>
        <w:rPr>
          <w:lang w:val="en-AU"/>
        </w:rPr>
      </w:pPr>
      <w:r w:rsidRPr="00567650">
        <w:rPr>
          <w:lang w:val="en-AU"/>
        </w:rPr>
        <w:t xml:space="preserve">injection intermittency and fracturing of the near well zone induced by drilling </w:t>
      </w:r>
      <w:r w:rsidR="00343B0D" w:rsidRPr="00567650">
        <w:rPr>
          <w:lang w:val="en-AU"/>
        </w:rPr>
        <w:t xml:space="preserve">or injection </w:t>
      </w:r>
      <w:r w:rsidRPr="00567650">
        <w:rPr>
          <w:lang w:val="en-AU"/>
        </w:rPr>
        <w:t>operations.</w:t>
      </w:r>
    </w:p>
    <w:p w14:paraId="514C4111" w14:textId="791E50CB" w:rsidR="00D51B1D" w:rsidRPr="00567650" w:rsidRDefault="00D51B1D" w:rsidP="00D51B1D">
      <w:pPr>
        <w:pStyle w:val="Style2"/>
        <w:numPr>
          <w:ilvl w:val="0"/>
          <w:numId w:val="7"/>
        </w:numPr>
        <w:rPr>
          <w:szCs w:val="20"/>
          <w:lang w:val="en-AU"/>
        </w:rPr>
      </w:pPr>
      <w:r w:rsidRPr="00567650">
        <w:rPr>
          <w:szCs w:val="20"/>
          <w:lang w:val="en-AU"/>
        </w:rPr>
        <w:t xml:space="preserve">critical parameters affecting potential leakage (e.g. </w:t>
      </w:r>
      <w:r w:rsidR="003B03E7" w:rsidRPr="00567650">
        <w:rPr>
          <w:szCs w:val="20"/>
          <w:lang w:val="en-AU"/>
        </w:rPr>
        <w:t xml:space="preserve">maximum </w:t>
      </w:r>
      <w:r w:rsidRPr="00567650">
        <w:rPr>
          <w:szCs w:val="20"/>
          <w:lang w:val="en-AU"/>
        </w:rPr>
        <w:t>reservoir pressure, maximum injection rate, temperature and sensitivity for varying assumptions in the geological models</w:t>
      </w:r>
      <w:proofErr w:type="gramStart"/>
      <w:r w:rsidRPr="00567650">
        <w:rPr>
          <w:szCs w:val="20"/>
          <w:lang w:val="en-AU"/>
        </w:rPr>
        <w:t>);</w:t>
      </w:r>
      <w:proofErr w:type="gramEnd"/>
    </w:p>
    <w:p w14:paraId="6E5C27C3" w14:textId="38089B58" w:rsidR="00D51B1D" w:rsidRPr="00567650" w:rsidRDefault="00D51B1D" w:rsidP="00D51B1D">
      <w:pPr>
        <w:pStyle w:val="Style2"/>
        <w:numPr>
          <w:ilvl w:val="0"/>
          <w:numId w:val="7"/>
        </w:numPr>
        <w:rPr>
          <w:szCs w:val="20"/>
          <w:lang w:val="en-AU"/>
        </w:rPr>
      </w:pPr>
      <w:r w:rsidRPr="00567650">
        <w:rPr>
          <w:szCs w:val="20"/>
          <w:lang w:val="en-AU"/>
        </w:rPr>
        <w:t xml:space="preserve">secondary effects to the injection and storage of GHG substances including displaced formation fluids and new substances created by the storing of GHG substances in the </w:t>
      </w:r>
      <w:proofErr w:type="gramStart"/>
      <w:r w:rsidRPr="00567650">
        <w:rPr>
          <w:szCs w:val="20"/>
          <w:lang w:val="en-AU"/>
        </w:rPr>
        <w:t>formation;</w:t>
      </w:r>
      <w:proofErr w:type="gramEnd"/>
    </w:p>
    <w:p w14:paraId="4908FA3F" w14:textId="1BF42765" w:rsidR="00242BEB" w:rsidRPr="00567650" w:rsidRDefault="00B041B3" w:rsidP="00B041B3">
      <w:pPr>
        <w:pStyle w:val="Style2"/>
        <w:numPr>
          <w:ilvl w:val="0"/>
          <w:numId w:val="7"/>
        </w:numPr>
        <w:rPr>
          <w:lang w:val="en-AU"/>
        </w:rPr>
      </w:pPr>
      <w:r w:rsidRPr="00567650">
        <w:rPr>
          <w:lang w:val="en-AU"/>
        </w:rPr>
        <w:t xml:space="preserve">accidental exceedance of </w:t>
      </w:r>
      <w:r w:rsidR="00476C8D" w:rsidRPr="00567650">
        <w:rPr>
          <w:lang w:val="en-AU"/>
        </w:rPr>
        <w:t>t</w:t>
      </w:r>
      <w:r w:rsidR="009F3693" w:rsidRPr="00567650">
        <w:rPr>
          <w:lang w:val="en-AU"/>
        </w:rPr>
        <w:t xml:space="preserve">he amount of GHG substance that may be stored in the identified GHG storage formation as set out in the fundamental </w:t>
      </w:r>
      <w:r w:rsidR="4C0599E7" w:rsidRPr="00567650">
        <w:rPr>
          <w:lang w:val="en-AU"/>
        </w:rPr>
        <w:t>suitability</w:t>
      </w:r>
      <w:r w:rsidR="009F3693" w:rsidRPr="00567650">
        <w:rPr>
          <w:lang w:val="en-AU"/>
        </w:rPr>
        <w:t xml:space="preserve"> determinants of the identified GHG storage </w:t>
      </w:r>
      <w:proofErr w:type="gramStart"/>
      <w:r w:rsidR="009F3693" w:rsidRPr="00567650">
        <w:rPr>
          <w:lang w:val="en-AU"/>
        </w:rPr>
        <w:t>formation</w:t>
      </w:r>
      <w:r w:rsidR="00CF66C4" w:rsidRPr="00567650">
        <w:rPr>
          <w:lang w:val="en-AU"/>
        </w:rPr>
        <w:t>;</w:t>
      </w:r>
      <w:proofErr w:type="gramEnd"/>
    </w:p>
    <w:p w14:paraId="498BC4AE" w14:textId="15335BF9" w:rsidR="00A47FF2" w:rsidRPr="00567650" w:rsidRDefault="00A47FF2" w:rsidP="00A47FF2">
      <w:pPr>
        <w:pStyle w:val="Style2"/>
        <w:numPr>
          <w:ilvl w:val="0"/>
          <w:numId w:val="7"/>
        </w:numPr>
        <w:rPr>
          <w:lang w:val="en-AU"/>
        </w:rPr>
      </w:pPr>
      <w:r w:rsidRPr="00567650">
        <w:rPr>
          <w:lang w:val="en-AU"/>
        </w:rPr>
        <w:t xml:space="preserve">induced seismicity around well bores and in the storage </w:t>
      </w:r>
      <w:proofErr w:type="gramStart"/>
      <w:r w:rsidRPr="00567650">
        <w:rPr>
          <w:lang w:val="en-AU"/>
        </w:rPr>
        <w:t>formation;</w:t>
      </w:r>
      <w:proofErr w:type="gramEnd"/>
    </w:p>
    <w:p w14:paraId="1205325D" w14:textId="77777777" w:rsidR="00A47FF2" w:rsidRPr="00567650" w:rsidRDefault="00A47FF2" w:rsidP="00A47FF2">
      <w:pPr>
        <w:pStyle w:val="Style2"/>
        <w:numPr>
          <w:ilvl w:val="0"/>
          <w:numId w:val="7"/>
        </w:numPr>
        <w:rPr>
          <w:lang w:val="en-AU"/>
        </w:rPr>
      </w:pPr>
      <w:r w:rsidRPr="00567650">
        <w:rPr>
          <w:lang w:val="en-AU"/>
        </w:rPr>
        <w:t xml:space="preserve">physical uplift of the </w:t>
      </w:r>
      <w:proofErr w:type="gramStart"/>
      <w:r w:rsidRPr="00567650">
        <w:rPr>
          <w:lang w:val="en-AU"/>
        </w:rPr>
        <w:t>seabed;</w:t>
      </w:r>
      <w:proofErr w:type="gramEnd"/>
    </w:p>
    <w:p w14:paraId="68983EA0" w14:textId="2B063F17" w:rsidR="002A5CDE" w:rsidRPr="00567650" w:rsidRDefault="004C6880" w:rsidP="004C6880">
      <w:pPr>
        <w:pStyle w:val="Style2"/>
        <w:numPr>
          <w:ilvl w:val="0"/>
          <w:numId w:val="7"/>
        </w:numPr>
        <w:rPr>
          <w:szCs w:val="20"/>
          <w:lang w:val="en-AU"/>
        </w:rPr>
      </w:pPr>
      <w:r w:rsidRPr="00567650">
        <w:rPr>
          <w:szCs w:val="20"/>
          <w:lang w:val="en-AU"/>
        </w:rPr>
        <w:t xml:space="preserve">disturbance of the GHG substance due to tectonic </w:t>
      </w:r>
      <w:proofErr w:type="gramStart"/>
      <w:r w:rsidRPr="00567650">
        <w:rPr>
          <w:szCs w:val="20"/>
          <w:lang w:val="en-AU"/>
        </w:rPr>
        <w:t>processes;</w:t>
      </w:r>
      <w:proofErr w:type="gramEnd"/>
    </w:p>
    <w:p w14:paraId="27D68CA0" w14:textId="2141685E" w:rsidR="00CC38DC" w:rsidRPr="00567650" w:rsidRDefault="00CC38DC" w:rsidP="00E00E9E">
      <w:pPr>
        <w:pStyle w:val="Style2"/>
        <w:numPr>
          <w:ilvl w:val="0"/>
          <w:numId w:val="7"/>
        </w:numPr>
        <w:rPr>
          <w:szCs w:val="20"/>
          <w:lang w:val="en-AU"/>
        </w:rPr>
      </w:pPr>
      <w:r w:rsidRPr="00567650">
        <w:rPr>
          <w:szCs w:val="20"/>
          <w:lang w:val="en-AU"/>
        </w:rPr>
        <w:t xml:space="preserve">unexpected changes in seal properties due to chemical/physical </w:t>
      </w:r>
      <w:r w:rsidR="00E95C70" w:rsidRPr="00567650">
        <w:rPr>
          <w:szCs w:val="20"/>
          <w:lang w:val="en-AU"/>
        </w:rPr>
        <w:t>interactions with</w:t>
      </w:r>
      <w:r w:rsidRPr="00567650">
        <w:rPr>
          <w:szCs w:val="20"/>
          <w:lang w:val="en-AU"/>
        </w:rPr>
        <w:t xml:space="preserve"> the inject</w:t>
      </w:r>
      <w:r w:rsidR="00E95C70" w:rsidRPr="00567650">
        <w:rPr>
          <w:szCs w:val="20"/>
          <w:lang w:val="en-AU"/>
        </w:rPr>
        <w:t>ed</w:t>
      </w:r>
      <w:r w:rsidRPr="00567650">
        <w:rPr>
          <w:szCs w:val="20"/>
          <w:lang w:val="en-AU"/>
        </w:rPr>
        <w:t xml:space="preserve"> GHG </w:t>
      </w:r>
      <w:proofErr w:type="gramStart"/>
      <w:r w:rsidRPr="00567650">
        <w:rPr>
          <w:szCs w:val="20"/>
          <w:lang w:val="en-AU"/>
        </w:rPr>
        <w:t>substance;</w:t>
      </w:r>
      <w:proofErr w:type="gramEnd"/>
    </w:p>
    <w:p w14:paraId="21210AC4" w14:textId="77777777" w:rsidR="00E00E9E" w:rsidRPr="00567650" w:rsidRDefault="00A47FF2" w:rsidP="00A47FF2">
      <w:pPr>
        <w:pStyle w:val="Style2"/>
        <w:numPr>
          <w:ilvl w:val="0"/>
          <w:numId w:val="7"/>
        </w:numPr>
        <w:rPr>
          <w:lang w:val="en-AU"/>
        </w:rPr>
      </w:pPr>
      <w:r w:rsidRPr="00567650">
        <w:rPr>
          <w:lang w:val="en-AU"/>
        </w:rPr>
        <w:t xml:space="preserve">geomechanical fracturing and fault </w:t>
      </w:r>
      <w:proofErr w:type="gramStart"/>
      <w:r w:rsidRPr="00567650">
        <w:rPr>
          <w:lang w:val="en-AU"/>
        </w:rPr>
        <w:t>reactivation;</w:t>
      </w:r>
      <w:proofErr w:type="gramEnd"/>
    </w:p>
    <w:p w14:paraId="6C69C385" w14:textId="263ED66D" w:rsidR="00A47FF2" w:rsidRPr="00567650" w:rsidRDefault="00E00E9E" w:rsidP="00A47FF2">
      <w:pPr>
        <w:pStyle w:val="Style2"/>
        <w:numPr>
          <w:ilvl w:val="0"/>
          <w:numId w:val="7"/>
        </w:numPr>
        <w:rPr>
          <w:lang w:val="en-AU"/>
        </w:rPr>
      </w:pPr>
      <w:r w:rsidRPr="00567650">
        <w:rPr>
          <w:szCs w:val="20"/>
          <w:lang w:val="en-AU"/>
        </w:rPr>
        <w:t xml:space="preserve">migration of GHG substances through </w:t>
      </w:r>
      <w:r w:rsidR="00303669" w:rsidRPr="00567650">
        <w:rPr>
          <w:szCs w:val="20"/>
          <w:lang w:val="en-AU"/>
        </w:rPr>
        <w:t xml:space="preserve">the </w:t>
      </w:r>
      <w:r w:rsidRPr="00567650">
        <w:rPr>
          <w:szCs w:val="20"/>
          <w:lang w:val="en-AU"/>
        </w:rPr>
        <w:t xml:space="preserve">seal due to the capillary entry pressure being </w:t>
      </w:r>
      <w:proofErr w:type="gramStart"/>
      <w:r w:rsidRPr="00567650">
        <w:rPr>
          <w:szCs w:val="20"/>
          <w:lang w:val="en-AU"/>
        </w:rPr>
        <w:t>exceeded;</w:t>
      </w:r>
      <w:proofErr w:type="gramEnd"/>
      <w:r w:rsidRPr="00567650">
        <w:rPr>
          <w:szCs w:val="20"/>
          <w:lang w:val="en-AU"/>
        </w:rPr>
        <w:t xml:space="preserve"> </w:t>
      </w:r>
    </w:p>
    <w:p w14:paraId="033AD070" w14:textId="77777777" w:rsidR="00972F46" w:rsidRPr="00567650" w:rsidRDefault="00A47FF2" w:rsidP="00A47FF2">
      <w:pPr>
        <w:pStyle w:val="Style2"/>
        <w:numPr>
          <w:ilvl w:val="0"/>
          <w:numId w:val="7"/>
        </w:numPr>
        <w:rPr>
          <w:lang w:val="en-AU"/>
        </w:rPr>
      </w:pPr>
      <w:r w:rsidRPr="00567650">
        <w:rPr>
          <w:lang w:val="en-AU"/>
        </w:rPr>
        <w:t>displacement of brine or residual fluids from the storage formation</w:t>
      </w:r>
      <w:r w:rsidR="00972F46" w:rsidRPr="00567650">
        <w:rPr>
          <w:lang w:val="en-AU"/>
        </w:rPr>
        <w:t>: and</w:t>
      </w:r>
    </w:p>
    <w:p w14:paraId="1CDC5322" w14:textId="24CC3995" w:rsidR="00654AB4" w:rsidRPr="00567650" w:rsidRDefault="00972F46" w:rsidP="00972F46">
      <w:pPr>
        <w:pStyle w:val="Style2"/>
        <w:numPr>
          <w:ilvl w:val="0"/>
          <w:numId w:val="7"/>
        </w:numPr>
        <w:rPr>
          <w:szCs w:val="20"/>
          <w:lang w:val="en-AU"/>
        </w:rPr>
      </w:pPr>
      <w:r w:rsidRPr="00567650">
        <w:rPr>
          <w:szCs w:val="20"/>
          <w:lang w:val="en-AU"/>
        </w:rPr>
        <w:t xml:space="preserve">unexpected </w:t>
      </w:r>
      <w:r w:rsidR="00554230" w:rsidRPr="00567650">
        <w:rPr>
          <w:szCs w:val="20"/>
          <w:lang w:val="en-AU"/>
        </w:rPr>
        <w:t xml:space="preserve">(less than </w:t>
      </w:r>
      <w:r w:rsidR="00CA151D" w:rsidRPr="00567650">
        <w:rPr>
          <w:szCs w:val="20"/>
          <w:lang w:val="en-AU"/>
        </w:rPr>
        <w:t>10 per cent probability of occurring</w:t>
      </w:r>
      <w:r w:rsidR="00B650BC" w:rsidRPr="00567650">
        <w:rPr>
          <w:szCs w:val="20"/>
          <w:lang w:val="en-AU"/>
        </w:rPr>
        <w:t xml:space="preserve"> based on plume migration modelling) </w:t>
      </w:r>
      <w:r w:rsidRPr="00567650">
        <w:rPr>
          <w:szCs w:val="20"/>
          <w:lang w:val="en-AU"/>
        </w:rPr>
        <w:t>GHG substance plume migration.</w:t>
      </w:r>
    </w:p>
    <w:p w14:paraId="6DC7D29C" w14:textId="3D09FD10" w:rsidR="00CD185E" w:rsidRPr="00567650" w:rsidRDefault="00E6682D" w:rsidP="005372E1">
      <w:pPr>
        <w:pStyle w:val="Heading3"/>
      </w:pPr>
      <w:r w:rsidRPr="00567650">
        <w:t xml:space="preserve">ii) </w:t>
      </w:r>
      <w:proofErr w:type="gramStart"/>
      <w:r w:rsidR="005E5FA0" w:rsidRPr="00567650">
        <w:t>Other</w:t>
      </w:r>
      <w:proofErr w:type="gramEnd"/>
      <w:r w:rsidR="005E5FA0" w:rsidRPr="00567650">
        <w:t xml:space="preserve"> risks</w:t>
      </w:r>
      <w:r w:rsidR="00620177" w:rsidRPr="00567650">
        <w:t xml:space="preserve"> relating to the containment of GHG substances</w:t>
      </w:r>
    </w:p>
    <w:p w14:paraId="40ABEB42" w14:textId="6A3C4F01" w:rsidR="00FE7B05" w:rsidRPr="00567650" w:rsidRDefault="00FE7B05" w:rsidP="00FE7B05">
      <w:pPr>
        <w:spacing w:before="120" w:after="120"/>
        <w:rPr>
          <w:rFonts w:cstheme="minorHAnsi"/>
          <w:color w:val="5F5F5F"/>
          <w:sz w:val="20"/>
          <w:lang w:eastAsia="en-AU"/>
        </w:rPr>
      </w:pPr>
      <w:r w:rsidRPr="00567650">
        <w:rPr>
          <w:rFonts w:cstheme="minorHAnsi"/>
          <w:color w:val="5F5F5F"/>
          <w:sz w:val="20"/>
          <w:lang w:eastAsia="en-AU"/>
        </w:rPr>
        <w:t xml:space="preserve">The following are examples of </w:t>
      </w:r>
      <w:r w:rsidR="00246592" w:rsidRPr="00567650">
        <w:rPr>
          <w:rFonts w:cstheme="minorHAnsi"/>
          <w:color w:val="5F5F5F"/>
          <w:sz w:val="20"/>
          <w:lang w:eastAsia="en-AU"/>
        </w:rPr>
        <w:t>non-geological factors</w:t>
      </w:r>
      <w:r w:rsidRPr="00567650">
        <w:rPr>
          <w:rFonts w:cstheme="minorHAnsi"/>
          <w:color w:val="5F5F5F"/>
          <w:sz w:val="20"/>
          <w:lang w:eastAsia="en-AU"/>
        </w:rPr>
        <w:t xml:space="preserve"> that could pose risks to the containment of </w:t>
      </w:r>
      <w:r w:rsidR="00915683" w:rsidRPr="00567650">
        <w:rPr>
          <w:rFonts w:cstheme="minorHAnsi"/>
          <w:color w:val="5F5F5F"/>
          <w:sz w:val="20"/>
          <w:lang w:eastAsia="en-AU"/>
        </w:rPr>
        <w:t>GHG</w:t>
      </w:r>
      <w:r w:rsidRPr="00567650">
        <w:rPr>
          <w:rFonts w:cstheme="minorHAnsi"/>
          <w:color w:val="5F5F5F"/>
          <w:sz w:val="20"/>
          <w:lang w:eastAsia="en-AU"/>
        </w:rPr>
        <w:t xml:space="preserve"> substances</w:t>
      </w:r>
      <w:r w:rsidR="00070F3A" w:rsidRPr="00567650">
        <w:rPr>
          <w:rFonts w:cstheme="minorHAnsi"/>
          <w:color w:val="5F5F5F"/>
          <w:sz w:val="20"/>
          <w:lang w:eastAsia="en-AU"/>
        </w:rPr>
        <w:t xml:space="preserve"> (</w:t>
      </w:r>
      <w:r w:rsidR="00CC19E8" w:rsidRPr="00567650">
        <w:rPr>
          <w:rFonts w:cstheme="minorHAnsi"/>
          <w:color w:val="5F5F5F"/>
          <w:sz w:val="20"/>
          <w:lang w:eastAsia="en-AU"/>
        </w:rPr>
        <w:t>clause</w:t>
      </w:r>
      <w:r w:rsidR="00CC19E8" w:rsidRPr="00567650">
        <w:rPr>
          <w:rFonts w:eastAsiaTheme="minorEastAsia"/>
          <w:color w:val="5F5F5F"/>
          <w:sz w:val="20"/>
          <w:szCs w:val="20"/>
          <w:lang w:eastAsia="en-AU"/>
        </w:rPr>
        <w:t xml:space="preserve"> </w:t>
      </w:r>
      <w:r w:rsidR="00070F3A" w:rsidRPr="00567650">
        <w:rPr>
          <w:rFonts w:eastAsiaTheme="minorEastAsia"/>
          <w:color w:val="5F5F5F"/>
          <w:sz w:val="20"/>
          <w:szCs w:val="20"/>
          <w:lang w:eastAsia="en-AU"/>
        </w:rPr>
        <w:t>5 of Schedule 2 of the GHG Regulations</w:t>
      </w:r>
      <w:r w:rsidR="003857AD" w:rsidRPr="00567650">
        <w:rPr>
          <w:rFonts w:eastAsiaTheme="minorEastAsia"/>
          <w:color w:val="5F5F5F"/>
          <w:sz w:val="20"/>
          <w:szCs w:val="20"/>
          <w:lang w:eastAsia="en-AU"/>
        </w:rPr>
        <w:t>)</w:t>
      </w:r>
      <w:r w:rsidR="00AD297D" w:rsidRPr="00567650">
        <w:rPr>
          <w:rFonts w:cstheme="minorHAnsi"/>
          <w:color w:val="5F5F5F"/>
          <w:sz w:val="20"/>
          <w:lang w:eastAsia="en-AU"/>
        </w:rPr>
        <w:t>:</w:t>
      </w:r>
    </w:p>
    <w:p w14:paraId="2CD68F94" w14:textId="5ADBAF34" w:rsidR="00021C39" w:rsidRPr="00567650" w:rsidRDefault="00021C39" w:rsidP="00700FAA">
      <w:pPr>
        <w:pStyle w:val="Style2"/>
        <w:numPr>
          <w:ilvl w:val="0"/>
          <w:numId w:val="16"/>
        </w:numPr>
        <w:rPr>
          <w:szCs w:val="20"/>
          <w:lang w:val="en-AU"/>
        </w:rPr>
      </w:pPr>
      <w:r w:rsidRPr="00567650">
        <w:rPr>
          <w:szCs w:val="20"/>
          <w:lang w:val="en-AU"/>
        </w:rPr>
        <w:t xml:space="preserve">a leakage </w:t>
      </w:r>
      <w:r w:rsidR="005731D7">
        <w:rPr>
          <w:szCs w:val="20"/>
          <w:lang w:val="en-AU"/>
        </w:rPr>
        <w:t>into</w:t>
      </w:r>
      <w:r w:rsidR="005731D7" w:rsidRPr="00567650">
        <w:rPr>
          <w:szCs w:val="20"/>
          <w:lang w:val="en-AU"/>
        </w:rPr>
        <w:t xml:space="preserve"> </w:t>
      </w:r>
      <w:r w:rsidR="00FB64EA" w:rsidRPr="00567650">
        <w:rPr>
          <w:szCs w:val="20"/>
          <w:lang w:val="en-AU"/>
        </w:rPr>
        <w:t>the environment</w:t>
      </w:r>
      <w:r w:rsidR="00343B0D" w:rsidRPr="00567650">
        <w:rPr>
          <w:szCs w:val="20"/>
          <w:lang w:val="en-AU"/>
        </w:rPr>
        <w:t xml:space="preserve"> or into other geological strata </w:t>
      </w:r>
      <w:r w:rsidRPr="00567650">
        <w:rPr>
          <w:szCs w:val="20"/>
          <w:lang w:val="en-AU"/>
        </w:rPr>
        <w:t xml:space="preserve">of a </w:t>
      </w:r>
      <w:r w:rsidR="00172105" w:rsidRPr="00567650">
        <w:rPr>
          <w:szCs w:val="20"/>
          <w:lang w:val="en-AU"/>
        </w:rPr>
        <w:t>GHG</w:t>
      </w:r>
      <w:r w:rsidRPr="00567650">
        <w:rPr>
          <w:szCs w:val="20"/>
          <w:lang w:val="en-AU"/>
        </w:rPr>
        <w:t xml:space="preserve"> substance </w:t>
      </w:r>
      <w:r w:rsidR="000B58EE" w:rsidRPr="00567650">
        <w:rPr>
          <w:szCs w:val="20"/>
          <w:lang w:val="en-AU"/>
        </w:rPr>
        <w:t xml:space="preserve">resulting </w:t>
      </w:r>
      <w:r w:rsidRPr="00567650">
        <w:rPr>
          <w:szCs w:val="20"/>
          <w:lang w:val="en-AU"/>
        </w:rPr>
        <w:t xml:space="preserve">from </w:t>
      </w:r>
      <w:r w:rsidR="00343B0D" w:rsidRPr="00567650">
        <w:rPr>
          <w:szCs w:val="20"/>
          <w:lang w:val="en-AU"/>
        </w:rPr>
        <w:t xml:space="preserve">loss of integrity in </w:t>
      </w:r>
      <w:r w:rsidRPr="00567650">
        <w:rPr>
          <w:szCs w:val="20"/>
          <w:lang w:val="en-AU"/>
        </w:rPr>
        <w:t xml:space="preserve">a well </w:t>
      </w:r>
      <w:proofErr w:type="gramStart"/>
      <w:r w:rsidRPr="00567650">
        <w:rPr>
          <w:szCs w:val="20"/>
          <w:lang w:val="en-AU"/>
        </w:rPr>
        <w:t>bore;</w:t>
      </w:r>
      <w:proofErr w:type="gramEnd"/>
    </w:p>
    <w:p w14:paraId="3E4EF091" w14:textId="5E59B665" w:rsidR="00021C39" w:rsidRPr="00567650" w:rsidRDefault="00021C39" w:rsidP="00914936">
      <w:pPr>
        <w:pStyle w:val="Style2"/>
        <w:numPr>
          <w:ilvl w:val="0"/>
          <w:numId w:val="7"/>
        </w:numPr>
        <w:rPr>
          <w:lang w:val="en-AU"/>
        </w:rPr>
      </w:pPr>
      <w:r w:rsidRPr="00567650">
        <w:rPr>
          <w:lang w:val="en-AU"/>
        </w:rPr>
        <w:t xml:space="preserve">a leakage of a </w:t>
      </w:r>
      <w:r w:rsidR="00172105" w:rsidRPr="00567650">
        <w:rPr>
          <w:lang w:val="en-AU"/>
        </w:rPr>
        <w:t>GHG</w:t>
      </w:r>
      <w:r w:rsidRPr="00567650">
        <w:rPr>
          <w:lang w:val="en-AU"/>
        </w:rPr>
        <w:t xml:space="preserve"> substance during its transport for the purpose of injection into the </w:t>
      </w:r>
      <w:proofErr w:type="gramStart"/>
      <w:r w:rsidRPr="00567650">
        <w:rPr>
          <w:lang w:val="en-AU"/>
        </w:rPr>
        <w:t>formation;</w:t>
      </w:r>
      <w:proofErr w:type="gramEnd"/>
    </w:p>
    <w:p w14:paraId="756FAF4F" w14:textId="1FDD7C03" w:rsidR="00021C39" w:rsidRPr="00567650" w:rsidRDefault="00021C39" w:rsidP="00914936">
      <w:pPr>
        <w:pStyle w:val="Style2"/>
        <w:numPr>
          <w:ilvl w:val="0"/>
          <w:numId w:val="7"/>
        </w:numPr>
        <w:rPr>
          <w:lang w:val="en-AU"/>
        </w:rPr>
      </w:pPr>
      <w:r w:rsidRPr="00567650">
        <w:rPr>
          <w:lang w:val="en-AU"/>
        </w:rPr>
        <w:t xml:space="preserve">a leakage of a </w:t>
      </w:r>
      <w:r w:rsidR="00172105" w:rsidRPr="00567650">
        <w:rPr>
          <w:lang w:val="en-AU"/>
        </w:rPr>
        <w:t>GHG</w:t>
      </w:r>
      <w:r w:rsidRPr="00567650">
        <w:rPr>
          <w:lang w:val="en-AU"/>
        </w:rPr>
        <w:t xml:space="preserve"> substance at the point of injection into the </w:t>
      </w:r>
      <w:proofErr w:type="gramStart"/>
      <w:r w:rsidRPr="00567650">
        <w:rPr>
          <w:lang w:val="en-AU"/>
        </w:rPr>
        <w:t>formation;</w:t>
      </w:r>
      <w:proofErr w:type="gramEnd"/>
    </w:p>
    <w:p w14:paraId="19E24381" w14:textId="76DB9517" w:rsidR="00526D2F" w:rsidRPr="00567650" w:rsidRDefault="00BE0C96" w:rsidP="00526D2F">
      <w:pPr>
        <w:pStyle w:val="Style2"/>
        <w:numPr>
          <w:ilvl w:val="0"/>
          <w:numId w:val="7"/>
        </w:numPr>
        <w:rPr>
          <w:szCs w:val="20"/>
          <w:lang w:val="en-AU"/>
        </w:rPr>
      </w:pPr>
      <w:r w:rsidRPr="00567650">
        <w:rPr>
          <w:szCs w:val="20"/>
          <w:lang w:val="en-AU"/>
        </w:rPr>
        <w:t>lea</w:t>
      </w:r>
      <w:r w:rsidR="00977A7D" w:rsidRPr="00567650">
        <w:rPr>
          <w:szCs w:val="20"/>
          <w:lang w:val="en-AU"/>
        </w:rPr>
        <w:t xml:space="preserve">kage of a </w:t>
      </w:r>
      <w:r w:rsidR="00526D2F" w:rsidRPr="00567650">
        <w:rPr>
          <w:szCs w:val="20"/>
          <w:lang w:val="en-AU"/>
        </w:rPr>
        <w:t>GHG substance from injection, monitoring, pressure maintenance or legacy wells;</w:t>
      </w:r>
      <w:r w:rsidR="009B4A8D" w:rsidRPr="00567650">
        <w:rPr>
          <w:szCs w:val="20"/>
          <w:lang w:val="en-AU"/>
        </w:rPr>
        <w:t xml:space="preserve"> and</w:t>
      </w:r>
    </w:p>
    <w:p w14:paraId="2A325312" w14:textId="19828AED" w:rsidR="009143D5" w:rsidRPr="00567650" w:rsidRDefault="009143D5" w:rsidP="009143D5">
      <w:pPr>
        <w:pStyle w:val="Style2"/>
        <w:numPr>
          <w:ilvl w:val="0"/>
          <w:numId w:val="7"/>
        </w:numPr>
        <w:rPr>
          <w:szCs w:val="20"/>
          <w:lang w:val="en-AU"/>
        </w:rPr>
      </w:pPr>
      <w:r w:rsidRPr="00567650">
        <w:rPr>
          <w:szCs w:val="20"/>
          <w:lang w:val="en-AU"/>
        </w:rPr>
        <w:t>future exploration, development, production, and injection activities including activities on overlapping or nearby permits.</w:t>
      </w:r>
    </w:p>
    <w:p w14:paraId="7E12148E" w14:textId="6B796CA4" w:rsidR="001A63E8" w:rsidRPr="00567650" w:rsidRDefault="001A63E8" w:rsidP="001A63E8">
      <w:pPr>
        <w:tabs>
          <w:tab w:val="left" w:pos="284"/>
        </w:tabs>
        <w:rPr>
          <w:color w:val="5F5F5F"/>
          <w:sz w:val="20"/>
          <w:szCs w:val="20"/>
        </w:rPr>
      </w:pPr>
      <w:r w:rsidRPr="00567650">
        <w:rPr>
          <w:color w:val="5F5F5F"/>
          <w:sz w:val="20"/>
          <w:szCs w:val="20"/>
        </w:rPr>
        <w:t>When identifying the</w:t>
      </w:r>
      <w:r w:rsidR="004F45DC" w:rsidRPr="00567650">
        <w:rPr>
          <w:color w:val="5F5F5F"/>
          <w:sz w:val="20"/>
          <w:szCs w:val="20"/>
        </w:rPr>
        <w:t xml:space="preserve"> geolo</w:t>
      </w:r>
      <w:r w:rsidR="00FA0BAC" w:rsidRPr="00567650">
        <w:rPr>
          <w:color w:val="5F5F5F"/>
          <w:sz w:val="20"/>
          <w:szCs w:val="20"/>
        </w:rPr>
        <w:t>gical and non</w:t>
      </w:r>
      <w:r w:rsidR="003664D6" w:rsidRPr="00567650">
        <w:rPr>
          <w:color w:val="5F5F5F"/>
          <w:sz w:val="20"/>
          <w:szCs w:val="20"/>
        </w:rPr>
        <w:t>-geol</w:t>
      </w:r>
      <w:r w:rsidR="008553F5" w:rsidRPr="00567650">
        <w:rPr>
          <w:color w:val="5F5F5F"/>
          <w:sz w:val="20"/>
          <w:szCs w:val="20"/>
        </w:rPr>
        <w:t>ogical</w:t>
      </w:r>
      <w:r w:rsidRPr="00567650">
        <w:rPr>
          <w:color w:val="5F5F5F"/>
          <w:sz w:val="20"/>
          <w:szCs w:val="20"/>
        </w:rPr>
        <w:t xml:space="preserve"> risks to the containment of GHG substances within the formation consideration should be given to</w:t>
      </w:r>
      <w:r w:rsidR="00AD297D" w:rsidRPr="00567650">
        <w:rPr>
          <w:color w:val="5F5F5F"/>
          <w:sz w:val="20"/>
          <w:szCs w:val="20"/>
        </w:rPr>
        <w:t>:</w:t>
      </w:r>
    </w:p>
    <w:p w14:paraId="16AB8C8A" w14:textId="77777777" w:rsidR="001A63E8" w:rsidRPr="00567650" w:rsidRDefault="001A63E8" w:rsidP="001A63E8">
      <w:pPr>
        <w:pStyle w:val="Style2"/>
        <w:numPr>
          <w:ilvl w:val="0"/>
          <w:numId w:val="16"/>
        </w:numPr>
        <w:rPr>
          <w:lang w:val="en-AU"/>
        </w:rPr>
      </w:pPr>
      <w:r w:rsidRPr="00567650">
        <w:rPr>
          <w:lang w:val="en-AU"/>
        </w:rPr>
        <w:t xml:space="preserve">potential leakage </w:t>
      </w:r>
      <w:proofErr w:type="gramStart"/>
      <w:r w:rsidRPr="00567650">
        <w:rPr>
          <w:lang w:val="en-AU"/>
        </w:rPr>
        <w:t>routes;</w:t>
      </w:r>
      <w:proofErr w:type="gramEnd"/>
    </w:p>
    <w:p w14:paraId="0B7C5278" w14:textId="39F19A82" w:rsidR="001A63E8" w:rsidRPr="00567650" w:rsidRDefault="001A63E8" w:rsidP="001A63E8">
      <w:pPr>
        <w:pStyle w:val="Style2"/>
        <w:numPr>
          <w:ilvl w:val="0"/>
          <w:numId w:val="16"/>
        </w:numPr>
        <w:rPr>
          <w:szCs w:val="20"/>
          <w:lang w:val="en-AU"/>
        </w:rPr>
      </w:pPr>
      <w:r w:rsidRPr="00567650">
        <w:rPr>
          <w:szCs w:val="20"/>
          <w:lang w:val="en-AU"/>
        </w:rPr>
        <w:t xml:space="preserve">potential magnitude of leakage </w:t>
      </w:r>
      <w:proofErr w:type="gramStart"/>
      <w:r w:rsidRPr="00567650">
        <w:rPr>
          <w:szCs w:val="20"/>
          <w:lang w:val="en-AU"/>
        </w:rPr>
        <w:t>events;</w:t>
      </w:r>
      <w:proofErr w:type="gramEnd"/>
    </w:p>
    <w:p w14:paraId="650DCF05" w14:textId="5F0E799B" w:rsidR="006C7F2A" w:rsidRPr="00567650" w:rsidRDefault="00BE0DD2" w:rsidP="001A63E8">
      <w:pPr>
        <w:pStyle w:val="Style2"/>
        <w:numPr>
          <w:ilvl w:val="0"/>
          <w:numId w:val="16"/>
        </w:numPr>
        <w:rPr>
          <w:szCs w:val="20"/>
          <w:lang w:val="en-AU"/>
        </w:rPr>
      </w:pPr>
      <w:r w:rsidRPr="00567650">
        <w:rPr>
          <w:szCs w:val="20"/>
          <w:lang w:val="en-AU"/>
        </w:rPr>
        <w:t>impact of any impurities</w:t>
      </w:r>
      <w:r w:rsidR="00F9665E" w:rsidRPr="00567650">
        <w:rPr>
          <w:szCs w:val="20"/>
          <w:lang w:val="en-AU"/>
        </w:rPr>
        <w:t xml:space="preserve"> that will be contained in the GHG substances</w:t>
      </w:r>
      <w:r w:rsidR="00C05D9A" w:rsidRPr="00567650">
        <w:rPr>
          <w:szCs w:val="20"/>
          <w:lang w:val="en-AU"/>
        </w:rPr>
        <w:t xml:space="preserve"> on</w:t>
      </w:r>
      <w:r w:rsidR="001E6F4B" w:rsidRPr="00567650">
        <w:rPr>
          <w:szCs w:val="20"/>
          <w:lang w:val="en-AU"/>
        </w:rPr>
        <w:t xml:space="preserve"> the predicted phase behaviour</w:t>
      </w:r>
      <w:r w:rsidR="00F931BD" w:rsidRPr="00567650">
        <w:rPr>
          <w:szCs w:val="20"/>
          <w:lang w:val="en-AU"/>
        </w:rPr>
        <w:t xml:space="preserve"> and</w:t>
      </w:r>
      <w:r w:rsidR="00807751" w:rsidRPr="00567650">
        <w:rPr>
          <w:szCs w:val="20"/>
          <w:lang w:val="en-AU"/>
        </w:rPr>
        <w:t xml:space="preserve"> </w:t>
      </w:r>
      <w:r w:rsidR="001A3FE0" w:rsidRPr="00567650">
        <w:rPr>
          <w:szCs w:val="20"/>
          <w:lang w:val="en-AU"/>
        </w:rPr>
        <w:t>corr</w:t>
      </w:r>
      <w:r w:rsidR="00ED1559" w:rsidRPr="00567650">
        <w:rPr>
          <w:szCs w:val="20"/>
          <w:lang w:val="en-AU"/>
        </w:rPr>
        <w:t xml:space="preserve">osion </w:t>
      </w:r>
      <w:r w:rsidR="001428AC" w:rsidRPr="00567650">
        <w:rPr>
          <w:szCs w:val="20"/>
          <w:lang w:val="en-AU"/>
        </w:rPr>
        <w:t>potential on proposed</w:t>
      </w:r>
      <w:r w:rsidR="0061084A" w:rsidRPr="00567650">
        <w:rPr>
          <w:szCs w:val="20"/>
          <w:lang w:val="en-AU"/>
        </w:rPr>
        <w:t xml:space="preserve"> </w:t>
      </w:r>
      <w:r w:rsidR="00865F40" w:rsidRPr="00567650">
        <w:rPr>
          <w:szCs w:val="20"/>
          <w:lang w:val="en-AU"/>
        </w:rPr>
        <w:t>transport</w:t>
      </w:r>
      <w:r w:rsidR="008E6014" w:rsidRPr="00567650">
        <w:rPr>
          <w:szCs w:val="20"/>
          <w:lang w:val="en-AU"/>
        </w:rPr>
        <w:t xml:space="preserve">, </w:t>
      </w:r>
      <w:r w:rsidR="00865F40" w:rsidRPr="00567650">
        <w:rPr>
          <w:szCs w:val="20"/>
          <w:lang w:val="en-AU"/>
        </w:rPr>
        <w:t xml:space="preserve">facility </w:t>
      </w:r>
      <w:r w:rsidR="00DE2B5A" w:rsidRPr="00567650">
        <w:rPr>
          <w:szCs w:val="20"/>
          <w:lang w:val="en-AU"/>
        </w:rPr>
        <w:t>infrastructure</w:t>
      </w:r>
      <w:r w:rsidR="000B58EE" w:rsidRPr="00567650">
        <w:rPr>
          <w:szCs w:val="20"/>
          <w:lang w:val="en-AU"/>
        </w:rPr>
        <w:t xml:space="preserve"> and wells including the potential for escalation from corrosion</w:t>
      </w:r>
      <w:r w:rsidR="00E348D7" w:rsidRPr="00567650">
        <w:rPr>
          <w:szCs w:val="20"/>
          <w:lang w:val="en-AU"/>
        </w:rPr>
        <w:t>; and</w:t>
      </w:r>
    </w:p>
    <w:p w14:paraId="575806C6" w14:textId="77777777" w:rsidR="009A14BF" w:rsidRDefault="001A63E8" w:rsidP="63331B38">
      <w:pPr>
        <w:pStyle w:val="Style2"/>
        <w:numPr>
          <w:ilvl w:val="0"/>
          <w:numId w:val="7"/>
        </w:numPr>
        <w:rPr>
          <w:lang w:val="en-AU"/>
        </w:rPr>
      </w:pPr>
      <w:r w:rsidRPr="63331B38">
        <w:rPr>
          <w:lang w:val="en-AU"/>
        </w:rPr>
        <w:t>any factors which could pose a risk to human health or the environment including the effects of exposure to elevated GHG substance concentrations in the biosphere and the effects of other substances</w:t>
      </w:r>
      <w:r w:rsidR="004C2F54" w:rsidRPr="63331B38">
        <w:rPr>
          <w:lang w:val="en-AU"/>
        </w:rPr>
        <w:t>,</w:t>
      </w:r>
      <w:r w:rsidRPr="63331B38">
        <w:rPr>
          <w:lang w:val="en-AU"/>
        </w:rPr>
        <w:t xml:space="preserve"> </w:t>
      </w:r>
      <w:r w:rsidR="000B58EE" w:rsidRPr="63331B38">
        <w:rPr>
          <w:lang w:val="en-AU"/>
        </w:rPr>
        <w:t>such as impurities or entrained hydrocarbons</w:t>
      </w:r>
      <w:r w:rsidR="004C2F54" w:rsidRPr="63331B38">
        <w:rPr>
          <w:lang w:val="en-AU"/>
        </w:rPr>
        <w:t>,</w:t>
      </w:r>
      <w:r w:rsidR="000B58EE" w:rsidRPr="63331B38">
        <w:rPr>
          <w:lang w:val="en-AU"/>
        </w:rPr>
        <w:t xml:space="preserve"> </w:t>
      </w:r>
      <w:r w:rsidRPr="63331B38">
        <w:rPr>
          <w:lang w:val="en-AU"/>
        </w:rPr>
        <w:t>that may be present in the leaked GHG substance.</w:t>
      </w:r>
    </w:p>
    <w:p w14:paraId="3B746E81" w14:textId="5F11DEF8" w:rsidR="001A63E8" w:rsidRPr="00567650" w:rsidRDefault="009A14BF" w:rsidP="63331B38">
      <w:pPr>
        <w:pStyle w:val="Style2"/>
        <w:numPr>
          <w:ilvl w:val="0"/>
          <w:numId w:val="7"/>
        </w:numPr>
        <w:rPr>
          <w:lang w:val="en-AU"/>
        </w:rPr>
      </w:pPr>
      <w:r w:rsidRPr="00793E08">
        <w:rPr>
          <w:b/>
          <w:bCs/>
          <w:lang w:val="en-AU"/>
        </w:rPr>
        <w:t>N</w:t>
      </w:r>
      <w:r w:rsidR="000C54E9" w:rsidRPr="00793E08">
        <w:rPr>
          <w:b/>
          <w:bCs/>
          <w:lang w:val="en-AU"/>
        </w:rPr>
        <w:t>ote</w:t>
      </w:r>
      <w:r w:rsidR="000C54E9">
        <w:rPr>
          <w:lang w:val="en-AU"/>
        </w:rPr>
        <w:t>: E</w:t>
      </w:r>
      <w:r w:rsidR="00123755" w:rsidRPr="63331B38">
        <w:rPr>
          <w:lang w:val="en-AU"/>
        </w:rPr>
        <w:t>nvironmental</w:t>
      </w:r>
      <w:r w:rsidR="000B56AB" w:rsidRPr="63331B38">
        <w:rPr>
          <w:lang w:val="en-AU"/>
        </w:rPr>
        <w:t xml:space="preserve"> risks are </w:t>
      </w:r>
      <w:r w:rsidR="00AA1C6B" w:rsidRPr="63331B38">
        <w:rPr>
          <w:lang w:val="en-AU"/>
        </w:rPr>
        <w:t>covered under</w:t>
      </w:r>
      <w:r w:rsidR="00ED027C" w:rsidRPr="63331B38">
        <w:rPr>
          <w:lang w:val="en-AU"/>
        </w:rPr>
        <w:t xml:space="preserve"> </w:t>
      </w:r>
      <w:r w:rsidR="00000DF5" w:rsidRPr="63331B38">
        <w:rPr>
          <w:lang w:val="en-AU"/>
        </w:rPr>
        <w:t xml:space="preserve">the </w:t>
      </w:r>
      <w:r w:rsidR="00000DF5" w:rsidRPr="00793E08">
        <w:rPr>
          <w:i/>
          <w:iCs/>
          <w:lang w:val="en-AU"/>
        </w:rPr>
        <w:t xml:space="preserve">Offshore Petroleum </w:t>
      </w:r>
      <w:r w:rsidR="00CB1173" w:rsidRPr="00793E08">
        <w:rPr>
          <w:i/>
          <w:iCs/>
          <w:lang w:val="en-AU"/>
        </w:rPr>
        <w:t>and Greenhouse Gas</w:t>
      </w:r>
      <w:r w:rsidR="00A70DF9" w:rsidRPr="00793E08">
        <w:rPr>
          <w:i/>
          <w:iCs/>
          <w:lang w:val="en-AU"/>
        </w:rPr>
        <w:t xml:space="preserve"> Storage (Environment) </w:t>
      </w:r>
      <w:r w:rsidR="00FC5200" w:rsidRPr="00793E08">
        <w:rPr>
          <w:i/>
          <w:iCs/>
          <w:lang w:val="en-AU"/>
        </w:rPr>
        <w:t>Regulations</w:t>
      </w:r>
      <w:r w:rsidR="00EC6A7C" w:rsidRPr="00793E08">
        <w:rPr>
          <w:i/>
          <w:iCs/>
          <w:lang w:val="en-AU"/>
        </w:rPr>
        <w:t xml:space="preserve"> 2023</w:t>
      </w:r>
      <w:r w:rsidR="00DB2438" w:rsidRPr="63331B38">
        <w:rPr>
          <w:lang w:val="en-AU"/>
        </w:rPr>
        <w:t xml:space="preserve"> and</w:t>
      </w:r>
      <w:r w:rsidR="00FE1225" w:rsidRPr="63331B38">
        <w:rPr>
          <w:lang w:val="en-AU"/>
        </w:rPr>
        <w:t xml:space="preserve"> are requirements </w:t>
      </w:r>
      <w:r w:rsidR="00256EB0" w:rsidRPr="63331B38">
        <w:rPr>
          <w:lang w:val="en-AU"/>
        </w:rPr>
        <w:t>for environmental plans</w:t>
      </w:r>
      <w:r w:rsidR="000C54E9">
        <w:rPr>
          <w:lang w:val="en-AU"/>
        </w:rPr>
        <w:t>.</w:t>
      </w:r>
      <w:r w:rsidR="00455D56" w:rsidRPr="63331B38">
        <w:rPr>
          <w:lang w:val="en-AU"/>
        </w:rPr>
        <w:t xml:space="preserve"> </w:t>
      </w:r>
      <w:r w:rsidR="000C54E9">
        <w:rPr>
          <w:lang w:val="en-AU"/>
        </w:rPr>
        <w:t>R</w:t>
      </w:r>
      <w:r w:rsidR="00455D56" w:rsidRPr="63331B38">
        <w:rPr>
          <w:lang w:val="en-AU"/>
        </w:rPr>
        <w:t xml:space="preserve">isks </w:t>
      </w:r>
      <w:r w:rsidR="00E17AC7" w:rsidRPr="63331B38">
        <w:rPr>
          <w:lang w:val="en-AU"/>
        </w:rPr>
        <w:t xml:space="preserve">to human </w:t>
      </w:r>
      <w:r w:rsidR="00D8086E" w:rsidRPr="63331B38">
        <w:rPr>
          <w:lang w:val="en-AU"/>
        </w:rPr>
        <w:t xml:space="preserve">health and environment </w:t>
      </w:r>
      <w:r w:rsidR="00E579C1" w:rsidRPr="63331B38">
        <w:rPr>
          <w:lang w:val="en-AU"/>
        </w:rPr>
        <w:t>need to be considered</w:t>
      </w:r>
      <w:r w:rsidR="00CD2C5A" w:rsidRPr="63331B38">
        <w:rPr>
          <w:lang w:val="en-AU"/>
        </w:rPr>
        <w:t xml:space="preserve"> in the risk</w:t>
      </w:r>
      <w:r w:rsidR="00BE2E4D" w:rsidRPr="63331B38">
        <w:rPr>
          <w:lang w:val="en-AU"/>
        </w:rPr>
        <w:t xml:space="preserve"> assessment</w:t>
      </w:r>
      <w:r w:rsidR="00E579C1" w:rsidRPr="63331B38">
        <w:rPr>
          <w:lang w:val="en-AU"/>
        </w:rPr>
        <w:t xml:space="preserve"> </w:t>
      </w:r>
      <w:r w:rsidR="00CD3CDA" w:rsidRPr="63331B38">
        <w:rPr>
          <w:lang w:val="en-AU"/>
        </w:rPr>
        <w:t>to ensure</w:t>
      </w:r>
      <w:r w:rsidR="00E579C1" w:rsidRPr="63331B38">
        <w:rPr>
          <w:lang w:val="en-AU"/>
        </w:rPr>
        <w:t xml:space="preserve"> that </w:t>
      </w:r>
      <w:r w:rsidR="00C67EB9" w:rsidRPr="63331B38">
        <w:rPr>
          <w:lang w:val="en-AU"/>
        </w:rPr>
        <w:t>the monitoring plan can</w:t>
      </w:r>
      <w:r w:rsidR="00B3655B" w:rsidRPr="63331B38">
        <w:rPr>
          <w:lang w:val="en-AU"/>
        </w:rPr>
        <w:t xml:space="preserve"> be developed </w:t>
      </w:r>
      <w:r w:rsidR="00D25320" w:rsidRPr="63331B38">
        <w:rPr>
          <w:lang w:val="en-AU"/>
        </w:rPr>
        <w:t>to all</w:t>
      </w:r>
      <w:r w:rsidR="00CD3CDA" w:rsidRPr="63331B38">
        <w:rPr>
          <w:lang w:val="en-AU"/>
        </w:rPr>
        <w:t>o</w:t>
      </w:r>
      <w:r w:rsidR="00D25320" w:rsidRPr="63331B38">
        <w:rPr>
          <w:lang w:val="en-AU"/>
        </w:rPr>
        <w:t xml:space="preserve">w </w:t>
      </w:r>
      <w:r w:rsidR="00CD3CDA" w:rsidRPr="63331B38">
        <w:rPr>
          <w:lang w:val="en-AU"/>
        </w:rPr>
        <w:t xml:space="preserve">early </w:t>
      </w:r>
      <w:r w:rsidR="00D25320" w:rsidRPr="63331B38">
        <w:rPr>
          <w:lang w:val="en-AU"/>
        </w:rPr>
        <w:t>detect</w:t>
      </w:r>
      <w:r w:rsidR="008F75CD" w:rsidRPr="63331B38">
        <w:rPr>
          <w:lang w:val="en-AU"/>
        </w:rPr>
        <w:t>ion</w:t>
      </w:r>
      <w:r w:rsidR="00CD3CDA" w:rsidRPr="63331B38">
        <w:rPr>
          <w:lang w:val="en-AU"/>
        </w:rPr>
        <w:t xml:space="preserve"> and mitigation.</w:t>
      </w:r>
    </w:p>
    <w:p w14:paraId="4E8ACE8D" w14:textId="415D4357" w:rsidR="00816942" w:rsidRPr="00567650" w:rsidRDefault="00816942" w:rsidP="00042C44">
      <w:pPr>
        <w:tabs>
          <w:tab w:val="left" w:pos="284"/>
        </w:tabs>
        <w:rPr>
          <w:color w:val="5F5F5F"/>
          <w:sz w:val="20"/>
          <w:szCs w:val="20"/>
        </w:rPr>
      </w:pPr>
      <w:r w:rsidRPr="00567650">
        <w:rPr>
          <w:color w:val="5F5F5F"/>
          <w:sz w:val="20"/>
          <w:szCs w:val="20"/>
        </w:rPr>
        <w:t>The risk assessment also includes information about potential risks to the containment of GHG substances</w:t>
      </w:r>
      <w:r w:rsidR="00E1514D" w:rsidRPr="00567650">
        <w:rPr>
          <w:color w:val="5F5F5F"/>
          <w:sz w:val="20"/>
          <w:szCs w:val="20"/>
        </w:rPr>
        <w:t>,</w:t>
      </w:r>
      <w:r w:rsidR="00905328" w:rsidRPr="00567650">
        <w:rPr>
          <w:color w:val="5F5F5F"/>
          <w:sz w:val="20"/>
          <w:szCs w:val="20"/>
        </w:rPr>
        <w:t xml:space="preserve"> such as </w:t>
      </w:r>
      <w:r w:rsidR="006C0965" w:rsidRPr="00567650">
        <w:rPr>
          <w:color w:val="5F5F5F"/>
          <w:sz w:val="20"/>
          <w:szCs w:val="20"/>
        </w:rPr>
        <w:t>leakage from a well bore,</w:t>
      </w:r>
      <w:r w:rsidR="00930789" w:rsidRPr="00567650">
        <w:rPr>
          <w:color w:val="5F5F5F"/>
          <w:sz w:val="20"/>
          <w:szCs w:val="20"/>
        </w:rPr>
        <w:t xml:space="preserve"> </w:t>
      </w:r>
      <w:r w:rsidR="006C0965" w:rsidRPr="00567650">
        <w:rPr>
          <w:color w:val="5F5F5F"/>
          <w:sz w:val="20"/>
          <w:szCs w:val="20"/>
        </w:rPr>
        <w:t>during transport</w:t>
      </w:r>
      <w:r w:rsidR="00930789" w:rsidRPr="00567650">
        <w:rPr>
          <w:color w:val="5F5F5F"/>
          <w:sz w:val="20"/>
          <w:szCs w:val="20"/>
        </w:rPr>
        <w:t xml:space="preserve"> or at the point of injection</w:t>
      </w:r>
      <w:r w:rsidR="00E1514D" w:rsidRPr="00567650">
        <w:rPr>
          <w:color w:val="5F5F5F"/>
          <w:sz w:val="20"/>
          <w:szCs w:val="20"/>
        </w:rPr>
        <w:t xml:space="preserve"> or abandoned wells</w:t>
      </w:r>
      <w:r w:rsidR="001C648D" w:rsidRPr="00567650">
        <w:rPr>
          <w:color w:val="5F5F5F"/>
          <w:sz w:val="20"/>
          <w:szCs w:val="20"/>
        </w:rPr>
        <w:t xml:space="preserve"> that could adversely affect the formation</w:t>
      </w:r>
      <w:r w:rsidRPr="00567650">
        <w:rPr>
          <w:color w:val="5F5F5F"/>
          <w:sz w:val="20"/>
          <w:szCs w:val="20"/>
        </w:rPr>
        <w:t xml:space="preserve">, that were not included in </w:t>
      </w:r>
      <w:r w:rsidRPr="00567650">
        <w:rPr>
          <w:color w:val="5F5F5F"/>
          <w:sz w:val="20"/>
          <w:szCs w:val="20"/>
        </w:rPr>
        <w:lastRenderedPageBreak/>
        <w:t xml:space="preserve">the DoSF, but have been identified as part of the site plan and proposed strategies for the elimination or reduction </w:t>
      </w:r>
      <w:r w:rsidR="004C2F54" w:rsidRPr="00567650">
        <w:rPr>
          <w:color w:val="5F5F5F"/>
          <w:sz w:val="20"/>
          <w:szCs w:val="20"/>
        </w:rPr>
        <w:t xml:space="preserve">of those risks </w:t>
      </w:r>
      <w:r w:rsidRPr="00567650">
        <w:rPr>
          <w:color w:val="5F5F5F"/>
          <w:sz w:val="20"/>
          <w:szCs w:val="20"/>
        </w:rPr>
        <w:t>to ALARP.</w:t>
      </w:r>
    </w:p>
    <w:p w14:paraId="673BC9D5" w14:textId="661A855B" w:rsidR="00B345F7" w:rsidRPr="00567650" w:rsidRDefault="00734970" w:rsidP="00B345F7">
      <w:pPr>
        <w:tabs>
          <w:tab w:val="left" w:pos="284"/>
        </w:tabs>
        <w:rPr>
          <w:color w:val="5F5F5F"/>
          <w:sz w:val="20"/>
          <w:szCs w:val="20"/>
        </w:rPr>
      </w:pPr>
      <w:r w:rsidRPr="00567650">
        <w:rPr>
          <w:color w:val="5F5F5F"/>
          <w:sz w:val="20"/>
          <w:szCs w:val="20"/>
        </w:rPr>
        <w:t>This information is</w:t>
      </w:r>
      <w:r w:rsidR="00B345F7" w:rsidRPr="00567650">
        <w:rPr>
          <w:color w:val="5F5F5F"/>
          <w:sz w:val="20"/>
          <w:szCs w:val="20"/>
        </w:rPr>
        <w:t xml:space="preserve"> critical to demonstrate that the proposed approach to the design and implementation of the project will manage risks to ALARP when compared to other development options. Applicants should show that they have undertaken preliminary major accident events and safety integrity level assessments</w:t>
      </w:r>
      <w:r w:rsidR="00276703" w:rsidRPr="00567650">
        <w:rPr>
          <w:color w:val="5F5F5F"/>
          <w:sz w:val="20"/>
          <w:szCs w:val="20"/>
        </w:rPr>
        <w:t xml:space="preserve"> and have identified control measures and performance standards</w:t>
      </w:r>
      <w:r w:rsidR="00B345F7" w:rsidRPr="00567650">
        <w:rPr>
          <w:color w:val="5F5F5F"/>
          <w:sz w:val="20"/>
          <w:szCs w:val="20"/>
        </w:rPr>
        <w:t xml:space="preserve"> to underpin this evaluation.</w:t>
      </w:r>
    </w:p>
    <w:p w14:paraId="6518F90D" w14:textId="4C0F08C9" w:rsidR="00D255C5" w:rsidRPr="00567650" w:rsidRDefault="00E6682D" w:rsidP="00726C58">
      <w:pPr>
        <w:pStyle w:val="Heading3"/>
      </w:pPr>
      <w:r w:rsidRPr="00567650">
        <w:t xml:space="preserve">iii) </w:t>
      </w:r>
      <w:r w:rsidR="00D255C5" w:rsidRPr="00567650">
        <w:t>Engineering enhancements</w:t>
      </w:r>
    </w:p>
    <w:p w14:paraId="21F86499" w14:textId="49BF6A76" w:rsidR="00D255C5" w:rsidRPr="00567650" w:rsidRDefault="00D15FD4" w:rsidP="0018789C">
      <w:pPr>
        <w:spacing w:before="120" w:after="120"/>
        <w:rPr>
          <w:rFonts w:cstheme="minorHAnsi"/>
          <w:color w:val="5F5F5F"/>
          <w:sz w:val="20"/>
          <w:lang w:eastAsia="en-AU"/>
        </w:rPr>
      </w:pPr>
      <w:r w:rsidRPr="00567650">
        <w:rPr>
          <w:rFonts w:cstheme="minorHAnsi"/>
          <w:color w:val="5F5F5F"/>
          <w:sz w:val="20"/>
          <w:lang w:eastAsia="en-AU"/>
        </w:rPr>
        <w:t>Engineering enhancements are any engineering solutions to change the current conditions of the storage formation to facilitate the injectivity and containment of GHG substances.</w:t>
      </w:r>
      <w:r w:rsidR="00E75372" w:rsidRPr="00567650">
        <w:rPr>
          <w:rFonts w:cstheme="minorHAnsi"/>
          <w:color w:val="5F5F5F"/>
          <w:sz w:val="20"/>
          <w:lang w:eastAsia="en-AU"/>
        </w:rPr>
        <w:t xml:space="preserve"> </w:t>
      </w:r>
      <w:r w:rsidR="00D255C5" w:rsidRPr="00567650">
        <w:rPr>
          <w:rFonts w:cstheme="minorHAnsi"/>
          <w:color w:val="5F5F5F"/>
          <w:sz w:val="20"/>
          <w:lang w:eastAsia="en-AU"/>
        </w:rPr>
        <w:t xml:space="preserve">If the fundamental suitability determinants set out in the declaration of identified </w:t>
      </w:r>
      <w:r w:rsidR="004C2F54" w:rsidRPr="00567650">
        <w:rPr>
          <w:rFonts w:cstheme="minorHAnsi"/>
          <w:color w:val="5F5F5F"/>
          <w:sz w:val="20"/>
          <w:lang w:eastAsia="en-AU"/>
        </w:rPr>
        <w:t>GHG</w:t>
      </w:r>
      <w:r w:rsidR="00D255C5" w:rsidRPr="00567650">
        <w:rPr>
          <w:rFonts w:cstheme="minorHAnsi"/>
          <w:color w:val="5F5F5F"/>
          <w:sz w:val="20"/>
          <w:lang w:eastAsia="en-AU"/>
        </w:rPr>
        <w:t xml:space="preserve"> storage formation application (in section</w:t>
      </w:r>
      <w:r w:rsidR="0055772E" w:rsidRPr="00567650">
        <w:rPr>
          <w:rFonts w:cstheme="minorHAnsi"/>
          <w:color w:val="5F5F5F"/>
          <w:sz w:val="20"/>
          <w:lang w:eastAsia="en-AU"/>
        </w:rPr>
        <w:t>s</w:t>
      </w:r>
      <w:r w:rsidR="00D255C5" w:rsidRPr="00567650">
        <w:rPr>
          <w:rFonts w:cstheme="minorHAnsi"/>
          <w:color w:val="5F5F5F"/>
          <w:sz w:val="20"/>
          <w:lang w:eastAsia="en-AU"/>
        </w:rPr>
        <w:t xml:space="preserve"> 312</w:t>
      </w:r>
      <w:r w:rsidR="0055772E" w:rsidRPr="00567650">
        <w:rPr>
          <w:rFonts w:cstheme="minorHAnsi"/>
          <w:color w:val="5F5F5F"/>
          <w:sz w:val="20"/>
          <w:lang w:eastAsia="en-AU"/>
        </w:rPr>
        <w:t xml:space="preserve"> and </w:t>
      </w:r>
      <w:r w:rsidR="00D255C5" w:rsidRPr="00567650">
        <w:rPr>
          <w:rFonts w:cstheme="minorHAnsi"/>
          <w:color w:val="5F5F5F"/>
          <w:sz w:val="20"/>
          <w:lang w:eastAsia="en-AU"/>
        </w:rPr>
        <w:t xml:space="preserve">312A </w:t>
      </w:r>
      <w:r w:rsidR="0055772E" w:rsidRPr="00567650">
        <w:rPr>
          <w:rFonts w:cstheme="minorHAnsi"/>
          <w:color w:val="5F5F5F"/>
          <w:sz w:val="20"/>
          <w:lang w:eastAsia="en-AU"/>
        </w:rPr>
        <w:t xml:space="preserve">of the </w:t>
      </w:r>
      <w:r w:rsidR="00D255C5" w:rsidRPr="00567650">
        <w:rPr>
          <w:rFonts w:cstheme="minorHAnsi"/>
          <w:color w:val="5F5F5F"/>
          <w:sz w:val="20"/>
          <w:lang w:eastAsia="en-AU"/>
        </w:rPr>
        <w:t>OPGGS Act) include engineering enhancements, the risk assessment will include a description of</w:t>
      </w:r>
      <w:r w:rsidR="00D255C5" w:rsidRPr="00567650">
        <w:t xml:space="preserve"> </w:t>
      </w:r>
      <w:r w:rsidR="00D255C5" w:rsidRPr="00567650">
        <w:rPr>
          <w:rFonts w:cstheme="minorHAnsi"/>
          <w:color w:val="5F5F5F"/>
          <w:sz w:val="20"/>
          <w:lang w:eastAsia="en-AU"/>
        </w:rPr>
        <w:t xml:space="preserve">those engineering enhancements set out in sufficient detail to demonstrate that, taking into account those enhancements, the risks relating to the containment of the </w:t>
      </w:r>
      <w:r w:rsidR="004C2F54" w:rsidRPr="00567650">
        <w:rPr>
          <w:rFonts w:cstheme="minorHAnsi"/>
          <w:color w:val="5F5F5F"/>
          <w:sz w:val="20"/>
          <w:lang w:eastAsia="en-AU"/>
        </w:rPr>
        <w:t xml:space="preserve">GHG </w:t>
      </w:r>
      <w:r w:rsidR="00D255C5" w:rsidRPr="00567650">
        <w:rPr>
          <w:rFonts w:cstheme="minorHAnsi"/>
          <w:color w:val="5F5F5F"/>
          <w:sz w:val="20"/>
          <w:lang w:eastAsia="en-AU"/>
        </w:rPr>
        <w:t xml:space="preserve">substance to be stored in the part of the geological formation are likely to be acceptable. </w:t>
      </w:r>
    </w:p>
    <w:p w14:paraId="50FAEAFA" w14:textId="5E6DA438" w:rsidR="00E55E83" w:rsidRPr="00567650" w:rsidRDefault="00E55E83" w:rsidP="00726C58">
      <w:pPr>
        <w:pStyle w:val="Heading3"/>
      </w:pPr>
      <w:bookmarkStart w:id="1" w:name="_Hlk170201597"/>
      <w:r w:rsidRPr="00567650">
        <w:t xml:space="preserve">iv) Facility Design </w:t>
      </w:r>
      <w:r w:rsidR="004564B4" w:rsidRPr="00567650">
        <w:t xml:space="preserve">and </w:t>
      </w:r>
      <w:r w:rsidR="00E2215D" w:rsidRPr="00567650">
        <w:t>Structural Integrity</w:t>
      </w:r>
    </w:p>
    <w:p w14:paraId="10F857DC" w14:textId="44E8C5F6" w:rsidR="00E55E83" w:rsidRPr="00567650" w:rsidRDefault="00E55E83" w:rsidP="0018789C">
      <w:pPr>
        <w:spacing w:before="120" w:after="120"/>
        <w:rPr>
          <w:rFonts w:cstheme="minorHAnsi"/>
          <w:color w:val="5F5F5F"/>
          <w:sz w:val="20"/>
          <w:lang w:eastAsia="en-AU"/>
        </w:rPr>
      </w:pPr>
      <w:r w:rsidRPr="00567650">
        <w:rPr>
          <w:rFonts w:cstheme="minorHAnsi"/>
          <w:color w:val="5F5F5F"/>
          <w:sz w:val="20"/>
          <w:lang w:eastAsia="en-AU"/>
        </w:rPr>
        <w:t xml:space="preserve">Facility risk assessment </w:t>
      </w:r>
      <w:r w:rsidR="00CF4858" w:rsidRPr="00567650">
        <w:rPr>
          <w:rFonts w:cstheme="minorHAnsi"/>
          <w:color w:val="5F5F5F"/>
          <w:sz w:val="20"/>
          <w:lang w:eastAsia="en-AU"/>
        </w:rPr>
        <w:t xml:space="preserve">is part of the </w:t>
      </w:r>
      <w:r w:rsidR="00F74134" w:rsidRPr="00567650">
        <w:rPr>
          <w:rFonts w:cstheme="minorHAnsi"/>
          <w:color w:val="5F5F5F"/>
          <w:sz w:val="20"/>
          <w:lang w:eastAsia="en-AU"/>
        </w:rPr>
        <w:t>safety case risk assessment</w:t>
      </w:r>
      <w:r w:rsidR="00F71642" w:rsidRPr="00567650">
        <w:rPr>
          <w:rFonts w:cstheme="minorHAnsi"/>
          <w:color w:val="5F5F5F"/>
          <w:sz w:val="20"/>
          <w:lang w:eastAsia="en-AU"/>
        </w:rPr>
        <w:t xml:space="preserve"> </w:t>
      </w:r>
      <w:r w:rsidR="001C03CB" w:rsidRPr="00567650">
        <w:rPr>
          <w:rFonts w:cstheme="minorHAnsi"/>
          <w:color w:val="5F5F5F"/>
          <w:sz w:val="20"/>
          <w:lang w:eastAsia="en-AU"/>
        </w:rPr>
        <w:t xml:space="preserve">assessed by NOPSEMA </w:t>
      </w:r>
      <w:r w:rsidR="00F71642" w:rsidRPr="00567650">
        <w:rPr>
          <w:rFonts w:cstheme="minorHAnsi"/>
          <w:color w:val="5F5F5F"/>
          <w:sz w:val="20"/>
          <w:lang w:eastAsia="en-AU"/>
        </w:rPr>
        <w:t xml:space="preserve">and </w:t>
      </w:r>
      <w:r w:rsidRPr="00567650">
        <w:rPr>
          <w:rFonts w:cstheme="minorHAnsi"/>
          <w:color w:val="5F5F5F"/>
          <w:sz w:val="20"/>
          <w:lang w:eastAsia="en-AU"/>
        </w:rPr>
        <w:t xml:space="preserve">should demonstrate that the risks associated with the proposed concept have been considered and studied sufficiently to demonstrate that the risks have been reduced to ALARP and are of an acceptable level. </w:t>
      </w:r>
    </w:p>
    <w:p w14:paraId="253688F8" w14:textId="787655BC" w:rsidR="00E55E83" w:rsidRPr="00567650" w:rsidRDefault="00E55E83" w:rsidP="0018789C">
      <w:pPr>
        <w:spacing w:before="120" w:after="120"/>
        <w:rPr>
          <w:rFonts w:cstheme="minorHAnsi"/>
          <w:color w:val="5F5F5F"/>
          <w:sz w:val="20"/>
          <w:lang w:eastAsia="en-AU"/>
        </w:rPr>
      </w:pPr>
      <w:r w:rsidRPr="00567650">
        <w:rPr>
          <w:rFonts w:cstheme="minorHAnsi"/>
          <w:color w:val="5F5F5F"/>
          <w:sz w:val="20"/>
          <w:lang w:eastAsia="en-AU"/>
        </w:rPr>
        <w:t>This should include, but not</w:t>
      </w:r>
      <w:r w:rsidR="009E07B0" w:rsidRPr="00567650">
        <w:rPr>
          <w:rFonts w:cstheme="minorHAnsi"/>
          <w:color w:val="5F5F5F"/>
          <w:sz w:val="20"/>
          <w:lang w:eastAsia="en-AU"/>
        </w:rPr>
        <w:t xml:space="preserve"> be</w:t>
      </w:r>
      <w:r w:rsidRPr="00567650">
        <w:rPr>
          <w:rFonts w:cstheme="minorHAnsi"/>
          <w:color w:val="5F5F5F"/>
          <w:sz w:val="20"/>
          <w:lang w:eastAsia="en-AU"/>
        </w:rPr>
        <w:t xml:space="preserve"> limited to:</w:t>
      </w:r>
    </w:p>
    <w:p w14:paraId="036C9597" w14:textId="4BFF2ED6" w:rsidR="00E55E83" w:rsidRPr="00567650" w:rsidRDefault="0055772E" w:rsidP="00E55E83">
      <w:pPr>
        <w:pStyle w:val="Style2"/>
        <w:numPr>
          <w:ilvl w:val="0"/>
          <w:numId w:val="16"/>
        </w:numPr>
        <w:rPr>
          <w:lang w:val="en-AU"/>
        </w:rPr>
      </w:pPr>
      <w:r w:rsidRPr="00567650">
        <w:rPr>
          <w:lang w:val="en-AU"/>
        </w:rPr>
        <w:t>c</w:t>
      </w:r>
      <w:r w:rsidR="00E55E83" w:rsidRPr="00567650">
        <w:rPr>
          <w:lang w:val="en-AU"/>
        </w:rPr>
        <w:t xml:space="preserve">omparative risk assessment of the proposed concept and suitable </w:t>
      </w:r>
      <w:proofErr w:type="gramStart"/>
      <w:r w:rsidR="00E55E83" w:rsidRPr="00567650">
        <w:rPr>
          <w:lang w:val="en-AU"/>
        </w:rPr>
        <w:t>alternatives</w:t>
      </w:r>
      <w:r w:rsidRPr="00567650">
        <w:rPr>
          <w:lang w:val="en-AU"/>
        </w:rPr>
        <w:t>;</w:t>
      </w:r>
      <w:proofErr w:type="gramEnd"/>
    </w:p>
    <w:p w14:paraId="63F87C09" w14:textId="064052F8" w:rsidR="00E55E83" w:rsidRPr="00567650" w:rsidRDefault="0055772E" w:rsidP="00E55E83">
      <w:pPr>
        <w:pStyle w:val="Style2"/>
        <w:numPr>
          <w:ilvl w:val="0"/>
          <w:numId w:val="16"/>
        </w:numPr>
        <w:rPr>
          <w:lang w:val="en-AU"/>
        </w:rPr>
      </w:pPr>
      <w:r w:rsidRPr="00567650">
        <w:rPr>
          <w:lang w:val="en-AU"/>
        </w:rPr>
        <w:t>r</w:t>
      </w:r>
      <w:r w:rsidR="00E55E83" w:rsidRPr="00567650">
        <w:rPr>
          <w:lang w:val="en-AU"/>
        </w:rPr>
        <w:t xml:space="preserve">isks associated with reuse of infrastructure, informed by current condition, and life extension </w:t>
      </w:r>
      <w:proofErr w:type="gramStart"/>
      <w:r w:rsidR="00E55E83" w:rsidRPr="00567650">
        <w:rPr>
          <w:lang w:val="en-AU"/>
        </w:rPr>
        <w:t>studies</w:t>
      </w:r>
      <w:r w:rsidRPr="00567650">
        <w:rPr>
          <w:lang w:val="en-AU"/>
        </w:rPr>
        <w:t>;</w:t>
      </w:r>
      <w:proofErr w:type="gramEnd"/>
    </w:p>
    <w:p w14:paraId="0FABC24A" w14:textId="7DD7E3D5" w:rsidR="00E55E83" w:rsidRPr="00567650" w:rsidRDefault="0055772E" w:rsidP="005C00D0">
      <w:pPr>
        <w:pStyle w:val="Style2"/>
        <w:numPr>
          <w:ilvl w:val="0"/>
          <w:numId w:val="16"/>
        </w:numPr>
        <w:rPr>
          <w:lang w:val="en-AU"/>
        </w:rPr>
      </w:pPr>
      <w:r w:rsidRPr="00567650">
        <w:rPr>
          <w:lang w:val="en-AU"/>
        </w:rPr>
        <w:t>r</w:t>
      </w:r>
      <w:r w:rsidR="00E55E83" w:rsidRPr="00567650">
        <w:rPr>
          <w:lang w:val="en-AU"/>
        </w:rPr>
        <w:t xml:space="preserve">isks of failure of key elements of structural integrity as defined in </w:t>
      </w:r>
      <w:r w:rsidR="005C00D0" w:rsidRPr="00567650">
        <w:rPr>
          <w:lang w:val="en-AU"/>
        </w:rPr>
        <w:t xml:space="preserve">Part 1.2, Division 1, Section 7 </w:t>
      </w:r>
      <w:r w:rsidR="00E55E83" w:rsidRPr="00567650">
        <w:rPr>
          <w:lang w:val="en-AU"/>
        </w:rPr>
        <w:t xml:space="preserve">of the </w:t>
      </w:r>
      <w:r w:rsidR="00886FB3" w:rsidRPr="00567650">
        <w:rPr>
          <w:lang w:val="en-AU"/>
        </w:rPr>
        <w:t xml:space="preserve">OPGGS </w:t>
      </w:r>
      <w:r w:rsidR="00E55E83" w:rsidRPr="00567650">
        <w:rPr>
          <w:lang w:val="en-AU"/>
        </w:rPr>
        <w:t>Act</w:t>
      </w:r>
      <w:r w:rsidRPr="00567650">
        <w:rPr>
          <w:lang w:val="en-AU"/>
        </w:rPr>
        <w:t>; and</w:t>
      </w:r>
    </w:p>
    <w:p w14:paraId="07133DE8" w14:textId="77777777" w:rsidR="00B9166D" w:rsidRPr="00567650" w:rsidRDefault="0055772E" w:rsidP="00B9166D">
      <w:pPr>
        <w:pStyle w:val="Style2"/>
        <w:numPr>
          <w:ilvl w:val="0"/>
          <w:numId w:val="16"/>
        </w:numPr>
        <w:rPr>
          <w:lang w:val="en-AU"/>
        </w:rPr>
      </w:pPr>
      <w:r w:rsidRPr="00567650">
        <w:rPr>
          <w:lang w:val="en-AU"/>
        </w:rPr>
        <w:t>r</w:t>
      </w:r>
      <w:r w:rsidR="00E55E83" w:rsidRPr="00567650">
        <w:rPr>
          <w:lang w:val="en-AU"/>
        </w:rPr>
        <w:t>isks associated with transient conditions, including potential process upsets and normal integrity testing and intrusive maintenance.</w:t>
      </w:r>
      <w:bookmarkEnd w:id="1"/>
    </w:p>
    <w:p w14:paraId="668C59DA" w14:textId="0FC77826" w:rsidR="00540878" w:rsidRPr="00567650" w:rsidRDefault="00E6682D" w:rsidP="00726C58">
      <w:pPr>
        <w:pStyle w:val="Heading3"/>
      </w:pPr>
      <w:r w:rsidRPr="00567650">
        <w:t xml:space="preserve">v) </w:t>
      </w:r>
      <w:r w:rsidR="00540878" w:rsidRPr="00567650">
        <w:t>Monitorability risks</w:t>
      </w:r>
    </w:p>
    <w:p w14:paraId="315FE07B" w14:textId="77777777" w:rsidR="00540878" w:rsidRPr="00567650" w:rsidRDefault="00540878" w:rsidP="00540878">
      <w:pPr>
        <w:spacing w:before="120" w:after="120"/>
        <w:rPr>
          <w:rFonts w:cstheme="minorHAnsi"/>
          <w:color w:val="5F5F5F"/>
          <w:sz w:val="20"/>
          <w:lang w:eastAsia="en-AU"/>
        </w:rPr>
      </w:pPr>
      <w:r w:rsidRPr="00567650">
        <w:rPr>
          <w:rFonts w:cstheme="minorHAnsi"/>
          <w:color w:val="5F5F5F"/>
          <w:sz w:val="20"/>
          <w:lang w:eastAsia="en-AU"/>
        </w:rPr>
        <w:t>Monitorability risk is where the system cannot be monitored to provide the required degree of assurance that the stored GHG substances are behaving as predicted.</w:t>
      </w:r>
    </w:p>
    <w:p w14:paraId="463391D2" w14:textId="2CBEA0FE" w:rsidR="00540878" w:rsidRPr="00567650" w:rsidRDefault="00540878" w:rsidP="00540878">
      <w:pPr>
        <w:spacing w:before="120" w:after="120"/>
        <w:rPr>
          <w:rFonts w:cstheme="minorHAnsi"/>
          <w:color w:val="5F5F5F"/>
          <w:sz w:val="20"/>
          <w:lang w:eastAsia="en-AU"/>
        </w:rPr>
      </w:pPr>
      <w:r w:rsidRPr="00567650">
        <w:rPr>
          <w:rFonts w:cstheme="minorHAnsi"/>
          <w:color w:val="5F5F5F"/>
          <w:sz w:val="20"/>
          <w:lang w:eastAsia="en-AU"/>
        </w:rPr>
        <w:t xml:space="preserve">Potential risks in this category </w:t>
      </w:r>
      <w:r w:rsidR="00837D15" w:rsidRPr="00567650">
        <w:rPr>
          <w:rFonts w:cstheme="minorHAnsi"/>
          <w:color w:val="5F5F5F"/>
          <w:sz w:val="20"/>
          <w:lang w:eastAsia="en-AU"/>
        </w:rPr>
        <w:t xml:space="preserve">may </w:t>
      </w:r>
      <w:r w:rsidRPr="00567650">
        <w:rPr>
          <w:rFonts w:cstheme="minorHAnsi"/>
          <w:color w:val="5F5F5F"/>
          <w:sz w:val="20"/>
          <w:lang w:eastAsia="en-AU"/>
        </w:rPr>
        <w:t>include</w:t>
      </w:r>
      <w:r w:rsidR="003E5B1A" w:rsidRPr="00567650">
        <w:rPr>
          <w:rFonts w:cstheme="minorHAnsi"/>
          <w:color w:val="5F5F5F"/>
          <w:sz w:val="20"/>
          <w:lang w:eastAsia="en-AU"/>
        </w:rPr>
        <w:t>:</w:t>
      </w:r>
    </w:p>
    <w:p w14:paraId="436DF58A" w14:textId="1E4E31BB" w:rsidR="00540878" w:rsidRPr="00567650" w:rsidRDefault="00540878" w:rsidP="00540878">
      <w:pPr>
        <w:pStyle w:val="Style2"/>
        <w:numPr>
          <w:ilvl w:val="0"/>
          <w:numId w:val="16"/>
        </w:numPr>
        <w:rPr>
          <w:lang w:val="en-AU"/>
        </w:rPr>
      </w:pPr>
      <w:r w:rsidRPr="00567650">
        <w:rPr>
          <w:lang w:val="en-AU"/>
        </w:rPr>
        <w:t>insufficient and/or uncertain baseline data</w:t>
      </w:r>
      <w:r w:rsidR="004F1C95" w:rsidRPr="00567650">
        <w:rPr>
          <w:lang w:val="en-AU"/>
        </w:rPr>
        <w:t xml:space="preserve"> leading to a risk</w:t>
      </w:r>
      <w:r w:rsidR="00652991" w:rsidRPr="00567650">
        <w:rPr>
          <w:lang w:val="en-AU"/>
        </w:rPr>
        <w:t xml:space="preserve"> not being able to </w:t>
      </w:r>
      <w:r w:rsidR="00926381" w:rsidRPr="00567650">
        <w:rPr>
          <w:lang w:val="en-AU"/>
        </w:rPr>
        <w:t>make meaningful comparisons with</w:t>
      </w:r>
      <w:r w:rsidR="00D31848" w:rsidRPr="00567650">
        <w:rPr>
          <w:lang w:val="en-AU"/>
        </w:rPr>
        <w:t xml:space="preserve"> post-injection </w:t>
      </w:r>
      <w:proofErr w:type="gramStart"/>
      <w:r w:rsidR="00D31848" w:rsidRPr="00567650">
        <w:rPr>
          <w:lang w:val="en-AU"/>
        </w:rPr>
        <w:t>dat</w:t>
      </w:r>
      <w:r w:rsidR="00994E00" w:rsidRPr="00567650">
        <w:rPr>
          <w:lang w:val="en-AU"/>
        </w:rPr>
        <w:t>a</w:t>
      </w:r>
      <w:r w:rsidRPr="00567650">
        <w:rPr>
          <w:lang w:val="en-AU"/>
        </w:rPr>
        <w:t>;</w:t>
      </w:r>
      <w:proofErr w:type="gramEnd"/>
    </w:p>
    <w:p w14:paraId="6C717736" w14:textId="77777777" w:rsidR="00540878" w:rsidRPr="00567650" w:rsidRDefault="00540878" w:rsidP="00540878">
      <w:pPr>
        <w:pStyle w:val="Style2"/>
        <w:numPr>
          <w:ilvl w:val="0"/>
          <w:numId w:val="16"/>
        </w:numPr>
        <w:rPr>
          <w:szCs w:val="20"/>
          <w:lang w:val="en-AU"/>
        </w:rPr>
      </w:pPr>
      <w:r w:rsidRPr="00567650">
        <w:rPr>
          <w:szCs w:val="20"/>
          <w:lang w:val="en-AU"/>
        </w:rPr>
        <w:t xml:space="preserve">failure of monitoring equipment or monitoring prevented due to external </w:t>
      </w:r>
      <w:proofErr w:type="gramStart"/>
      <w:r w:rsidRPr="00567650">
        <w:rPr>
          <w:szCs w:val="20"/>
          <w:lang w:val="en-AU"/>
        </w:rPr>
        <w:t>factors;</w:t>
      </w:r>
      <w:proofErr w:type="gramEnd"/>
    </w:p>
    <w:p w14:paraId="4E965711" w14:textId="158CC133" w:rsidR="00DA3820" w:rsidRPr="00567650" w:rsidRDefault="00540878" w:rsidP="00540878">
      <w:pPr>
        <w:pStyle w:val="Style2"/>
        <w:numPr>
          <w:ilvl w:val="0"/>
          <w:numId w:val="16"/>
        </w:numPr>
        <w:rPr>
          <w:szCs w:val="20"/>
          <w:lang w:val="en-AU"/>
        </w:rPr>
      </w:pPr>
      <w:r w:rsidRPr="00567650">
        <w:rPr>
          <w:szCs w:val="20"/>
          <w:lang w:val="en-AU"/>
        </w:rPr>
        <w:t xml:space="preserve">monitoring inhibited </w:t>
      </w:r>
      <w:r w:rsidR="00736231" w:rsidRPr="00567650">
        <w:rPr>
          <w:szCs w:val="20"/>
          <w:lang w:val="en-AU"/>
        </w:rPr>
        <w:t>by</w:t>
      </w:r>
      <w:r w:rsidRPr="00567650">
        <w:rPr>
          <w:szCs w:val="20"/>
          <w:lang w:val="en-AU"/>
        </w:rPr>
        <w:t xml:space="preserve"> unexpected plume migration </w:t>
      </w:r>
      <w:r w:rsidR="008B73B6" w:rsidRPr="00567650">
        <w:rPr>
          <w:szCs w:val="20"/>
          <w:lang w:val="en-AU"/>
        </w:rPr>
        <w:t xml:space="preserve">outside the monitored </w:t>
      </w:r>
      <w:proofErr w:type="gramStart"/>
      <w:r w:rsidR="008B73B6" w:rsidRPr="00567650">
        <w:rPr>
          <w:szCs w:val="20"/>
          <w:lang w:val="en-AU"/>
        </w:rPr>
        <w:t>area</w:t>
      </w:r>
      <w:r w:rsidR="00BB38E3" w:rsidRPr="00567650">
        <w:rPr>
          <w:szCs w:val="20"/>
          <w:lang w:val="en-AU"/>
        </w:rPr>
        <w:t>;</w:t>
      </w:r>
      <w:proofErr w:type="gramEnd"/>
    </w:p>
    <w:p w14:paraId="57F748C7" w14:textId="73823EDD" w:rsidR="00540878" w:rsidRPr="00567650" w:rsidRDefault="00540878" w:rsidP="00540878">
      <w:pPr>
        <w:pStyle w:val="Style2"/>
        <w:numPr>
          <w:ilvl w:val="0"/>
          <w:numId w:val="16"/>
        </w:numPr>
        <w:rPr>
          <w:szCs w:val="20"/>
          <w:lang w:val="en-AU"/>
        </w:rPr>
      </w:pPr>
      <w:r w:rsidRPr="00567650">
        <w:rPr>
          <w:szCs w:val="20"/>
          <w:lang w:val="en-AU"/>
        </w:rPr>
        <w:t xml:space="preserve">interaction with </w:t>
      </w:r>
      <w:r w:rsidR="00CB47B3" w:rsidRPr="00567650">
        <w:rPr>
          <w:szCs w:val="20"/>
          <w:lang w:val="en-AU"/>
        </w:rPr>
        <w:t>a saturation and/or pressure</w:t>
      </w:r>
      <w:r w:rsidR="00972FD0" w:rsidRPr="00567650">
        <w:rPr>
          <w:szCs w:val="20"/>
          <w:lang w:val="en-AU"/>
        </w:rPr>
        <w:t xml:space="preserve"> </w:t>
      </w:r>
      <w:r w:rsidR="0001356D" w:rsidRPr="00567650">
        <w:rPr>
          <w:szCs w:val="20"/>
          <w:lang w:val="en-AU"/>
        </w:rPr>
        <w:t>plume of</w:t>
      </w:r>
      <w:r w:rsidRPr="00567650">
        <w:rPr>
          <w:szCs w:val="20"/>
          <w:lang w:val="en-AU"/>
        </w:rPr>
        <w:t xml:space="preserve"> </w:t>
      </w:r>
      <w:r w:rsidR="00C85184" w:rsidRPr="00567650">
        <w:rPr>
          <w:szCs w:val="20"/>
          <w:lang w:val="en-AU"/>
        </w:rPr>
        <w:t xml:space="preserve">injected </w:t>
      </w:r>
      <w:r w:rsidRPr="00567650">
        <w:rPr>
          <w:szCs w:val="20"/>
          <w:lang w:val="en-AU"/>
        </w:rPr>
        <w:t xml:space="preserve">GHG substances from a nearby </w:t>
      </w:r>
      <w:r w:rsidR="00C85184" w:rsidRPr="00567650">
        <w:rPr>
          <w:szCs w:val="20"/>
          <w:lang w:val="en-AU"/>
        </w:rPr>
        <w:t xml:space="preserve">CCS </w:t>
      </w:r>
      <w:r w:rsidRPr="00567650">
        <w:rPr>
          <w:szCs w:val="20"/>
          <w:lang w:val="en-AU"/>
        </w:rPr>
        <w:t>project</w:t>
      </w:r>
      <w:r w:rsidR="00876173" w:rsidRPr="00567650">
        <w:rPr>
          <w:szCs w:val="20"/>
          <w:lang w:val="en-AU"/>
        </w:rPr>
        <w:t xml:space="preserve"> that </w:t>
      </w:r>
      <w:r w:rsidR="006302FB" w:rsidRPr="00567650">
        <w:rPr>
          <w:szCs w:val="20"/>
          <w:lang w:val="en-AU"/>
        </w:rPr>
        <w:t xml:space="preserve">leads to </w:t>
      </w:r>
      <w:r w:rsidR="005855DD" w:rsidRPr="00567650">
        <w:rPr>
          <w:szCs w:val="20"/>
          <w:lang w:val="en-AU"/>
        </w:rPr>
        <w:t>uncertainty in the</w:t>
      </w:r>
      <w:r w:rsidR="00395635" w:rsidRPr="00567650">
        <w:rPr>
          <w:szCs w:val="20"/>
          <w:lang w:val="en-AU"/>
        </w:rPr>
        <w:t xml:space="preserve"> </w:t>
      </w:r>
      <w:r w:rsidR="00EF592A" w:rsidRPr="00567650">
        <w:rPr>
          <w:szCs w:val="20"/>
          <w:lang w:val="en-AU"/>
        </w:rPr>
        <w:t>distribution</w:t>
      </w:r>
      <w:r w:rsidR="00395635" w:rsidRPr="00567650">
        <w:rPr>
          <w:szCs w:val="20"/>
          <w:lang w:val="en-AU"/>
        </w:rPr>
        <w:t xml:space="preserve"> of the injected GHG substances</w:t>
      </w:r>
      <w:r w:rsidR="00EF592A" w:rsidRPr="00567650">
        <w:rPr>
          <w:szCs w:val="20"/>
          <w:lang w:val="en-AU"/>
        </w:rPr>
        <w:t xml:space="preserve"> and</w:t>
      </w:r>
      <w:r w:rsidR="00EE5403" w:rsidRPr="00567650">
        <w:rPr>
          <w:szCs w:val="20"/>
          <w:lang w:val="en-AU"/>
        </w:rPr>
        <w:t xml:space="preserve"> </w:t>
      </w:r>
      <w:r w:rsidR="001838A2" w:rsidRPr="00567650">
        <w:rPr>
          <w:szCs w:val="20"/>
          <w:lang w:val="en-AU"/>
        </w:rPr>
        <w:t>its</w:t>
      </w:r>
      <w:r w:rsidR="00EE5403" w:rsidRPr="00567650">
        <w:rPr>
          <w:szCs w:val="20"/>
          <w:lang w:val="en-AU"/>
        </w:rPr>
        <w:t xml:space="preserve"> containment</w:t>
      </w:r>
      <w:r w:rsidRPr="00567650">
        <w:rPr>
          <w:szCs w:val="20"/>
          <w:lang w:val="en-AU"/>
        </w:rPr>
        <w:t>; and</w:t>
      </w:r>
    </w:p>
    <w:p w14:paraId="451E83CE" w14:textId="3BAF80E9" w:rsidR="00540878" w:rsidRPr="00567650" w:rsidRDefault="00540878" w:rsidP="00540878">
      <w:pPr>
        <w:pStyle w:val="Style2"/>
        <w:numPr>
          <w:ilvl w:val="0"/>
          <w:numId w:val="16"/>
        </w:numPr>
        <w:rPr>
          <w:lang w:val="en-AU"/>
        </w:rPr>
      </w:pPr>
      <w:r w:rsidRPr="00567650">
        <w:rPr>
          <w:szCs w:val="20"/>
          <w:lang w:val="en-AU"/>
        </w:rPr>
        <w:t>uncertainty in the composition of the GHG substance</w:t>
      </w:r>
      <w:r w:rsidR="004928E7" w:rsidRPr="00567650">
        <w:rPr>
          <w:szCs w:val="20"/>
          <w:lang w:val="en-AU"/>
        </w:rPr>
        <w:t xml:space="preserve"> </w:t>
      </w:r>
      <w:r w:rsidR="00146F7D" w:rsidRPr="00567650">
        <w:rPr>
          <w:szCs w:val="20"/>
          <w:lang w:val="en-AU"/>
        </w:rPr>
        <w:t>l</w:t>
      </w:r>
      <w:r w:rsidR="004928E7" w:rsidRPr="00567650">
        <w:rPr>
          <w:szCs w:val="20"/>
          <w:lang w:val="en-AU"/>
        </w:rPr>
        <w:t>eading to</w:t>
      </w:r>
      <w:r w:rsidR="0078431B" w:rsidRPr="00567650">
        <w:rPr>
          <w:szCs w:val="20"/>
          <w:lang w:val="en-AU"/>
        </w:rPr>
        <w:t xml:space="preserve"> an error in estimating the amount of GHG substances injected into the formation</w:t>
      </w:r>
      <w:r w:rsidRPr="00567650">
        <w:rPr>
          <w:szCs w:val="20"/>
          <w:lang w:val="en-AU"/>
        </w:rPr>
        <w:t>.</w:t>
      </w:r>
    </w:p>
    <w:p w14:paraId="7E8DCE63" w14:textId="77777777" w:rsidR="00EC1FE8" w:rsidRPr="00567650" w:rsidRDefault="009B77BA" w:rsidP="00DB0F0B">
      <w:pPr>
        <w:pStyle w:val="Heading2"/>
      </w:pPr>
      <w:r w:rsidRPr="00567650">
        <w:t xml:space="preserve">Key </w:t>
      </w:r>
      <w:r w:rsidR="00EC1FE8" w:rsidRPr="00567650">
        <w:t>considerations</w:t>
      </w:r>
    </w:p>
    <w:p w14:paraId="440A3966" w14:textId="382D0370" w:rsidR="000E5896" w:rsidRPr="00567650" w:rsidRDefault="00AA1259" w:rsidP="0063115F">
      <w:pPr>
        <w:spacing w:before="120" w:after="120"/>
        <w:rPr>
          <w:rFonts w:cstheme="minorHAnsi"/>
          <w:color w:val="5F5F5F"/>
          <w:sz w:val="20"/>
          <w:lang w:eastAsia="en-AU"/>
        </w:rPr>
      </w:pPr>
      <w:r w:rsidRPr="00567650">
        <w:rPr>
          <w:rFonts w:cstheme="minorHAnsi"/>
          <w:color w:val="5F5F5F"/>
          <w:sz w:val="20"/>
          <w:lang w:eastAsia="en-AU"/>
        </w:rPr>
        <w:t>The risk assessment</w:t>
      </w:r>
      <w:r w:rsidR="00DA3304" w:rsidRPr="00567650">
        <w:rPr>
          <w:rFonts w:cstheme="minorHAnsi"/>
          <w:color w:val="5F5F5F"/>
          <w:sz w:val="20"/>
          <w:lang w:eastAsia="en-AU"/>
        </w:rPr>
        <w:t xml:space="preserve"> and associated monitoring plan should </w:t>
      </w:r>
      <w:r w:rsidR="00E147DE" w:rsidRPr="00567650">
        <w:rPr>
          <w:rFonts w:cstheme="minorHAnsi"/>
          <w:color w:val="5F5F5F"/>
          <w:sz w:val="20"/>
          <w:lang w:eastAsia="en-AU"/>
        </w:rPr>
        <w:t xml:space="preserve">be </w:t>
      </w:r>
      <w:r w:rsidR="00D02F42" w:rsidRPr="00567650">
        <w:rPr>
          <w:rFonts w:cstheme="minorHAnsi"/>
          <w:color w:val="5F5F5F"/>
          <w:sz w:val="20"/>
          <w:lang w:eastAsia="en-AU"/>
        </w:rPr>
        <w:t xml:space="preserve">developed to include the identification </w:t>
      </w:r>
      <w:r w:rsidR="0079176D" w:rsidRPr="00567650">
        <w:rPr>
          <w:rFonts w:cstheme="minorHAnsi"/>
          <w:color w:val="5F5F5F"/>
          <w:sz w:val="20"/>
          <w:lang w:eastAsia="en-AU"/>
        </w:rPr>
        <w:t>of any serious situations</w:t>
      </w:r>
      <w:r w:rsidR="00AB128A" w:rsidRPr="00567650">
        <w:rPr>
          <w:rFonts w:cstheme="minorHAnsi"/>
          <w:color w:val="5F5F5F"/>
          <w:sz w:val="20"/>
          <w:lang w:eastAsia="en-AU"/>
        </w:rPr>
        <w:t xml:space="preserve">, any </w:t>
      </w:r>
      <w:r w:rsidR="00596840" w:rsidRPr="00567650">
        <w:rPr>
          <w:rFonts w:cstheme="minorHAnsi"/>
          <w:color w:val="5F5F5F"/>
          <w:sz w:val="20"/>
          <w:lang w:eastAsia="en-AU"/>
        </w:rPr>
        <w:t>reportable incidents</w:t>
      </w:r>
      <w:r w:rsidR="001739B0" w:rsidRPr="00567650">
        <w:rPr>
          <w:rFonts w:cstheme="minorHAnsi"/>
          <w:color w:val="5F5F5F"/>
          <w:sz w:val="20"/>
          <w:lang w:eastAsia="en-AU"/>
        </w:rPr>
        <w:t xml:space="preserve"> an</w:t>
      </w:r>
      <w:r w:rsidR="00FE3AA1" w:rsidRPr="00567650">
        <w:rPr>
          <w:rFonts w:cstheme="minorHAnsi"/>
          <w:color w:val="5F5F5F"/>
          <w:sz w:val="20"/>
          <w:lang w:eastAsia="en-AU"/>
        </w:rPr>
        <w:t xml:space="preserve">d any </w:t>
      </w:r>
      <w:r w:rsidR="00F74EF6" w:rsidRPr="00567650">
        <w:rPr>
          <w:rFonts w:cstheme="minorHAnsi"/>
          <w:color w:val="5F5F5F"/>
          <w:sz w:val="20"/>
          <w:lang w:eastAsia="en-AU"/>
        </w:rPr>
        <w:t xml:space="preserve">events that </w:t>
      </w:r>
      <w:r w:rsidR="0046790D" w:rsidRPr="00567650">
        <w:rPr>
          <w:rFonts w:cstheme="minorHAnsi"/>
          <w:color w:val="5F5F5F"/>
          <w:sz w:val="20"/>
          <w:lang w:eastAsia="en-AU"/>
        </w:rPr>
        <w:t>significantly alter the</w:t>
      </w:r>
      <w:r w:rsidR="000C0839" w:rsidRPr="00567650">
        <w:rPr>
          <w:rFonts w:cstheme="minorHAnsi"/>
          <w:color w:val="5F5F5F"/>
          <w:sz w:val="20"/>
          <w:lang w:eastAsia="en-AU"/>
        </w:rPr>
        <w:t xml:space="preserve"> approved</w:t>
      </w:r>
      <w:r w:rsidR="0046790D" w:rsidRPr="00567650">
        <w:rPr>
          <w:rFonts w:cstheme="minorHAnsi"/>
          <w:color w:val="5F5F5F"/>
          <w:sz w:val="20"/>
          <w:lang w:eastAsia="en-AU"/>
        </w:rPr>
        <w:t xml:space="preserve"> site plan</w:t>
      </w:r>
      <w:r w:rsidR="002E1018" w:rsidRPr="00567650">
        <w:rPr>
          <w:rFonts w:cstheme="minorHAnsi"/>
          <w:color w:val="5F5F5F"/>
          <w:sz w:val="20"/>
          <w:lang w:eastAsia="en-AU"/>
        </w:rPr>
        <w:t xml:space="preserve"> </w:t>
      </w:r>
      <w:r w:rsidR="00F26B5C" w:rsidRPr="00567650">
        <w:rPr>
          <w:rFonts w:cstheme="minorHAnsi"/>
          <w:color w:val="5F5F5F"/>
          <w:sz w:val="20"/>
          <w:lang w:eastAsia="en-AU"/>
        </w:rPr>
        <w:t xml:space="preserve">and </w:t>
      </w:r>
      <w:r w:rsidR="000A2043" w:rsidRPr="00567650">
        <w:rPr>
          <w:rFonts w:cstheme="minorHAnsi"/>
          <w:color w:val="5F5F5F"/>
          <w:sz w:val="20"/>
          <w:lang w:eastAsia="en-AU"/>
        </w:rPr>
        <w:t xml:space="preserve">that </w:t>
      </w:r>
      <w:r w:rsidR="00BD7256" w:rsidRPr="00567650">
        <w:rPr>
          <w:rFonts w:cstheme="minorHAnsi"/>
          <w:color w:val="5F5F5F"/>
          <w:sz w:val="20"/>
          <w:lang w:eastAsia="en-AU"/>
        </w:rPr>
        <w:t xml:space="preserve">may </w:t>
      </w:r>
      <w:r w:rsidR="000A2043" w:rsidRPr="00567650">
        <w:rPr>
          <w:rFonts w:cstheme="minorHAnsi"/>
          <w:color w:val="5F5F5F"/>
          <w:sz w:val="20"/>
          <w:lang w:eastAsia="en-AU"/>
        </w:rPr>
        <w:t xml:space="preserve">lead to </w:t>
      </w:r>
      <w:r w:rsidR="00B40961" w:rsidRPr="00567650">
        <w:rPr>
          <w:rFonts w:cstheme="minorHAnsi"/>
          <w:color w:val="5F5F5F"/>
          <w:sz w:val="20"/>
          <w:lang w:eastAsia="en-AU"/>
        </w:rPr>
        <w:t>a variation of the</w:t>
      </w:r>
      <w:r w:rsidR="000C0839" w:rsidRPr="00567650">
        <w:rPr>
          <w:rFonts w:cstheme="minorHAnsi"/>
          <w:color w:val="5F5F5F"/>
          <w:sz w:val="20"/>
          <w:lang w:eastAsia="en-AU"/>
        </w:rPr>
        <w:t xml:space="preserve"> approved</w:t>
      </w:r>
      <w:r w:rsidR="00B40961" w:rsidRPr="00567650">
        <w:rPr>
          <w:rFonts w:cstheme="minorHAnsi"/>
          <w:color w:val="5F5F5F"/>
          <w:sz w:val="20"/>
          <w:lang w:eastAsia="en-AU"/>
        </w:rPr>
        <w:t xml:space="preserve"> site p</w:t>
      </w:r>
      <w:r w:rsidR="0099555A" w:rsidRPr="00567650">
        <w:rPr>
          <w:rFonts w:cstheme="minorHAnsi"/>
          <w:color w:val="5F5F5F"/>
          <w:sz w:val="20"/>
          <w:lang w:eastAsia="en-AU"/>
        </w:rPr>
        <w:t>lan.</w:t>
      </w:r>
    </w:p>
    <w:p w14:paraId="5C7F9FF4" w14:textId="63096401" w:rsidR="0063115F" w:rsidRPr="00567650" w:rsidRDefault="0063115F" w:rsidP="001003CF">
      <w:pPr>
        <w:pStyle w:val="Style2"/>
        <w:rPr>
          <w:i/>
          <w:lang w:val="en-AU"/>
        </w:rPr>
      </w:pPr>
      <w:r w:rsidRPr="00567650">
        <w:rPr>
          <w:i/>
          <w:lang w:val="en-AU"/>
        </w:rPr>
        <w:t>Serious situations</w:t>
      </w:r>
    </w:p>
    <w:p w14:paraId="76724CD1" w14:textId="0F4AC8A8" w:rsidR="00BC5A88" w:rsidRPr="001F726B" w:rsidRDefault="00C97B71" w:rsidP="0063115F">
      <w:pPr>
        <w:spacing w:before="120" w:after="120"/>
        <w:rPr>
          <w:rFonts w:cstheme="minorHAnsi"/>
          <w:color w:val="5F5F5F"/>
          <w:sz w:val="20"/>
          <w:lang w:eastAsia="en-AU"/>
        </w:rPr>
      </w:pPr>
      <w:r w:rsidRPr="00567650">
        <w:rPr>
          <w:rFonts w:cstheme="minorHAnsi"/>
          <w:color w:val="5F5F5F"/>
          <w:sz w:val="20"/>
          <w:lang w:eastAsia="en-AU"/>
        </w:rPr>
        <w:t>The risk assessment will include</w:t>
      </w:r>
      <w:r w:rsidR="006D75F6" w:rsidRPr="00567650">
        <w:rPr>
          <w:rFonts w:cstheme="minorHAnsi"/>
          <w:color w:val="5F5F5F"/>
          <w:sz w:val="20"/>
          <w:lang w:eastAsia="en-AU"/>
        </w:rPr>
        <w:t xml:space="preserve"> the</w:t>
      </w:r>
      <w:r w:rsidRPr="00567650">
        <w:rPr>
          <w:rFonts w:cstheme="minorHAnsi"/>
          <w:color w:val="5F5F5F"/>
          <w:sz w:val="20"/>
          <w:lang w:eastAsia="en-AU"/>
        </w:rPr>
        <w:t xml:space="preserve"> identification of any potential risks</w:t>
      </w:r>
      <w:r w:rsidR="0094495F" w:rsidRPr="00567650">
        <w:rPr>
          <w:rFonts w:cstheme="minorHAnsi"/>
          <w:color w:val="5F5F5F"/>
          <w:sz w:val="20"/>
          <w:lang w:eastAsia="en-AU"/>
        </w:rPr>
        <w:t xml:space="preserve"> relating to </w:t>
      </w:r>
      <w:r w:rsidR="00D56E8F" w:rsidRPr="00567650">
        <w:rPr>
          <w:rFonts w:cstheme="minorHAnsi"/>
          <w:color w:val="5F5F5F"/>
          <w:sz w:val="20"/>
          <w:lang w:eastAsia="en-AU"/>
        </w:rPr>
        <w:t>any deviation from the predicted</w:t>
      </w:r>
      <w:r w:rsidR="0094495F" w:rsidRPr="00567650">
        <w:rPr>
          <w:rFonts w:cstheme="minorHAnsi"/>
          <w:color w:val="5F5F5F"/>
          <w:sz w:val="20"/>
          <w:lang w:eastAsia="en-AU"/>
        </w:rPr>
        <w:t xml:space="preserve"> behaviour of GHG substances</w:t>
      </w:r>
      <w:r w:rsidR="00163CAD" w:rsidRPr="00567650">
        <w:rPr>
          <w:rFonts w:cstheme="minorHAnsi"/>
          <w:color w:val="5F5F5F"/>
          <w:sz w:val="20"/>
          <w:lang w:eastAsia="en-AU"/>
        </w:rPr>
        <w:t xml:space="preserve"> to be injected</w:t>
      </w:r>
      <w:r w:rsidR="00972526" w:rsidRPr="00567650">
        <w:rPr>
          <w:rFonts w:cstheme="minorHAnsi"/>
          <w:color w:val="5F5F5F"/>
          <w:sz w:val="20"/>
          <w:lang w:eastAsia="en-AU"/>
        </w:rPr>
        <w:t xml:space="preserve"> into and stored in the </w:t>
      </w:r>
      <w:r w:rsidR="00734C0A" w:rsidRPr="00567650">
        <w:rPr>
          <w:rFonts w:cstheme="minorHAnsi"/>
          <w:color w:val="5F5F5F"/>
          <w:sz w:val="20"/>
          <w:lang w:eastAsia="en-AU"/>
        </w:rPr>
        <w:t>formation</w:t>
      </w:r>
      <w:r w:rsidR="002927B6" w:rsidRPr="00567650">
        <w:rPr>
          <w:rFonts w:cstheme="minorHAnsi"/>
          <w:color w:val="5F5F5F"/>
          <w:sz w:val="20"/>
          <w:lang w:eastAsia="en-AU"/>
        </w:rPr>
        <w:t xml:space="preserve"> </w:t>
      </w:r>
      <w:r w:rsidR="00F02984" w:rsidRPr="00567650">
        <w:rPr>
          <w:rFonts w:cstheme="minorHAnsi"/>
          <w:color w:val="5F5F5F"/>
          <w:sz w:val="20"/>
          <w:lang w:eastAsia="en-AU"/>
        </w:rPr>
        <w:t>to allow</w:t>
      </w:r>
      <w:r w:rsidR="00C9189B" w:rsidRPr="00567650">
        <w:rPr>
          <w:rFonts w:cstheme="minorHAnsi"/>
          <w:color w:val="5F5F5F"/>
          <w:sz w:val="20"/>
          <w:lang w:eastAsia="en-AU"/>
        </w:rPr>
        <w:t xml:space="preserve"> the timely detection</w:t>
      </w:r>
      <w:r w:rsidR="001025C9" w:rsidRPr="00567650">
        <w:rPr>
          <w:rFonts w:cstheme="minorHAnsi"/>
          <w:color w:val="5F5F5F"/>
          <w:sz w:val="20"/>
          <w:lang w:eastAsia="en-AU"/>
        </w:rPr>
        <w:t xml:space="preserve"> of serious situations</w:t>
      </w:r>
      <w:r w:rsidR="00AA044A" w:rsidRPr="00567650">
        <w:rPr>
          <w:rFonts w:cstheme="minorHAnsi"/>
          <w:color w:val="5F5F5F"/>
          <w:sz w:val="20"/>
          <w:lang w:eastAsia="en-AU"/>
        </w:rPr>
        <w:t xml:space="preserve"> (</w:t>
      </w:r>
      <w:r w:rsidR="00CC19E8" w:rsidRPr="00567650">
        <w:rPr>
          <w:rFonts w:cstheme="minorHAnsi"/>
          <w:color w:val="5F5F5F"/>
          <w:sz w:val="20"/>
          <w:lang w:eastAsia="en-AU"/>
        </w:rPr>
        <w:t xml:space="preserve">section </w:t>
      </w:r>
      <w:r w:rsidR="00AA044A" w:rsidRPr="00567650">
        <w:rPr>
          <w:rFonts w:cstheme="minorHAnsi"/>
          <w:color w:val="5F5F5F"/>
          <w:sz w:val="20"/>
          <w:lang w:eastAsia="en-AU"/>
        </w:rPr>
        <w:t>19 of the GHG Regulations)</w:t>
      </w:r>
      <w:r w:rsidR="00042818" w:rsidRPr="00567650">
        <w:rPr>
          <w:rFonts w:cstheme="minorHAnsi"/>
          <w:color w:val="5F5F5F"/>
          <w:sz w:val="20"/>
          <w:lang w:eastAsia="en-AU"/>
        </w:rPr>
        <w:t>.</w:t>
      </w:r>
      <w:r w:rsidR="00B876A8" w:rsidRPr="00567650">
        <w:rPr>
          <w:rFonts w:cstheme="minorHAnsi"/>
          <w:color w:val="5F5F5F"/>
          <w:sz w:val="20"/>
          <w:lang w:eastAsia="en-AU"/>
        </w:rPr>
        <w:t xml:space="preserve"> Serious situations need to </w:t>
      </w:r>
      <w:r w:rsidR="00903079" w:rsidRPr="00567650">
        <w:rPr>
          <w:rFonts w:cstheme="minorHAnsi"/>
          <w:color w:val="5F5F5F"/>
          <w:sz w:val="20"/>
          <w:lang w:eastAsia="en-AU"/>
        </w:rPr>
        <w:t xml:space="preserve">be </w:t>
      </w:r>
      <w:r w:rsidR="00B876A8" w:rsidRPr="00567650">
        <w:rPr>
          <w:rFonts w:cstheme="minorHAnsi"/>
          <w:color w:val="5F5F5F"/>
          <w:sz w:val="20"/>
          <w:lang w:eastAsia="en-AU"/>
        </w:rPr>
        <w:t xml:space="preserve">identified and managed to demonstrate the </w:t>
      </w:r>
      <w:r w:rsidR="00FF7DBF" w:rsidRPr="00567650">
        <w:rPr>
          <w:rFonts w:cstheme="minorHAnsi"/>
          <w:color w:val="5F5F5F"/>
          <w:sz w:val="20"/>
          <w:lang w:eastAsia="en-AU"/>
        </w:rPr>
        <w:t xml:space="preserve">formation will be </w:t>
      </w:r>
      <w:r w:rsidR="00B876A8" w:rsidRPr="00567650">
        <w:rPr>
          <w:rFonts w:cstheme="minorHAnsi"/>
          <w:color w:val="5F5F5F"/>
          <w:sz w:val="20"/>
          <w:lang w:eastAsia="en-AU"/>
        </w:rPr>
        <w:t xml:space="preserve">safe and secure </w:t>
      </w:r>
      <w:r w:rsidR="00FF7DBF" w:rsidRPr="00567650">
        <w:rPr>
          <w:rFonts w:cstheme="minorHAnsi"/>
          <w:color w:val="5F5F5F"/>
          <w:sz w:val="20"/>
          <w:lang w:eastAsia="en-AU"/>
        </w:rPr>
        <w:t xml:space="preserve">for the permanent </w:t>
      </w:r>
      <w:r w:rsidR="00B876A8" w:rsidRPr="00567650">
        <w:rPr>
          <w:rFonts w:cstheme="minorHAnsi"/>
          <w:color w:val="5F5F5F"/>
          <w:sz w:val="20"/>
          <w:lang w:eastAsia="en-AU"/>
        </w:rPr>
        <w:t>storage of GHG substances.</w:t>
      </w:r>
    </w:p>
    <w:p w14:paraId="142D8C3E" w14:textId="562C241D" w:rsidR="00963730" w:rsidRPr="00567650" w:rsidRDefault="003360CA" w:rsidP="0063115F">
      <w:pPr>
        <w:spacing w:before="120" w:after="120"/>
        <w:rPr>
          <w:rFonts w:cstheme="minorHAnsi"/>
          <w:i/>
          <w:iCs/>
          <w:color w:val="5F5F5F"/>
          <w:sz w:val="20"/>
          <w:lang w:eastAsia="en-AU"/>
        </w:rPr>
      </w:pPr>
      <w:r w:rsidRPr="00567650">
        <w:rPr>
          <w:rFonts w:cstheme="minorHAnsi"/>
          <w:i/>
          <w:iCs/>
          <w:color w:val="5F5F5F"/>
          <w:sz w:val="20"/>
          <w:lang w:eastAsia="en-AU"/>
        </w:rPr>
        <w:t xml:space="preserve">Reportable </w:t>
      </w:r>
      <w:r w:rsidR="00204488" w:rsidRPr="00567650">
        <w:rPr>
          <w:rFonts w:cstheme="minorHAnsi"/>
          <w:i/>
          <w:iCs/>
          <w:color w:val="5F5F5F"/>
          <w:sz w:val="20"/>
          <w:lang w:eastAsia="en-AU"/>
        </w:rPr>
        <w:t>incidents</w:t>
      </w:r>
    </w:p>
    <w:p w14:paraId="24B8C3A0" w14:textId="7CAAE95C" w:rsidR="00204488" w:rsidRPr="00567650" w:rsidRDefault="00C1418D" w:rsidP="0063115F">
      <w:pPr>
        <w:spacing w:before="120" w:after="120"/>
        <w:rPr>
          <w:rFonts w:cstheme="minorHAnsi"/>
          <w:color w:val="5F5F5F"/>
          <w:sz w:val="20"/>
          <w:lang w:eastAsia="en-AU"/>
        </w:rPr>
      </w:pPr>
      <w:r w:rsidRPr="00567650">
        <w:rPr>
          <w:rFonts w:cstheme="minorHAnsi"/>
          <w:color w:val="5F5F5F"/>
          <w:sz w:val="20"/>
          <w:lang w:eastAsia="en-AU"/>
        </w:rPr>
        <w:t>A reportable incident</w:t>
      </w:r>
      <w:r w:rsidR="00B872A8" w:rsidRPr="00567650">
        <w:rPr>
          <w:rFonts w:cstheme="minorHAnsi"/>
          <w:color w:val="5F5F5F"/>
          <w:sz w:val="20"/>
          <w:lang w:eastAsia="en-AU"/>
        </w:rPr>
        <w:t xml:space="preserve"> in relation to an</w:t>
      </w:r>
      <w:r w:rsidR="00A61218" w:rsidRPr="00567650">
        <w:rPr>
          <w:rFonts w:cstheme="minorHAnsi"/>
          <w:color w:val="5F5F5F"/>
          <w:sz w:val="20"/>
          <w:lang w:eastAsia="en-AU"/>
        </w:rPr>
        <w:t xml:space="preserve"> identified GHG storage formation</w:t>
      </w:r>
      <w:r w:rsidR="00273B98" w:rsidRPr="00567650">
        <w:rPr>
          <w:rFonts w:cstheme="minorHAnsi"/>
          <w:color w:val="5F5F5F"/>
          <w:sz w:val="20"/>
          <w:lang w:eastAsia="en-AU"/>
        </w:rPr>
        <w:t xml:space="preserve"> </w:t>
      </w:r>
      <w:r w:rsidR="006128F5" w:rsidRPr="00567650">
        <w:rPr>
          <w:rFonts w:cstheme="minorHAnsi"/>
          <w:color w:val="5F5F5F"/>
          <w:sz w:val="20"/>
          <w:lang w:eastAsia="en-AU"/>
        </w:rPr>
        <w:t>s</w:t>
      </w:r>
      <w:r w:rsidR="003F4007" w:rsidRPr="00567650">
        <w:rPr>
          <w:rFonts w:cstheme="minorHAnsi"/>
          <w:color w:val="5F5F5F"/>
          <w:sz w:val="20"/>
          <w:lang w:eastAsia="en-AU"/>
        </w:rPr>
        <w:t>pecified</w:t>
      </w:r>
      <w:r w:rsidR="00FE14A7" w:rsidRPr="00567650">
        <w:rPr>
          <w:rFonts w:cstheme="minorHAnsi"/>
          <w:color w:val="5F5F5F"/>
          <w:sz w:val="20"/>
          <w:lang w:eastAsia="en-AU"/>
        </w:rPr>
        <w:t xml:space="preserve"> in a GHG injection licence</w:t>
      </w:r>
      <w:r w:rsidR="00392A72" w:rsidRPr="00567650">
        <w:rPr>
          <w:rFonts w:cstheme="minorHAnsi"/>
          <w:color w:val="5F5F5F"/>
          <w:sz w:val="20"/>
          <w:lang w:eastAsia="en-AU"/>
        </w:rPr>
        <w:t xml:space="preserve"> will include the following </w:t>
      </w:r>
      <w:r w:rsidR="00DA4907" w:rsidRPr="00567650">
        <w:rPr>
          <w:rFonts w:cstheme="minorHAnsi"/>
          <w:color w:val="5F5F5F"/>
          <w:sz w:val="20"/>
          <w:lang w:eastAsia="en-AU"/>
        </w:rPr>
        <w:t>(</w:t>
      </w:r>
      <w:r w:rsidR="00CC19E8" w:rsidRPr="00567650">
        <w:rPr>
          <w:rFonts w:cstheme="minorHAnsi"/>
          <w:color w:val="5F5F5F"/>
          <w:sz w:val="20"/>
          <w:lang w:eastAsia="en-AU"/>
        </w:rPr>
        <w:t xml:space="preserve">section </w:t>
      </w:r>
      <w:r w:rsidR="00E61C2D" w:rsidRPr="00567650">
        <w:rPr>
          <w:rFonts w:cstheme="minorHAnsi"/>
          <w:color w:val="5F5F5F"/>
          <w:sz w:val="20"/>
          <w:lang w:eastAsia="en-AU"/>
        </w:rPr>
        <w:t xml:space="preserve">49 </w:t>
      </w:r>
      <w:r w:rsidR="004A45A9" w:rsidRPr="00567650">
        <w:rPr>
          <w:rFonts w:cstheme="minorHAnsi"/>
          <w:color w:val="5F5F5F"/>
          <w:sz w:val="20"/>
          <w:lang w:eastAsia="en-AU"/>
        </w:rPr>
        <w:t xml:space="preserve">of the </w:t>
      </w:r>
      <w:r w:rsidR="00E61C2D" w:rsidRPr="00567650">
        <w:rPr>
          <w:rFonts w:cstheme="minorHAnsi"/>
          <w:color w:val="5F5F5F"/>
          <w:sz w:val="20"/>
          <w:lang w:eastAsia="en-AU"/>
        </w:rPr>
        <w:t>GHG Regulations):</w:t>
      </w:r>
    </w:p>
    <w:p w14:paraId="739713B0" w14:textId="20EB941F" w:rsidR="00907D75" w:rsidRPr="00567650" w:rsidRDefault="00DA4B33" w:rsidP="003C34E0">
      <w:pPr>
        <w:pStyle w:val="Style2"/>
        <w:numPr>
          <w:ilvl w:val="0"/>
          <w:numId w:val="16"/>
        </w:numPr>
        <w:rPr>
          <w:szCs w:val="20"/>
          <w:lang w:val="en-AU"/>
        </w:rPr>
      </w:pPr>
      <w:r w:rsidRPr="00567650">
        <w:rPr>
          <w:szCs w:val="20"/>
          <w:lang w:val="en-AU"/>
        </w:rPr>
        <w:t>a</w:t>
      </w:r>
      <w:r w:rsidR="00F749BD" w:rsidRPr="00567650">
        <w:rPr>
          <w:szCs w:val="20"/>
          <w:lang w:val="en-AU"/>
        </w:rPr>
        <w:t xml:space="preserve"> departure</w:t>
      </w:r>
      <w:r w:rsidR="001469E3" w:rsidRPr="00567650">
        <w:rPr>
          <w:szCs w:val="20"/>
          <w:lang w:val="en-AU"/>
        </w:rPr>
        <w:t xml:space="preserve"> from </w:t>
      </w:r>
      <w:r w:rsidR="00940CA1" w:rsidRPr="00567650">
        <w:rPr>
          <w:szCs w:val="20"/>
          <w:lang w:val="en-AU"/>
        </w:rPr>
        <w:t>a predicted migration pathway</w:t>
      </w:r>
      <w:r w:rsidR="00814394" w:rsidRPr="00567650">
        <w:rPr>
          <w:szCs w:val="20"/>
          <w:lang w:val="en-AU"/>
        </w:rPr>
        <w:t xml:space="preserve"> or rate</w:t>
      </w:r>
      <w:r w:rsidR="00216889" w:rsidRPr="00567650">
        <w:rPr>
          <w:szCs w:val="20"/>
          <w:lang w:val="en-AU"/>
        </w:rPr>
        <w:t xml:space="preserve"> of a GHG substance</w:t>
      </w:r>
      <w:r w:rsidR="00331BF7" w:rsidRPr="00567650">
        <w:rPr>
          <w:szCs w:val="20"/>
          <w:lang w:val="en-AU"/>
        </w:rPr>
        <w:t xml:space="preserve"> </w:t>
      </w:r>
      <w:r w:rsidR="00B95FA3" w:rsidRPr="00567650">
        <w:rPr>
          <w:szCs w:val="20"/>
          <w:lang w:val="en-AU"/>
        </w:rPr>
        <w:t xml:space="preserve">that causes, or has the </w:t>
      </w:r>
      <w:r w:rsidR="00B95FA3" w:rsidRPr="00567650">
        <w:rPr>
          <w:szCs w:val="20"/>
          <w:lang w:val="en-AU"/>
        </w:rPr>
        <w:lastRenderedPageBreak/>
        <w:t>potential to caus</w:t>
      </w:r>
      <w:r w:rsidR="00694F8E" w:rsidRPr="00567650">
        <w:rPr>
          <w:szCs w:val="20"/>
          <w:lang w:val="en-AU"/>
        </w:rPr>
        <w:t>e,</w:t>
      </w:r>
      <w:r w:rsidR="003C1C10" w:rsidRPr="00567650">
        <w:rPr>
          <w:szCs w:val="20"/>
          <w:lang w:val="en-AU"/>
        </w:rPr>
        <w:t xml:space="preserve"> a serious situation</w:t>
      </w:r>
      <w:r w:rsidR="00187136" w:rsidRPr="00567650">
        <w:rPr>
          <w:szCs w:val="20"/>
          <w:lang w:val="en-AU"/>
        </w:rPr>
        <w:t xml:space="preserve"> to exist</w:t>
      </w:r>
      <w:r w:rsidR="00F96208" w:rsidRPr="00567650">
        <w:rPr>
          <w:szCs w:val="20"/>
          <w:lang w:val="en-AU"/>
        </w:rPr>
        <w:t xml:space="preserve"> in relation to the storage </w:t>
      </w:r>
      <w:proofErr w:type="gramStart"/>
      <w:r w:rsidR="00F96208" w:rsidRPr="00567650">
        <w:rPr>
          <w:szCs w:val="20"/>
          <w:lang w:val="en-AU"/>
        </w:rPr>
        <w:t>formation;</w:t>
      </w:r>
      <w:proofErr w:type="gramEnd"/>
    </w:p>
    <w:p w14:paraId="5C6ECE83" w14:textId="2C9CC868" w:rsidR="00446C2E" w:rsidRPr="00567650" w:rsidRDefault="00D76751" w:rsidP="003C34E0">
      <w:pPr>
        <w:pStyle w:val="Style2"/>
        <w:numPr>
          <w:ilvl w:val="0"/>
          <w:numId w:val="16"/>
        </w:numPr>
        <w:rPr>
          <w:szCs w:val="20"/>
          <w:lang w:val="en-AU"/>
        </w:rPr>
      </w:pPr>
      <w:r w:rsidRPr="00567650">
        <w:rPr>
          <w:szCs w:val="20"/>
          <w:lang w:val="en-AU"/>
        </w:rPr>
        <w:t>a GHG substance</w:t>
      </w:r>
      <w:r w:rsidR="00403431" w:rsidRPr="00567650">
        <w:rPr>
          <w:szCs w:val="20"/>
          <w:lang w:val="en-AU"/>
        </w:rPr>
        <w:t xml:space="preserve"> injected into the </w:t>
      </w:r>
      <w:r w:rsidR="003A6CBF" w:rsidRPr="00567650">
        <w:rPr>
          <w:szCs w:val="20"/>
          <w:lang w:val="en-AU"/>
        </w:rPr>
        <w:t>identified</w:t>
      </w:r>
      <w:r w:rsidR="001C0046" w:rsidRPr="00567650">
        <w:rPr>
          <w:szCs w:val="20"/>
          <w:lang w:val="en-AU"/>
        </w:rPr>
        <w:t xml:space="preserve"> GHG storage formation</w:t>
      </w:r>
      <w:r w:rsidR="00DD15F9" w:rsidRPr="00567650">
        <w:rPr>
          <w:szCs w:val="20"/>
          <w:lang w:val="en-AU"/>
        </w:rPr>
        <w:t xml:space="preserve"> that has</w:t>
      </w:r>
      <w:r w:rsidR="00BB17C2">
        <w:rPr>
          <w:szCs w:val="20"/>
          <w:lang w:val="en-AU"/>
        </w:rPr>
        <w:t xml:space="preserve"> leaked or is leaking from the </w:t>
      </w:r>
      <w:r w:rsidR="00421DAB">
        <w:rPr>
          <w:szCs w:val="20"/>
          <w:lang w:val="en-AU"/>
        </w:rPr>
        <w:t xml:space="preserve">storage </w:t>
      </w:r>
      <w:r w:rsidR="00BB17C2">
        <w:rPr>
          <w:szCs w:val="20"/>
          <w:lang w:val="en-AU"/>
        </w:rPr>
        <w:t xml:space="preserve">formation, and which involves a leakage of the GHG substance to the seabed, or a </w:t>
      </w:r>
      <w:r w:rsidR="00986A0D">
        <w:rPr>
          <w:szCs w:val="20"/>
          <w:lang w:val="en-AU"/>
        </w:rPr>
        <w:t xml:space="preserve">significant </w:t>
      </w:r>
      <w:r w:rsidR="00BB17C2">
        <w:rPr>
          <w:szCs w:val="20"/>
          <w:lang w:val="en-AU"/>
        </w:rPr>
        <w:t>risk of such an event</w:t>
      </w:r>
      <w:r w:rsidR="00341ED6">
        <w:rPr>
          <w:szCs w:val="20"/>
          <w:lang w:val="en-AU"/>
        </w:rPr>
        <w:t>;</w:t>
      </w:r>
      <w:r w:rsidR="00341ED6" w:rsidRPr="00567650">
        <w:rPr>
          <w:szCs w:val="20"/>
          <w:lang w:val="en-AU"/>
        </w:rPr>
        <w:t xml:space="preserve"> </w:t>
      </w:r>
      <w:r w:rsidR="00BB69C9" w:rsidRPr="00567650">
        <w:rPr>
          <w:szCs w:val="20"/>
          <w:lang w:val="en-AU"/>
        </w:rPr>
        <w:t>and</w:t>
      </w:r>
    </w:p>
    <w:p w14:paraId="497DEE0F" w14:textId="3BC8682B" w:rsidR="009C75D9" w:rsidRPr="00567650" w:rsidRDefault="00B74688" w:rsidP="00633068">
      <w:pPr>
        <w:pStyle w:val="Style2"/>
        <w:numPr>
          <w:ilvl w:val="0"/>
          <w:numId w:val="16"/>
        </w:numPr>
        <w:rPr>
          <w:i/>
          <w:lang w:val="en-AU"/>
        </w:rPr>
      </w:pPr>
      <w:r w:rsidRPr="00567650">
        <w:rPr>
          <w:szCs w:val="20"/>
          <w:lang w:val="en-AU"/>
        </w:rPr>
        <w:t>a leakage</w:t>
      </w:r>
      <w:r w:rsidR="000A4312" w:rsidRPr="00567650">
        <w:rPr>
          <w:szCs w:val="20"/>
          <w:lang w:val="en-AU"/>
        </w:rPr>
        <w:t xml:space="preserve"> of a GHG substance</w:t>
      </w:r>
      <w:r w:rsidR="006576B9" w:rsidRPr="00567650">
        <w:rPr>
          <w:szCs w:val="20"/>
          <w:lang w:val="en-AU"/>
        </w:rPr>
        <w:t>,</w:t>
      </w:r>
      <w:r w:rsidR="00B86669" w:rsidRPr="00567650">
        <w:rPr>
          <w:szCs w:val="20"/>
          <w:lang w:val="en-AU"/>
        </w:rPr>
        <w:t xml:space="preserve"> from the bore of a well that forms part of the operations carried out under the licence, that causes or has the potential to cause a serious situation to exist in relation to the formation</w:t>
      </w:r>
      <w:r w:rsidR="00567650" w:rsidRPr="00567650">
        <w:rPr>
          <w:szCs w:val="20"/>
          <w:lang w:val="en-AU"/>
        </w:rPr>
        <w:t>.</w:t>
      </w:r>
    </w:p>
    <w:p w14:paraId="557FFBEB" w14:textId="37A82AC7" w:rsidR="004121C9" w:rsidRPr="00567650" w:rsidRDefault="00E35B3D" w:rsidP="009C75D9">
      <w:pPr>
        <w:pStyle w:val="Style2"/>
        <w:rPr>
          <w:i/>
          <w:lang w:val="en-AU"/>
        </w:rPr>
      </w:pPr>
      <w:r w:rsidRPr="00567650">
        <w:rPr>
          <w:i/>
          <w:iCs/>
          <w:lang w:val="en-AU"/>
        </w:rPr>
        <w:t>Variations</w:t>
      </w:r>
    </w:p>
    <w:p w14:paraId="4910A988" w14:textId="489C2B96" w:rsidR="0058167F" w:rsidRPr="00567650" w:rsidRDefault="009B4419" w:rsidP="001003CF">
      <w:pPr>
        <w:pStyle w:val="Style2"/>
        <w:rPr>
          <w:iCs/>
          <w:lang w:val="en-AU"/>
        </w:rPr>
      </w:pPr>
      <w:r w:rsidRPr="00567650">
        <w:rPr>
          <w:iCs/>
          <w:lang w:val="en-AU"/>
        </w:rPr>
        <w:t>A</w:t>
      </w:r>
      <w:r w:rsidR="009812A8" w:rsidRPr="00567650">
        <w:rPr>
          <w:iCs/>
          <w:lang w:val="en-AU"/>
        </w:rPr>
        <w:t>part from</w:t>
      </w:r>
      <w:r w:rsidR="001E6460" w:rsidRPr="00567650">
        <w:rPr>
          <w:iCs/>
          <w:lang w:val="en-AU"/>
        </w:rPr>
        <w:t xml:space="preserve"> the </w:t>
      </w:r>
      <w:r w:rsidR="00FC7930" w:rsidRPr="00567650">
        <w:rPr>
          <w:iCs/>
          <w:lang w:val="en-AU"/>
        </w:rPr>
        <w:t xml:space="preserve">review of the approved </w:t>
      </w:r>
      <w:r w:rsidR="00CA1700" w:rsidRPr="00567650">
        <w:rPr>
          <w:iCs/>
          <w:lang w:val="en-AU"/>
        </w:rPr>
        <w:t xml:space="preserve">site plan at least once in each </w:t>
      </w:r>
      <w:r w:rsidR="0048693A" w:rsidRPr="00567650">
        <w:rPr>
          <w:iCs/>
          <w:lang w:val="en-AU"/>
        </w:rPr>
        <w:t>five-year</w:t>
      </w:r>
      <w:r w:rsidR="00CA1700" w:rsidRPr="00567650">
        <w:rPr>
          <w:iCs/>
          <w:lang w:val="en-AU"/>
        </w:rPr>
        <w:t xml:space="preserve"> period</w:t>
      </w:r>
      <w:r w:rsidR="00642A76" w:rsidRPr="00567650">
        <w:rPr>
          <w:iCs/>
          <w:lang w:val="en-AU"/>
        </w:rPr>
        <w:t>, or reviews requested by the Minister,</w:t>
      </w:r>
      <w:r w:rsidR="007C6243" w:rsidRPr="00567650">
        <w:rPr>
          <w:iCs/>
          <w:lang w:val="en-AU"/>
        </w:rPr>
        <w:t xml:space="preserve"> and draft variations of the </w:t>
      </w:r>
      <w:r w:rsidR="000225A0" w:rsidRPr="00567650">
        <w:rPr>
          <w:iCs/>
          <w:lang w:val="en-AU"/>
        </w:rPr>
        <w:t>approved site plan</w:t>
      </w:r>
      <w:r w:rsidR="00FB5179" w:rsidRPr="00567650">
        <w:rPr>
          <w:iCs/>
          <w:lang w:val="en-AU"/>
        </w:rPr>
        <w:t xml:space="preserve"> (</w:t>
      </w:r>
      <w:r w:rsidR="00CC19E8" w:rsidRPr="00567650">
        <w:rPr>
          <w:iCs/>
          <w:lang w:val="en-AU"/>
        </w:rPr>
        <w:t xml:space="preserve">sections </w:t>
      </w:r>
      <w:r w:rsidR="00FB5179" w:rsidRPr="00567650">
        <w:rPr>
          <w:iCs/>
          <w:lang w:val="en-AU"/>
        </w:rPr>
        <w:t>3</w:t>
      </w:r>
      <w:r w:rsidR="006B245E" w:rsidRPr="00567650">
        <w:rPr>
          <w:iCs/>
          <w:lang w:val="en-AU"/>
        </w:rPr>
        <w:t>6</w:t>
      </w:r>
      <w:r w:rsidR="008C7BE6" w:rsidRPr="00567650">
        <w:rPr>
          <w:iCs/>
          <w:lang w:val="en-AU"/>
        </w:rPr>
        <w:t xml:space="preserve"> and </w:t>
      </w:r>
      <w:r w:rsidR="00642A76" w:rsidRPr="00567650">
        <w:rPr>
          <w:iCs/>
          <w:lang w:val="en-AU"/>
        </w:rPr>
        <w:t>37</w:t>
      </w:r>
      <w:r w:rsidR="006B245E" w:rsidRPr="00567650">
        <w:rPr>
          <w:iCs/>
          <w:lang w:val="en-AU"/>
        </w:rPr>
        <w:t xml:space="preserve"> of GHG </w:t>
      </w:r>
      <w:r w:rsidR="004C2F54" w:rsidRPr="00567650">
        <w:rPr>
          <w:iCs/>
          <w:lang w:val="en-AU"/>
        </w:rPr>
        <w:t>R</w:t>
      </w:r>
      <w:r w:rsidR="006B245E" w:rsidRPr="00567650">
        <w:rPr>
          <w:iCs/>
          <w:lang w:val="en-AU"/>
        </w:rPr>
        <w:t>egulations</w:t>
      </w:r>
      <w:r w:rsidR="00FB5179" w:rsidRPr="00567650">
        <w:rPr>
          <w:iCs/>
          <w:lang w:val="en-AU"/>
        </w:rPr>
        <w:t>)</w:t>
      </w:r>
      <w:r w:rsidR="000225A0" w:rsidRPr="00567650">
        <w:rPr>
          <w:iCs/>
          <w:lang w:val="en-AU"/>
        </w:rPr>
        <w:t>,</w:t>
      </w:r>
      <w:r w:rsidRPr="00567650">
        <w:rPr>
          <w:iCs/>
          <w:lang w:val="en-AU"/>
        </w:rPr>
        <w:t xml:space="preserve"> </w:t>
      </w:r>
      <w:r w:rsidR="00FD6F54" w:rsidRPr="00567650">
        <w:rPr>
          <w:iCs/>
          <w:lang w:val="en-AU"/>
        </w:rPr>
        <w:t xml:space="preserve">a </w:t>
      </w:r>
      <w:r w:rsidRPr="00567650">
        <w:rPr>
          <w:iCs/>
          <w:lang w:val="en-AU"/>
        </w:rPr>
        <w:t>v</w:t>
      </w:r>
      <w:r w:rsidR="00262517" w:rsidRPr="00567650">
        <w:rPr>
          <w:iCs/>
          <w:lang w:val="en-AU"/>
        </w:rPr>
        <w:t>ariation</w:t>
      </w:r>
      <w:r w:rsidRPr="00567650">
        <w:rPr>
          <w:iCs/>
          <w:lang w:val="en-AU"/>
        </w:rPr>
        <w:t xml:space="preserve"> of a</w:t>
      </w:r>
      <w:r w:rsidR="00FC7930" w:rsidRPr="00567650">
        <w:rPr>
          <w:iCs/>
          <w:lang w:val="en-AU"/>
        </w:rPr>
        <w:t>n approved</w:t>
      </w:r>
      <w:r w:rsidRPr="00567650">
        <w:rPr>
          <w:iCs/>
          <w:lang w:val="en-AU"/>
        </w:rPr>
        <w:t xml:space="preserve"> site plan is require</w:t>
      </w:r>
      <w:r w:rsidR="00BF5CA9" w:rsidRPr="00567650">
        <w:rPr>
          <w:iCs/>
          <w:lang w:val="en-AU"/>
        </w:rPr>
        <w:t xml:space="preserve">d </w:t>
      </w:r>
      <w:r w:rsidR="00153474" w:rsidRPr="00567650">
        <w:rPr>
          <w:iCs/>
          <w:lang w:val="en-AU"/>
        </w:rPr>
        <w:t xml:space="preserve">following the </w:t>
      </w:r>
      <w:r w:rsidR="00C16C65" w:rsidRPr="00567650">
        <w:rPr>
          <w:iCs/>
          <w:lang w:val="en-AU"/>
        </w:rPr>
        <w:t>occurrence of certain c</w:t>
      </w:r>
      <w:r w:rsidR="00D73B31" w:rsidRPr="00567650">
        <w:rPr>
          <w:iCs/>
          <w:lang w:val="en-AU"/>
        </w:rPr>
        <w:t>i</w:t>
      </w:r>
      <w:r w:rsidR="00C16C65" w:rsidRPr="00567650">
        <w:rPr>
          <w:iCs/>
          <w:lang w:val="en-AU"/>
        </w:rPr>
        <w:t>rcumstances</w:t>
      </w:r>
      <w:r w:rsidR="00D73B31" w:rsidRPr="00567650">
        <w:rPr>
          <w:iCs/>
          <w:lang w:val="en-AU"/>
        </w:rPr>
        <w:t xml:space="preserve"> (</w:t>
      </w:r>
      <w:r w:rsidR="00CC19E8" w:rsidRPr="00567650">
        <w:rPr>
          <w:iCs/>
          <w:lang w:val="en-AU"/>
        </w:rPr>
        <w:t xml:space="preserve">section </w:t>
      </w:r>
      <w:r w:rsidR="00D73B31" w:rsidRPr="00567650">
        <w:rPr>
          <w:iCs/>
          <w:lang w:val="en-AU"/>
        </w:rPr>
        <w:t>40</w:t>
      </w:r>
      <w:r w:rsidR="00A81803" w:rsidRPr="00567650">
        <w:rPr>
          <w:iCs/>
          <w:lang w:val="en-AU"/>
        </w:rPr>
        <w:t xml:space="preserve"> of </w:t>
      </w:r>
      <w:r w:rsidR="00BC1A75" w:rsidRPr="00567650">
        <w:rPr>
          <w:iCs/>
          <w:lang w:val="en-AU"/>
        </w:rPr>
        <w:t xml:space="preserve">the </w:t>
      </w:r>
      <w:r w:rsidR="00A81803" w:rsidRPr="00567650">
        <w:rPr>
          <w:iCs/>
          <w:lang w:val="en-AU"/>
        </w:rPr>
        <w:t>GHG Regulations)</w:t>
      </w:r>
      <w:r w:rsidR="00D73B31" w:rsidRPr="00567650">
        <w:rPr>
          <w:iCs/>
          <w:lang w:val="en-AU"/>
        </w:rPr>
        <w:t xml:space="preserve"> including:</w:t>
      </w:r>
    </w:p>
    <w:p w14:paraId="786BD090" w14:textId="2267434E" w:rsidR="00D72CFA" w:rsidRPr="00567650" w:rsidRDefault="00EA5970" w:rsidP="007F7FAF">
      <w:pPr>
        <w:pStyle w:val="Style2"/>
        <w:numPr>
          <w:ilvl w:val="0"/>
          <w:numId w:val="16"/>
        </w:numPr>
        <w:rPr>
          <w:szCs w:val="20"/>
          <w:lang w:val="en-AU"/>
        </w:rPr>
      </w:pPr>
      <w:r w:rsidRPr="00567650">
        <w:rPr>
          <w:szCs w:val="20"/>
          <w:lang w:val="en-AU"/>
        </w:rPr>
        <w:t xml:space="preserve">the </w:t>
      </w:r>
      <w:r w:rsidR="00CE4A0F" w:rsidRPr="00567650">
        <w:rPr>
          <w:szCs w:val="20"/>
          <w:lang w:val="en-AU"/>
        </w:rPr>
        <w:t xml:space="preserve">plan </w:t>
      </w:r>
      <w:r w:rsidR="000A2AE5" w:rsidRPr="00567650">
        <w:rPr>
          <w:szCs w:val="20"/>
          <w:lang w:val="en-AU"/>
        </w:rPr>
        <w:t>is no longer accurate and up to date</w:t>
      </w:r>
      <w:r w:rsidR="00C16821" w:rsidRPr="00567650">
        <w:rPr>
          <w:szCs w:val="20"/>
          <w:lang w:val="en-AU"/>
        </w:rPr>
        <w:t xml:space="preserve"> because</w:t>
      </w:r>
      <w:r w:rsidR="00BF7893" w:rsidRPr="00567650">
        <w:rPr>
          <w:szCs w:val="20"/>
          <w:lang w:val="en-AU"/>
        </w:rPr>
        <w:t xml:space="preserve"> there is new information</w:t>
      </w:r>
      <w:r w:rsidR="00B45BFE" w:rsidRPr="00567650">
        <w:rPr>
          <w:szCs w:val="20"/>
          <w:lang w:val="en-AU"/>
        </w:rPr>
        <w:t xml:space="preserve"> that significantly alters</w:t>
      </w:r>
      <w:r w:rsidR="00567650" w:rsidRPr="00567650">
        <w:rPr>
          <w:szCs w:val="20"/>
          <w:lang w:val="en-AU"/>
        </w:rPr>
        <w:t xml:space="preserve"> the determination of</w:t>
      </w:r>
      <w:r w:rsidR="00D3373D" w:rsidRPr="00567650">
        <w:rPr>
          <w:szCs w:val="20"/>
          <w:lang w:val="en-AU"/>
        </w:rPr>
        <w:t>:</w:t>
      </w:r>
    </w:p>
    <w:p w14:paraId="6984C8F5" w14:textId="36F2DA62" w:rsidR="00360AD6" w:rsidRPr="00567650" w:rsidRDefault="00B45BFE" w:rsidP="00C25537">
      <w:pPr>
        <w:pStyle w:val="Style2"/>
        <w:numPr>
          <w:ilvl w:val="1"/>
          <w:numId w:val="16"/>
        </w:numPr>
        <w:rPr>
          <w:szCs w:val="20"/>
          <w:lang w:val="en-AU"/>
        </w:rPr>
      </w:pPr>
      <w:r w:rsidRPr="00567650">
        <w:rPr>
          <w:szCs w:val="20"/>
          <w:lang w:val="en-AU"/>
        </w:rPr>
        <w:t xml:space="preserve">the </w:t>
      </w:r>
      <w:r w:rsidR="00AE5510" w:rsidRPr="00567650">
        <w:rPr>
          <w:szCs w:val="20"/>
          <w:lang w:val="en-AU"/>
        </w:rPr>
        <w:t>fundamental</w:t>
      </w:r>
      <w:r w:rsidR="006C76D0" w:rsidRPr="00567650">
        <w:rPr>
          <w:szCs w:val="20"/>
          <w:lang w:val="en-AU"/>
        </w:rPr>
        <w:t xml:space="preserve"> suitability </w:t>
      </w:r>
      <w:proofErr w:type="gramStart"/>
      <w:r w:rsidR="006C76D0" w:rsidRPr="00567650">
        <w:rPr>
          <w:szCs w:val="20"/>
          <w:lang w:val="en-AU"/>
        </w:rPr>
        <w:t>determina</w:t>
      </w:r>
      <w:r w:rsidR="00443CA4" w:rsidRPr="00567650">
        <w:rPr>
          <w:szCs w:val="20"/>
          <w:lang w:val="en-AU"/>
        </w:rPr>
        <w:t>n</w:t>
      </w:r>
      <w:r w:rsidR="006C76D0" w:rsidRPr="00567650">
        <w:rPr>
          <w:szCs w:val="20"/>
          <w:lang w:val="en-AU"/>
        </w:rPr>
        <w:t>ts;</w:t>
      </w:r>
      <w:proofErr w:type="gramEnd"/>
    </w:p>
    <w:p w14:paraId="246B5709" w14:textId="560A0006" w:rsidR="00C25537" w:rsidRPr="00567650" w:rsidRDefault="00567650" w:rsidP="00C25537">
      <w:pPr>
        <w:pStyle w:val="Style2"/>
        <w:numPr>
          <w:ilvl w:val="1"/>
          <w:numId w:val="16"/>
        </w:numPr>
        <w:rPr>
          <w:szCs w:val="20"/>
          <w:lang w:val="en-AU"/>
        </w:rPr>
      </w:pPr>
      <w:r w:rsidRPr="00567650">
        <w:rPr>
          <w:szCs w:val="20"/>
          <w:lang w:val="en-AU"/>
        </w:rPr>
        <w:t xml:space="preserve">the </w:t>
      </w:r>
      <w:r w:rsidR="00A30004" w:rsidRPr="00567650">
        <w:rPr>
          <w:szCs w:val="20"/>
          <w:lang w:val="en-AU"/>
        </w:rPr>
        <w:t>expected migration pathways of the GHG substance</w:t>
      </w:r>
      <w:r w:rsidRPr="00567650">
        <w:rPr>
          <w:szCs w:val="20"/>
          <w:lang w:val="en-AU"/>
        </w:rPr>
        <w:t xml:space="preserve"> or the</w:t>
      </w:r>
      <w:r w:rsidR="003B4818" w:rsidRPr="00567650">
        <w:rPr>
          <w:szCs w:val="20"/>
          <w:lang w:val="en-AU"/>
        </w:rPr>
        <w:t xml:space="preserve"> predictions set out in Part A</w:t>
      </w:r>
      <w:r w:rsidR="00D21AC7" w:rsidRPr="00567650">
        <w:rPr>
          <w:szCs w:val="20"/>
          <w:lang w:val="en-AU"/>
        </w:rPr>
        <w:t xml:space="preserve"> of the plan</w:t>
      </w:r>
      <w:r w:rsidRPr="00567650">
        <w:rPr>
          <w:lang w:val="en-AU"/>
        </w:rPr>
        <w:t xml:space="preserve"> for the behaviour of</w:t>
      </w:r>
      <w:r>
        <w:rPr>
          <w:lang w:val="en-AU"/>
        </w:rPr>
        <w:t xml:space="preserve"> each GHG </w:t>
      </w:r>
      <w:proofErr w:type="gramStart"/>
      <w:r>
        <w:rPr>
          <w:lang w:val="en-AU"/>
        </w:rPr>
        <w:t>substance</w:t>
      </w:r>
      <w:r w:rsidR="00D21AC7" w:rsidRPr="00567650">
        <w:rPr>
          <w:szCs w:val="20"/>
          <w:lang w:val="en-AU"/>
        </w:rPr>
        <w:t>;</w:t>
      </w:r>
      <w:proofErr w:type="gramEnd"/>
    </w:p>
    <w:p w14:paraId="02CEB4BB" w14:textId="4FFE06B8" w:rsidR="00C25537" w:rsidRPr="00567650" w:rsidRDefault="00891690" w:rsidP="00C25537">
      <w:pPr>
        <w:pStyle w:val="Style2"/>
        <w:numPr>
          <w:ilvl w:val="1"/>
          <w:numId w:val="16"/>
        </w:numPr>
        <w:rPr>
          <w:szCs w:val="20"/>
          <w:lang w:val="en-AU"/>
        </w:rPr>
      </w:pPr>
      <w:r w:rsidRPr="00567650">
        <w:rPr>
          <w:szCs w:val="20"/>
          <w:lang w:val="en-AU"/>
        </w:rPr>
        <w:t>interactions between the formation</w:t>
      </w:r>
      <w:r w:rsidR="003D08F0" w:rsidRPr="00567650">
        <w:rPr>
          <w:szCs w:val="20"/>
          <w:lang w:val="en-AU"/>
        </w:rPr>
        <w:t xml:space="preserve"> and the method</w:t>
      </w:r>
      <w:r w:rsidR="00020870" w:rsidRPr="00567650">
        <w:rPr>
          <w:szCs w:val="20"/>
          <w:lang w:val="en-AU"/>
        </w:rPr>
        <w:t xml:space="preserve"> by which the </w:t>
      </w:r>
      <w:r w:rsidR="00F41FF3" w:rsidRPr="00567650">
        <w:rPr>
          <w:szCs w:val="20"/>
          <w:lang w:val="en-AU"/>
        </w:rPr>
        <w:t>GHG substance is injected</w:t>
      </w:r>
      <w:r w:rsidR="00530612" w:rsidRPr="00567650">
        <w:rPr>
          <w:szCs w:val="20"/>
          <w:lang w:val="en-AU"/>
        </w:rPr>
        <w:t xml:space="preserve"> into the formation</w:t>
      </w:r>
      <w:r w:rsidR="00D74C71" w:rsidRPr="00567650">
        <w:rPr>
          <w:szCs w:val="20"/>
          <w:lang w:val="en-AU"/>
        </w:rPr>
        <w:t xml:space="preserve">; </w:t>
      </w:r>
      <w:r w:rsidR="00567650" w:rsidRPr="00567650">
        <w:rPr>
          <w:szCs w:val="20"/>
          <w:lang w:val="en-AU"/>
        </w:rPr>
        <w:t>or</w:t>
      </w:r>
    </w:p>
    <w:p w14:paraId="0AD69537" w14:textId="4AD3AAF2" w:rsidR="00E70045" w:rsidRPr="00567650" w:rsidRDefault="00D74C71" w:rsidP="001B7BB4">
      <w:pPr>
        <w:pStyle w:val="Style2"/>
        <w:numPr>
          <w:ilvl w:val="1"/>
          <w:numId w:val="16"/>
        </w:numPr>
        <w:rPr>
          <w:szCs w:val="20"/>
          <w:lang w:val="en-AU"/>
        </w:rPr>
      </w:pPr>
      <w:r w:rsidRPr="00567650">
        <w:rPr>
          <w:szCs w:val="20"/>
          <w:lang w:val="en-AU"/>
        </w:rPr>
        <w:t>any other</w:t>
      </w:r>
      <w:r w:rsidR="00320178" w:rsidRPr="00567650">
        <w:rPr>
          <w:szCs w:val="20"/>
          <w:lang w:val="en-AU"/>
        </w:rPr>
        <w:t xml:space="preserve"> matter relevant</w:t>
      </w:r>
      <w:r w:rsidR="00F005C8" w:rsidRPr="00567650">
        <w:rPr>
          <w:szCs w:val="20"/>
          <w:lang w:val="en-AU"/>
        </w:rPr>
        <w:t xml:space="preserve"> to the safe </w:t>
      </w:r>
      <w:r w:rsidR="00B80016" w:rsidRPr="00567650">
        <w:rPr>
          <w:szCs w:val="20"/>
          <w:lang w:val="en-AU"/>
        </w:rPr>
        <w:t xml:space="preserve">and secure storage of GHG substance </w:t>
      </w:r>
      <w:r w:rsidR="00816A01" w:rsidRPr="00567650">
        <w:rPr>
          <w:szCs w:val="20"/>
          <w:lang w:val="en-AU"/>
        </w:rPr>
        <w:t>in the format</w:t>
      </w:r>
      <w:r w:rsidR="007F7FAF" w:rsidRPr="00567650">
        <w:rPr>
          <w:szCs w:val="20"/>
          <w:lang w:val="en-AU"/>
        </w:rPr>
        <w:t>ion.</w:t>
      </w:r>
    </w:p>
    <w:p w14:paraId="3DC086C0" w14:textId="1C357ED1" w:rsidR="007F7FAF" w:rsidRPr="00567650" w:rsidRDefault="00EA5970" w:rsidP="007F7FAF">
      <w:pPr>
        <w:pStyle w:val="Style2"/>
        <w:numPr>
          <w:ilvl w:val="0"/>
          <w:numId w:val="16"/>
        </w:numPr>
        <w:rPr>
          <w:szCs w:val="20"/>
          <w:lang w:val="en-AU"/>
        </w:rPr>
      </w:pPr>
      <w:r w:rsidRPr="00567650">
        <w:rPr>
          <w:szCs w:val="20"/>
          <w:lang w:val="en-AU"/>
        </w:rPr>
        <w:t xml:space="preserve">the </w:t>
      </w:r>
      <w:r w:rsidR="00B62419" w:rsidRPr="00567650">
        <w:rPr>
          <w:szCs w:val="20"/>
          <w:lang w:val="en-AU"/>
        </w:rPr>
        <w:t>licensee proposes to make a change, or a series of changes, to the way the operations authorised by the licence are carried out, that will affect prediction</w:t>
      </w:r>
      <w:r w:rsidR="00567650">
        <w:rPr>
          <w:szCs w:val="20"/>
          <w:lang w:val="en-AU"/>
        </w:rPr>
        <w:t>s</w:t>
      </w:r>
      <w:r w:rsidR="00B62419" w:rsidRPr="00567650">
        <w:rPr>
          <w:szCs w:val="20"/>
          <w:lang w:val="en-AU"/>
        </w:rPr>
        <w:t xml:space="preserve"> set</w:t>
      </w:r>
      <w:r w:rsidR="007F5E2C" w:rsidRPr="00567650">
        <w:rPr>
          <w:szCs w:val="20"/>
          <w:lang w:val="en-AU"/>
        </w:rPr>
        <w:t xml:space="preserve"> out in Part</w:t>
      </w:r>
      <w:r w:rsidR="00366A1D" w:rsidRPr="00567650">
        <w:rPr>
          <w:szCs w:val="20"/>
          <w:lang w:val="en-AU"/>
        </w:rPr>
        <w:t xml:space="preserve"> A of the plan</w:t>
      </w:r>
      <w:r w:rsidR="00895F79" w:rsidRPr="00567650">
        <w:rPr>
          <w:szCs w:val="20"/>
          <w:lang w:val="en-AU"/>
        </w:rPr>
        <w:t xml:space="preserve"> </w:t>
      </w:r>
      <w:r w:rsidR="00567650" w:rsidRPr="00567650">
        <w:rPr>
          <w:lang w:val="en-AU"/>
        </w:rPr>
        <w:t>for the behaviour of</w:t>
      </w:r>
      <w:r w:rsidR="00567650">
        <w:rPr>
          <w:lang w:val="en-AU"/>
        </w:rPr>
        <w:t xml:space="preserve"> each GHG substance,</w:t>
      </w:r>
      <w:r w:rsidR="00567650" w:rsidRPr="00567650">
        <w:rPr>
          <w:szCs w:val="20"/>
          <w:lang w:val="en-AU"/>
        </w:rPr>
        <w:t xml:space="preserve"> </w:t>
      </w:r>
      <w:r w:rsidR="00567650">
        <w:rPr>
          <w:szCs w:val="20"/>
          <w:lang w:val="en-AU"/>
        </w:rPr>
        <w:t>or</w:t>
      </w:r>
      <w:r w:rsidR="00567650" w:rsidRPr="00567650">
        <w:rPr>
          <w:szCs w:val="20"/>
          <w:lang w:val="en-AU"/>
        </w:rPr>
        <w:t xml:space="preserve"> </w:t>
      </w:r>
      <w:r w:rsidR="00895F79" w:rsidRPr="00567650">
        <w:rPr>
          <w:szCs w:val="20"/>
          <w:lang w:val="en-AU"/>
        </w:rPr>
        <w:t>the risks</w:t>
      </w:r>
      <w:r w:rsidR="00270684" w:rsidRPr="00567650">
        <w:rPr>
          <w:szCs w:val="20"/>
          <w:lang w:val="en-AU"/>
        </w:rPr>
        <w:t xml:space="preserve"> associated with those operations</w:t>
      </w:r>
      <w:r w:rsidRPr="00567650">
        <w:rPr>
          <w:szCs w:val="20"/>
          <w:lang w:val="en-AU"/>
        </w:rPr>
        <w:t>; and</w:t>
      </w:r>
    </w:p>
    <w:p w14:paraId="10A11060" w14:textId="4C4071DD" w:rsidR="00270684" w:rsidRPr="00567650" w:rsidRDefault="00EA5970" w:rsidP="00D54CDD">
      <w:pPr>
        <w:pStyle w:val="Style2"/>
        <w:numPr>
          <w:ilvl w:val="0"/>
          <w:numId w:val="16"/>
        </w:numPr>
        <w:rPr>
          <w:szCs w:val="20"/>
          <w:lang w:val="en-AU"/>
        </w:rPr>
      </w:pPr>
      <w:r w:rsidRPr="00567650">
        <w:rPr>
          <w:szCs w:val="20"/>
          <w:lang w:val="en-AU"/>
        </w:rPr>
        <w:t xml:space="preserve">the </w:t>
      </w:r>
      <w:r w:rsidR="0076412B" w:rsidRPr="00567650">
        <w:rPr>
          <w:szCs w:val="20"/>
          <w:lang w:val="en-AU"/>
        </w:rPr>
        <w:t>licensee proposes to make a significant change to the way the operations authorised by the licence are managed that will affect the integrated operations management plan.</w:t>
      </w:r>
    </w:p>
    <w:p w14:paraId="4E0E1D37" w14:textId="3B9BAE20" w:rsidR="0067743A" w:rsidRPr="00567650" w:rsidRDefault="0067743A" w:rsidP="00B9166D">
      <w:pPr>
        <w:pStyle w:val="Style2"/>
        <w:rPr>
          <w:i/>
          <w:lang w:val="en-AU"/>
        </w:rPr>
      </w:pPr>
      <w:r w:rsidRPr="00567650">
        <w:rPr>
          <w:i/>
          <w:lang w:val="en-AU"/>
        </w:rPr>
        <w:t>Site Closure and Remediation</w:t>
      </w:r>
    </w:p>
    <w:p w14:paraId="26AB497E" w14:textId="77A6B822" w:rsidR="00A22BFF" w:rsidRPr="00567650" w:rsidRDefault="00591316" w:rsidP="005A22C8">
      <w:pPr>
        <w:spacing w:before="120" w:after="120"/>
        <w:rPr>
          <w:color w:val="5F5F5F"/>
          <w:sz w:val="20"/>
          <w:szCs w:val="20"/>
          <w:lang w:eastAsia="en-AU"/>
        </w:rPr>
      </w:pPr>
      <w:r w:rsidRPr="00567650">
        <w:rPr>
          <w:color w:val="5F5F5F"/>
          <w:sz w:val="20"/>
          <w:szCs w:val="20"/>
          <w:lang w:eastAsia="en-AU"/>
        </w:rPr>
        <w:t xml:space="preserve">Potential risks </w:t>
      </w:r>
      <w:r w:rsidR="00B27A82" w:rsidRPr="00567650">
        <w:rPr>
          <w:color w:val="5F5F5F"/>
          <w:sz w:val="20"/>
          <w:szCs w:val="20"/>
          <w:lang w:eastAsia="en-AU"/>
        </w:rPr>
        <w:t>related to site closure and r</w:t>
      </w:r>
      <w:r w:rsidR="00C71BC9" w:rsidRPr="00567650">
        <w:rPr>
          <w:color w:val="5F5F5F"/>
          <w:sz w:val="20"/>
          <w:szCs w:val="20"/>
          <w:lang w:eastAsia="en-AU"/>
        </w:rPr>
        <w:t>emediation</w:t>
      </w:r>
      <w:r w:rsidR="00EF04F0" w:rsidRPr="00567650">
        <w:rPr>
          <w:color w:val="5F5F5F"/>
          <w:sz w:val="20"/>
          <w:szCs w:val="20"/>
          <w:lang w:eastAsia="en-AU"/>
        </w:rPr>
        <w:t xml:space="preserve"> (</w:t>
      </w:r>
      <w:r w:rsidR="00676488" w:rsidRPr="00567650">
        <w:rPr>
          <w:color w:val="5F5F5F"/>
          <w:sz w:val="20"/>
          <w:szCs w:val="20"/>
          <w:lang w:eastAsia="en-AU"/>
        </w:rPr>
        <w:t>clause</w:t>
      </w:r>
      <w:r w:rsidR="00CC19E8" w:rsidRPr="00567650">
        <w:rPr>
          <w:color w:val="5F5F5F"/>
          <w:sz w:val="20"/>
          <w:szCs w:val="20"/>
          <w:lang w:eastAsia="en-AU"/>
        </w:rPr>
        <w:t xml:space="preserve"> </w:t>
      </w:r>
      <w:r w:rsidR="00EF04F0" w:rsidRPr="00567650">
        <w:rPr>
          <w:color w:val="5F5F5F"/>
          <w:sz w:val="20"/>
          <w:szCs w:val="20"/>
          <w:lang w:eastAsia="en-AU"/>
        </w:rPr>
        <w:t xml:space="preserve">9 </w:t>
      </w:r>
      <w:r w:rsidR="000A6D0F" w:rsidRPr="00567650">
        <w:rPr>
          <w:color w:val="5F5F5F"/>
          <w:sz w:val="20"/>
          <w:szCs w:val="20"/>
          <w:lang w:eastAsia="en-AU"/>
        </w:rPr>
        <w:t>of</w:t>
      </w:r>
      <w:r w:rsidR="00EF04F0" w:rsidRPr="00567650">
        <w:rPr>
          <w:color w:val="5F5F5F"/>
          <w:sz w:val="20"/>
          <w:szCs w:val="20"/>
          <w:lang w:eastAsia="en-AU"/>
        </w:rPr>
        <w:t xml:space="preserve"> Schedule 2 </w:t>
      </w:r>
      <w:r w:rsidR="007F1A76" w:rsidRPr="00567650">
        <w:rPr>
          <w:color w:val="5F5F5F"/>
          <w:sz w:val="20"/>
          <w:szCs w:val="20"/>
          <w:lang w:eastAsia="en-AU"/>
        </w:rPr>
        <w:t xml:space="preserve">of the </w:t>
      </w:r>
      <w:r w:rsidR="00EF04F0" w:rsidRPr="00567650">
        <w:rPr>
          <w:color w:val="5F5F5F"/>
          <w:sz w:val="20"/>
          <w:szCs w:val="20"/>
          <w:lang w:eastAsia="en-AU"/>
        </w:rPr>
        <w:t xml:space="preserve">GHG Regulations) </w:t>
      </w:r>
      <w:r w:rsidR="00A22BFF" w:rsidRPr="00567650">
        <w:rPr>
          <w:color w:val="5F5F5F"/>
          <w:sz w:val="20"/>
          <w:szCs w:val="20"/>
          <w:lang w:eastAsia="en-AU"/>
        </w:rPr>
        <w:t>that could pose</w:t>
      </w:r>
      <w:r w:rsidR="002A3F9B" w:rsidRPr="00567650">
        <w:rPr>
          <w:color w:val="5F5F5F"/>
          <w:sz w:val="20"/>
          <w:szCs w:val="20"/>
          <w:lang w:eastAsia="en-AU"/>
        </w:rPr>
        <w:t xml:space="preserve"> a risk </w:t>
      </w:r>
      <w:r w:rsidR="00E3019D" w:rsidRPr="00567650">
        <w:rPr>
          <w:color w:val="5F5F5F"/>
          <w:sz w:val="20"/>
          <w:szCs w:val="20"/>
          <w:lang w:eastAsia="en-AU"/>
        </w:rPr>
        <w:t>of leakage of GHG substances</w:t>
      </w:r>
      <w:r w:rsidR="00D2002A" w:rsidRPr="00567650">
        <w:rPr>
          <w:color w:val="5F5F5F"/>
          <w:sz w:val="20"/>
          <w:szCs w:val="20"/>
          <w:lang w:eastAsia="en-AU"/>
        </w:rPr>
        <w:t xml:space="preserve"> stored in the formation after site closure</w:t>
      </w:r>
      <w:r w:rsidR="002D3BC4" w:rsidRPr="00567650">
        <w:rPr>
          <w:color w:val="5F5F5F"/>
          <w:sz w:val="20"/>
          <w:szCs w:val="20"/>
          <w:lang w:eastAsia="en-AU"/>
        </w:rPr>
        <w:t xml:space="preserve"> need to be </w:t>
      </w:r>
      <w:r w:rsidR="00567650">
        <w:rPr>
          <w:color w:val="5F5F5F"/>
          <w:sz w:val="20"/>
          <w:szCs w:val="20"/>
          <w:lang w:eastAsia="en-AU"/>
        </w:rPr>
        <w:t xml:space="preserve">considered in Part B of the site plan and </w:t>
      </w:r>
      <w:r w:rsidR="002D3BC4" w:rsidRPr="00567650">
        <w:rPr>
          <w:color w:val="5F5F5F"/>
          <w:sz w:val="20"/>
          <w:szCs w:val="20"/>
          <w:lang w:eastAsia="en-AU"/>
        </w:rPr>
        <w:t>assessed</w:t>
      </w:r>
      <w:r w:rsidR="0034277D" w:rsidRPr="00567650">
        <w:rPr>
          <w:color w:val="5F5F5F"/>
          <w:sz w:val="20"/>
          <w:szCs w:val="20"/>
          <w:lang w:eastAsia="en-AU"/>
        </w:rPr>
        <w:t xml:space="preserve"> </w:t>
      </w:r>
      <w:r w:rsidR="00450970" w:rsidRPr="00567650">
        <w:rPr>
          <w:color w:val="5F5F5F"/>
          <w:sz w:val="20"/>
          <w:szCs w:val="20"/>
          <w:lang w:eastAsia="en-AU"/>
        </w:rPr>
        <w:t>as part</w:t>
      </w:r>
      <w:r w:rsidR="0005264F" w:rsidRPr="00567650">
        <w:rPr>
          <w:color w:val="5F5F5F"/>
          <w:sz w:val="20"/>
          <w:szCs w:val="20"/>
          <w:lang w:eastAsia="en-AU"/>
        </w:rPr>
        <w:t xml:space="preserve"> of the application for a site clos</w:t>
      </w:r>
      <w:r w:rsidR="00C42AB9" w:rsidRPr="00567650">
        <w:rPr>
          <w:color w:val="5F5F5F"/>
          <w:sz w:val="20"/>
          <w:szCs w:val="20"/>
          <w:lang w:eastAsia="en-AU"/>
        </w:rPr>
        <w:t>ing</w:t>
      </w:r>
      <w:r w:rsidR="0005264F" w:rsidRPr="00567650">
        <w:rPr>
          <w:color w:val="5F5F5F"/>
          <w:sz w:val="20"/>
          <w:szCs w:val="20"/>
          <w:lang w:eastAsia="en-AU"/>
        </w:rPr>
        <w:t xml:space="preserve"> certificate</w:t>
      </w:r>
      <w:r w:rsidR="00461552" w:rsidRPr="00567650">
        <w:rPr>
          <w:color w:val="5F5F5F"/>
          <w:sz w:val="20"/>
          <w:szCs w:val="20"/>
          <w:lang w:eastAsia="en-AU"/>
        </w:rPr>
        <w:t>.</w:t>
      </w:r>
    </w:p>
    <w:p w14:paraId="2B082425" w14:textId="2DC4A5C1" w:rsidR="008879E5" w:rsidRPr="00567650" w:rsidRDefault="008879E5" w:rsidP="00DB0F0B">
      <w:pPr>
        <w:pStyle w:val="Heading2"/>
      </w:pPr>
      <w:r w:rsidRPr="00567650">
        <w:t>Engagement with Regulator</w:t>
      </w:r>
      <w:r w:rsidR="00C8652E" w:rsidRPr="00567650">
        <w:t>s</w:t>
      </w:r>
    </w:p>
    <w:p w14:paraId="49598E66" w14:textId="410B122D" w:rsidR="005E4E61" w:rsidRPr="00567650" w:rsidRDefault="005E4E61" w:rsidP="005E4E61">
      <w:pPr>
        <w:tabs>
          <w:tab w:val="left" w:pos="284"/>
        </w:tabs>
        <w:rPr>
          <w:color w:val="5F5F5F"/>
          <w:sz w:val="20"/>
          <w:szCs w:val="20"/>
        </w:rPr>
      </w:pPr>
      <w:r w:rsidRPr="00567650">
        <w:rPr>
          <w:color w:val="5F5F5F"/>
          <w:sz w:val="20"/>
          <w:szCs w:val="20"/>
        </w:rPr>
        <w:t xml:space="preserve">Applicants should note that information included in the </w:t>
      </w:r>
      <w:r w:rsidR="00C817AE" w:rsidRPr="00567650">
        <w:rPr>
          <w:color w:val="5F5F5F"/>
          <w:sz w:val="20"/>
          <w:szCs w:val="20"/>
        </w:rPr>
        <w:t xml:space="preserve">draft </w:t>
      </w:r>
      <w:r w:rsidRPr="00567650">
        <w:rPr>
          <w:color w:val="5F5F5F"/>
          <w:sz w:val="20"/>
          <w:szCs w:val="20"/>
        </w:rPr>
        <w:t>site plan to meet the risk assessment and strategy requirements will be a critical underpinning to future operational approvals including safety cases. Further information on risk assessment considerations can be found in the NOPSEMA guidance note</w:t>
      </w:r>
      <w:r w:rsidR="7446A673" w:rsidRPr="00567650">
        <w:rPr>
          <w:color w:val="5F5F5F"/>
          <w:sz w:val="20"/>
          <w:szCs w:val="20"/>
        </w:rPr>
        <w:t xml:space="preserve"> on</w:t>
      </w:r>
      <w:r w:rsidR="002434D0" w:rsidRPr="00567650">
        <w:rPr>
          <w:color w:val="5F5F5F"/>
          <w:sz w:val="20"/>
          <w:szCs w:val="20"/>
        </w:rPr>
        <w:t xml:space="preserve"> </w:t>
      </w:r>
      <w:r w:rsidRPr="00567650">
        <w:rPr>
          <w:color w:val="5F5F5F"/>
          <w:sz w:val="20"/>
          <w:szCs w:val="20"/>
        </w:rPr>
        <w:t>risk assessments.</w:t>
      </w:r>
    </w:p>
    <w:p w14:paraId="5822C7D8" w14:textId="1BB7788F" w:rsidR="005E4E61" w:rsidRPr="00567650" w:rsidRDefault="005E4E61" w:rsidP="005E4E61">
      <w:pPr>
        <w:tabs>
          <w:tab w:val="left" w:pos="284"/>
        </w:tabs>
        <w:rPr>
          <w:color w:val="5F5F5F"/>
          <w:sz w:val="20"/>
          <w:szCs w:val="20"/>
        </w:rPr>
      </w:pPr>
      <w:r w:rsidRPr="00567650">
        <w:rPr>
          <w:color w:val="5F5F5F"/>
          <w:sz w:val="20"/>
          <w:szCs w:val="20"/>
        </w:rPr>
        <w:t xml:space="preserve">Applicants should engage early with </w:t>
      </w:r>
      <w:r w:rsidR="001563FB" w:rsidRPr="00567650">
        <w:rPr>
          <w:color w:val="5F5F5F"/>
          <w:sz w:val="20"/>
          <w:szCs w:val="20"/>
        </w:rPr>
        <w:t xml:space="preserve">both NOPTA and </w:t>
      </w:r>
      <w:r w:rsidRPr="00567650">
        <w:rPr>
          <w:color w:val="5F5F5F"/>
          <w:sz w:val="20"/>
          <w:szCs w:val="20"/>
        </w:rPr>
        <w:t>NOPSEMA, including</w:t>
      </w:r>
      <w:r w:rsidR="00F62268" w:rsidRPr="00567650">
        <w:rPr>
          <w:color w:val="5F5F5F"/>
          <w:sz w:val="20"/>
          <w:szCs w:val="20"/>
        </w:rPr>
        <w:t xml:space="preserve"> workshops</w:t>
      </w:r>
      <w:r w:rsidRPr="00567650">
        <w:rPr>
          <w:color w:val="5F5F5F"/>
          <w:sz w:val="20"/>
          <w:szCs w:val="20"/>
        </w:rPr>
        <w:t xml:space="preserve"> in advance of submitting their </w:t>
      </w:r>
      <w:r w:rsidR="00F3472A" w:rsidRPr="00567650">
        <w:rPr>
          <w:color w:val="5F5F5F"/>
          <w:sz w:val="20"/>
          <w:szCs w:val="20"/>
        </w:rPr>
        <w:t xml:space="preserve">draft </w:t>
      </w:r>
      <w:r w:rsidRPr="00567650">
        <w:rPr>
          <w:color w:val="5F5F5F"/>
          <w:sz w:val="20"/>
          <w:szCs w:val="20"/>
        </w:rPr>
        <w:t>site plan</w:t>
      </w:r>
      <w:r w:rsidR="00BA2F08" w:rsidRPr="00567650">
        <w:rPr>
          <w:color w:val="5F5F5F"/>
          <w:sz w:val="20"/>
          <w:szCs w:val="20"/>
        </w:rPr>
        <w:t xml:space="preserve"> </w:t>
      </w:r>
      <w:r w:rsidRPr="00567650">
        <w:rPr>
          <w:color w:val="5F5F5F"/>
          <w:sz w:val="20"/>
          <w:szCs w:val="20"/>
        </w:rPr>
        <w:t>to discuss risk aspects of their project to ensure safety-by-design principles are appropriately being factored into their infrastructure proposals from an early stage of project design.</w:t>
      </w:r>
    </w:p>
    <w:p w14:paraId="3B6D64F6" w14:textId="1C891922" w:rsidR="0012681D" w:rsidRPr="00567650" w:rsidRDefault="0012681D" w:rsidP="00DB0F0B">
      <w:pPr>
        <w:pStyle w:val="Heading2"/>
      </w:pPr>
      <w:r w:rsidRPr="00567650">
        <w:t xml:space="preserve">More </w:t>
      </w:r>
      <w:r w:rsidR="00D07B7C" w:rsidRPr="00567650">
        <w:t>i</w:t>
      </w:r>
      <w:r w:rsidRPr="00567650">
        <w:t>nformation</w:t>
      </w:r>
    </w:p>
    <w:p w14:paraId="7B60F854" w14:textId="5904C954" w:rsidR="0012681D" w:rsidRPr="00567650" w:rsidRDefault="0012681D" w:rsidP="001F326B">
      <w:pPr>
        <w:pStyle w:val="NoSpacing"/>
        <w:rPr>
          <w:b/>
          <w:i/>
          <w:lang w:val="en-AU"/>
        </w:rPr>
      </w:pPr>
      <w:r w:rsidRPr="00567650">
        <w:rPr>
          <w:rFonts w:cstheme="minorHAnsi"/>
          <w:lang w:val="en-AU"/>
        </w:rPr>
        <w:t>If you have any</w:t>
      </w:r>
      <w:r w:rsidR="004E03D0" w:rsidRPr="00567650">
        <w:rPr>
          <w:rFonts w:cstheme="minorHAnsi"/>
          <w:lang w:val="en-AU"/>
        </w:rPr>
        <w:t xml:space="preserve"> specific questions, please contact</w:t>
      </w:r>
      <w:r w:rsidRPr="00567650">
        <w:rPr>
          <w:rFonts w:cstheme="minorHAnsi"/>
          <w:lang w:val="en-AU"/>
        </w:rPr>
        <w:t xml:space="preserve"> </w:t>
      </w:r>
      <w:hyperlink r:id="rId30" w:history="1">
        <w:r w:rsidR="00B1317D" w:rsidRPr="00567650">
          <w:rPr>
            <w:rStyle w:val="Hyperlink"/>
            <w:rFonts w:cstheme="minorHAnsi"/>
            <w:lang w:val="en-AU"/>
          </w:rPr>
          <w:t>ghg@nopta.gov.au</w:t>
        </w:r>
      </w:hyperlink>
      <w:r w:rsidR="00B1317D" w:rsidRPr="00567650">
        <w:rPr>
          <w:rFonts w:cstheme="minorHAnsi"/>
          <w:lang w:val="en-AU"/>
        </w:rPr>
        <w:t>.</w:t>
      </w:r>
    </w:p>
    <w:p w14:paraId="25AD4E79" w14:textId="1605F461" w:rsidR="0009542E" w:rsidRPr="00567650" w:rsidRDefault="0012681D" w:rsidP="001053AC">
      <w:pPr>
        <w:spacing w:before="120" w:after="120"/>
        <w:rPr>
          <w:i/>
          <w:sz w:val="18"/>
          <w:szCs w:val="18"/>
        </w:rPr>
      </w:pPr>
      <w:r w:rsidRPr="00567650">
        <w:rPr>
          <w:rFonts w:ascii="Calibri" w:eastAsia="Calibri" w:hAnsi="Calibri"/>
          <w:b/>
          <w:i/>
          <w:color w:val="5F5F5F"/>
          <w:sz w:val="18"/>
          <w:szCs w:val="18"/>
          <w:lang w:eastAsia="en-AU"/>
        </w:rPr>
        <w:t>Please note</w:t>
      </w:r>
      <w:r w:rsidRPr="00567650">
        <w:rPr>
          <w:b/>
          <w:i/>
          <w:sz w:val="18"/>
          <w:szCs w:val="18"/>
        </w:rPr>
        <w:t xml:space="preserve">: </w:t>
      </w:r>
      <w:r w:rsidRPr="00567650">
        <w:rPr>
          <w:rFonts w:ascii="Calibri" w:eastAsia="Calibri" w:hAnsi="Calibri"/>
          <w:i/>
          <w:color w:val="5F5F5F"/>
          <w:sz w:val="18"/>
          <w:szCs w:val="18"/>
          <w:lang w:eastAsia="en-AU"/>
        </w:rPr>
        <w:t>this document is intended as a guide only</w:t>
      </w:r>
      <w:r w:rsidR="00EE326C" w:rsidRPr="00567650">
        <w:rPr>
          <w:rFonts w:ascii="Calibri" w:eastAsia="Calibri" w:hAnsi="Calibri"/>
          <w:i/>
          <w:color w:val="5F5F5F"/>
          <w:sz w:val="18"/>
          <w:szCs w:val="18"/>
          <w:lang w:eastAsia="en-AU"/>
        </w:rPr>
        <w:t>. It is subject to, and does not replace or amend the requirements of, the Offshore Petroleum and Greenhouse Gas Storage Act 2006 and associated regulations, which should be read in conjunction with this guideline.</w:t>
      </w:r>
      <w:r w:rsidRPr="00567650">
        <w:rPr>
          <w:rFonts w:ascii="Calibri" w:eastAsia="Calibri" w:hAnsi="Calibri"/>
          <w:i/>
          <w:color w:val="5F5F5F"/>
          <w:sz w:val="18"/>
          <w:szCs w:val="18"/>
          <w:lang w:eastAsia="en-AU"/>
        </w:rPr>
        <w:t xml:space="preserve"> </w:t>
      </w:r>
      <w:r w:rsidR="00EE326C" w:rsidRPr="00567650">
        <w:rPr>
          <w:rFonts w:ascii="Calibri" w:eastAsia="Calibri" w:hAnsi="Calibri"/>
          <w:i/>
          <w:color w:val="5F5F5F"/>
          <w:sz w:val="18"/>
          <w:szCs w:val="18"/>
          <w:lang w:eastAsia="en-AU"/>
        </w:rPr>
        <w:t xml:space="preserve">It </w:t>
      </w:r>
      <w:r w:rsidRPr="00567650">
        <w:rPr>
          <w:rFonts w:ascii="Calibri" w:eastAsia="Calibri" w:hAnsi="Calibri"/>
          <w:i/>
          <w:color w:val="5F5F5F"/>
          <w:sz w:val="18"/>
          <w:szCs w:val="18"/>
          <w:lang w:eastAsia="en-AU"/>
        </w:rPr>
        <w:t>should not be relied on as legal advice or regarded as a substitute for legal advice in individual cases.</w:t>
      </w:r>
    </w:p>
    <w:p w14:paraId="01EE999B" w14:textId="5B997374" w:rsidR="00D32BCA" w:rsidRPr="00567650" w:rsidRDefault="00D32BCA" w:rsidP="00DB0F0B">
      <w:pPr>
        <w:pStyle w:val="Heading2"/>
      </w:pPr>
      <w:r w:rsidRPr="00567650">
        <w:t xml:space="preserve">Version </w:t>
      </w:r>
      <w:r w:rsidR="00D07B7C" w:rsidRPr="00567650">
        <w:t>h</w:t>
      </w:r>
      <w:r w:rsidRPr="00567650">
        <w:t>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Pr>
      <w:tblGrid>
        <w:gridCol w:w="622"/>
        <w:gridCol w:w="992"/>
        <w:gridCol w:w="3138"/>
      </w:tblGrid>
      <w:tr w:rsidR="004E03D0" w:rsidRPr="00567650" w14:paraId="625C8F76" w14:textId="77777777" w:rsidTr="00335A10">
        <w:trPr>
          <w:trHeight w:val="170"/>
        </w:trPr>
        <w:tc>
          <w:tcPr>
            <w:tcW w:w="622" w:type="dxa"/>
            <w:vAlign w:val="center"/>
          </w:tcPr>
          <w:p w14:paraId="3987790B" w14:textId="78BD642A" w:rsidR="004E03D0" w:rsidRPr="00567650" w:rsidRDefault="004E03D0" w:rsidP="00335A10">
            <w:pPr>
              <w:spacing w:before="60" w:after="60"/>
              <w:ind w:left="-57"/>
              <w:jc w:val="center"/>
              <w:rPr>
                <w:rFonts w:ascii="Calibri" w:hAnsi="Calibri" w:cs="Calibri"/>
                <w:b/>
                <w:bCs/>
                <w:color w:val="5F5F5F"/>
                <w:sz w:val="16"/>
                <w:szCs w:val="16"/>
                <w:lang w:eastAsia="en-AU"/>
              </w:rPr>
            </w:pPr>
            <w:r w:rsidRPr="00567650">
              <w:rPr>
                <w:rFonts w:ascii="Calibri" w:hAnsi="Calibri" w:cs="Calibri"/>
                <w:b/>
                <w:bCs/>
                <w:color w:val="5F5F5F"/>
                <w:sz w:val="16"/>
                <w:szCs w:val="16"/>
                <w:lang w:eastAsia="en-AU"/>
              </w:rPr>
              <w:t>Version</w:t>
            </w:r>
          </w:p>
        </w:tc>
        <w:tc>
          <w:tcPr>
            <w:tcW w:w="992" w:type="dxa"/>
          </w:tcPr>
          <w:p w14:paraId="1D3B7B82" w14:textId="14B8A109" w:rsidR="004E03D0" w:rsidRPr="00567650" w:rsidRDefault="004E03D0" w:rsidP="00FE3DDC">
            <w:pPr>
              <w:spacing w:before="60" w:after="60"/>
              <w:rPr>
                <w:rFonts w:ascii="Calibri" w:hAnsi="Calibri" w:cs="Calibri"/>
                <w:b/>
                <w:bCs/>
                <w:color w:val="5F5F5F"/>
                <w:sz w:val="16"/>
                <w:szCs w:val="16"/>
                <w:lang w:eastAsia="en-AU"/>
              </w:rPr>
            </w:pPr>
            <w:r w:rsidRPr="00567650">
              <w:rPr>
                <w:rFonts w:ascii="Calibri" w:hAnsi="Calibri" w:cs="Calibri"/>
                <w:b/>
                <w:bCs/>
                <w:color w:val="5F5F5F"/>
                <w:sz w:val="16"/>
                <w:szCs w:val="16"/>
                <w:lang w:eastAsia="en-AU"/>
              </w:rPr>
              <w:t>Date</w:t>
            </w:r>
          </w:p>
        </w:tc>
        <w:tc>
          <w:tcPr>
            <w:tcW w:w="3138" w:type="dxa"/>
          </w:tcPr>
          <w:p w14:paraId="0DFDF2E9" w14:textId="0A06A0D4" w:rsidR="004E03D0" w:rsidRPr="00567650" w:rsidRDefault="004E03D0" w:rsidP="00FE3DDC">
            <w:pPr>
              <w:spacing w:before="60" w:after="60"/>
              <w:rPr>
                <w:rFonts w:ascii="Calibri" w:hAnsi="Calibri" w:cs="Calibri"/>
                <w:b/>
                <w:bCs/>
                <w:color w:val="5F5F5F"/>
                <w:sz w:val="16"/>
                <w:szCs w:val="16"/>
                <w:lang w:eastAsia="en-AU"/>
              </w:rPr>
            </w:pPr>
            <w:r w:rsidRPr="00567650">
              <w:rPr>
                <w:rFonts w:ascii="Calibri" w:hAnsi="Calibri" w:cs="Calibri"/>
                <w:b/>
                <w:bCs/>
                <w:color w:val="5F5F5F"/>
                <w:sz w:val="16"/>
                <w:szCs w:val="16"/>
                <w:lang w:eastAsia="en-AU"/>
              </w:rPr>
              <w:t>Comment</w:t>
            </w:r>
          </w:p>
        </w:tc>
      </w:tr>
      <w:tr w:rsidR="004E03D0" w:rsidRPr="00567650" w14:paraId="2D965B2B" w14:textId="77777777" w:rsidTr="00335A10">
        <w:trPr>
          <w:trHeight w:val="132"/>
        </w:trPr>
        <w:tc>
          <w:tcPr>
            <w:tcW w:w="622" w:type="dxa"/>
            <w:vAlign w:val="center"/>
          </w:tcPr>
          <w:p w14:paraId="13F89243" w14:textId="3E5119E8" w:rsidR="004E03D0" w:rsidRPr="00567650" w:rsidRDefault="004E03D0" w:rsidP="00335A10">
            <w:pPr>
              <w:spacing w:before="60" w:after="60"/>
              <w:ind w:left="-57"/>
              <w:jc w:val="center"/>
              <w:rPr>
                <w:rFonts w:ascii="Calibri" w:hAnsi="Calibri" w:cs="Calibri"/>
                <w:color w:val="5F5F5F"/>
                <w:sz w:val="16"/>
                <w:szCs w:val="16"/>
                <w:lang w:eastAsia="en-AU"/>
              </w:rPr>
            </w:pPr>
            <w:r w:rsidRPr="00567650">
              <w:rPr>
                <w:rFonts w:ascii="Calibri" w:hAnsi="Calibri" w:cs="Calibri"/>
                <w:color w:val="5F5F5F"/>
                <w:sz w:val="16"/>
                <w:szCs w:val="16"/>
                <w:lang w:eastAsia="en-AU"/>
              </w:rPr>
              <w:t>1.0</w:t>
            </w:r>
          </w:p>
        </w:tc>
        <w:tc>
          <w:tcPr>
            <w:tcW w:w="992" w:type="dxa"/>
          </w:tcPr>
          <w:p w14:paraId="420FD980" w14:textId="0E6132D4" w:rsidR="004E03D0" w:rsidRPr="00567650" w:rsidRDefault="00BD74BD" w:rsidP="00335A10">
            <w:pPr>
              <w:spacing w:before="60" w:after="60"/>
              <w:rPr>
                <w:rFonts w:ascii="Calibri" w:hAnsi="Calibri" w:cs="Calibri"/>
                <w:color w:val="5F5F5F"/>
                <w:sz w:val="16"/>
                <w:szCs w:val="16"/>
                <w:lang w:eastAsia="en-AU"/>
              </w:rPr>
            </w:pPr>
            <w:r>
              <w:rPr>
                <w:rFonts w:ascii="Calibri" w:hAnsi="Calibri" w:cs="Calibri"/>
                <w:color w:val="5F5F5F"/>
                <w:sz w:val="16"/>
                <w:szCs w:val="16"/>
                <w:lang w:eastAsia="en-AU"/>
              </w:rPr>
              <w:t>0</w:t>
            </w:r>
            <w:r w:rsidR="00D3025D">
              <w:rPr>
                <w:rFonts w:ascii="Calibri" w:hAnsi="Calibri" w:cs="Calibri"/>
                <w:color w:val="5F5F5F"/>
                <w:sz w:val="16"/>
                <w:szCs w:val="16"/>
                <w:lang w:eastAsia="en-AU"/>
              </w:rPr>
              <w:t>2</w:t>
            </w:r>
            <w:r w:rsidR="004E03D0" w:rsidRPr="00567650">
              <w:rPr>
                <w:rFonts w:ascii="Calibri" w:hAnsi="Calibri" w:cs="Calibri"/>
                <w:color w:val="5F5F5F"/>
                <w:sz w:val="16"/>
                <w:szCs w:val="16"/>
                <w:lang w:eastAsia="en-AU"/>
              </w:rPr>
              <w:t>/</w:t>
            </w:r>
            <w:r>
              <w:rPr>
                <w:rFonts w:ascii="Calibri" w:hAnsi="Calibri" w:cs="Calibri"/>
                <w:color w:val="5F5F5F"/>
                <w:sz w:val="16"/>
                <w:szCs w:val="16"/>
                <w:lang w:eastAsia="en-AU"/>
              </w:rPr>
              <w:t>01</w:t>
            </w:r>
            <w:r w:rsidR="004E03D0" w:rsidRPr="00567650">
              <w:rPr>
                <w:rFonts w:ascii="Calibri" w:hAnsi="Calibri" w:cs="Calibri"/>
                <w:color w:val="5F5F5F"/>
                <w:sz w:val="16"/>
                <w:szCs w:val="16"/>
                <w:lang w:eastAsia="en-AU"/>
              </w:rPr>
              <w:t>/</w:t>
            </w:r>
            <w:r w:rsidRPr="00567650">
              <w:rPr>
                <w:rFonts w:ascii="Calibri" w:hAnsi="Calibri" w:cs="Calibri"/>
                <w:color w:val="5F5F5F"/>
                <w:sz w:val="16"/>
                <w:szCs w:val="16"/>
                <w:lang w:eastAsia="en-AU"/>
              </w:rPr>
              <w:t>202</w:t>
            </w:r>
            <w:r>
              <w:rPr>
                <w:rFonts w:ascii="Calibri" w:hAnsi="Calibri" w:cs="Calibri"/>
                <w:color w:val="5F5F5F"/>
                <w:sz w:val="16"/>
                <w:szCs w:val="16"/>
                <w:lang w:eastAsia="en-AU"/>
              </w:rPr>
              <w:t>5</w:t>
            </w:r>
          </w:p>
        </w:tc>
        <w:tc>
          <w:tcPr>
            <w:tcW w:w="3138" w:type="dxa"/>
          </w:tcPr>
          <w:p w14:paraId="7517D013" w14:textId="2E541E11" w:rsidR="004E03D0" w:rsidRPr="00567650" w:rsidRDefault="004E03D0" w:rsidP="00335A10">
            <w:pPr>
              <w:spacing w:before="60" w:after="60"/>
              <w:rPr>
                <w:rFonts w:ascii="Calibri" w:hAnsi="Calibri" w:cs="Calibri"/>
                <w:color w:val="5F5F5F"/>
                <w:sz w:val="16"/>
                <w:szCs w:val="16"/>
                <w:lang w:eastAsia="en-AU"/>
              </w:rPr>
            </w:pPr>
            <w:r w:rsidRPr="00567650">
              <w:rPr>
                <w:rFonts w:ascii="Calibri" w:hAnsi="Calibri" w:cs="Calibri"/>
                <w:color w:val="5F5F5F"/>
                <w:sz w:val="16"/>
                <w:szCs w:val="16"/>
                <w:lang w:eastAsia="en-AU"/>
              </w:rPr>
              <w:t>New GHG fact sheet</w:t>
            </w:r>
          </w:p>
        </w:tc>
      </w:tr>
    </w:tbl>
    <w:p w14:paraId="4E5D26DD" w14:textId="77777777" w:rsidR="00D32BCA" w:rsidRPr="00567650" w:rsidRDefault="00D32BCA" w:rsidP="00AF0FC8">
      <w:pPr>
        <w:spacing w:before="120"/>
        <w:jc w:val="center"/>
        <w:rPr>
          <w:rFonts w:ascii="Calibri" w:hAnsi="Calibri" w:cs="Calibri"/>
          <w:color w:val="5F5F5F"/>
          <w:sz w:val="16"/>
          <w:szCs w:val="16"/>
          <w:lang w:eastAsia="en-AU"/>
        </w:rPr>
      </w:pPr>
    </w:p>
    <w:sectPr w:rsidR="00D32BCA" w:rsidRPr="00567650" w:rsidSect="002B7C10">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552" w:right="992" w:bottom="992" w:left="992" w:header="709" w:footer="261"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0BC0" w14:textId="77777777" w:rsidR="00E033B8" w:rsidRDefault="00E033B8" w:rsidP="003129F2">
      <w:r>
        <w:separator/>
      </w:r>
    </w:p>
  </w:endnote>
  <w:endnote w:type="continuationSeparator" w:id="0">
    <w:p w14:paraId="687DE940" w14:textId="77777777" w:rsidR="00E033B8" w:rsidRDefault="00E033B8" w:rsidP="003129F2">
      <w:r>
        <w:continuationSeparator/>
      </w:r>
    </w:p>
  </w:endnote>
  <w:endnote w:type="continuationNotice" w:id="1">
    <w:p w14:paraId="1EAA58D9" w14:textId="77777777" w:rsidR="00E033B8" w:rsidRDefault="00E03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F8FC" w14:textId="4858E245" w:rsidR="00A85678" w:rsidRDefault="00A85678">
    <w:pPr>
      <w:pStyle w:val="Footer"/>
    </w:pPr>
    <w:r>
      <w:rPr>
        <w:noProof/>
      </w:rPr>
      <mc:AlternateContent>
        <mc:Choice Requires="wps">
          <w:drawing>
            <wp:anchor distT="0" distB="0" distL="0" distR="0" simplePos="0" relativeHeight="251658247" behindDoc="0" locked="0" layoutInCell="1" allowOverlap="1" wp14:anchorId="14ED3C72" wp14:editId="741B21CE">
              <wp:simplePos x="635" y="635"/>
              <wp:positionH relativeFrom="column">
                <wp:align>center</wp:align>
              </wp:positionH>
              <wp:positionV relativeFrom="paragraph">
                <wp:posOffset>635</wp:posOffset>
              </wp:positionV>
              <wp:extent cx="443865" cy="443865"/>
              <wp:effectExtent l="0" t="0" r="1841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47AFF" w14:textId="40EF6FE3"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ED3C72" id="_x0000_t202" coordsize="21600,21600" o:spt="202" path="m,l,21600r21600,l21600,xe">
              <v:stroke joinstyle="miter"/>
              <v:path gradientshapeok="t" o:connecttype="rect"/>
            </v:shapetype>
            <v:shape id="Text Box 11" o:spid="_x0000_s1027"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047AFF" w14:textId="40EF6FE3"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EEDE" w14:textId="44AD57A2" w:rsidR="00CF4072" w:rsidRDefault="00241518" w:rsidP="00CC65CA">
    <w:pPr>
      <w:pStyle w:val="Footer"/>
      <w:tabs>
        <w:tab w:val="clear" w:pos="9026"/>
        <w:tab w:val="right" w:pos="9922"/>
      </w:tabs>
      <w:spacing w:after="120"/>
    </w:pPr>
    <w:r>
      <w:rPr>
        <w:noProof/>
        <w:lang w:eastAsia="en-AU"/>
      </w:rPr>
      <mc:AlternateContent>
        <mc:Choice Requires="wps">
          <w:drawing>
            <wp:anchor distT="0" distB="0" distL="114300" distR="114300" simplePos="0" relativeHeight="251658251" behindDoc="0" locked="0" layoutInCell="1" allowOverlap="1" wp14:anchorId="3E1D6F13" wp14:editId="3A6D6F7D">
              <wp:simplePos x="0" y="0"/>
              <wp:positionH relativeFrom="margin">
                <wp:posOffset>-34698</wp:posOffset>
              </wp:positionH>
              <wp:positionV relativeFrom="paragraph">
                <wp:posOffset>-12508</wp:posOffset>
              </wp:positionV>
              <wp:extent cx="6352779" cy="0"/>
              <wp:effectExtent l="0" t="0" r="0" b="0"/>
              <wp:wrapNone/>
              <wp:docPr id="1905137448" name="Straight Connector 1905137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779" cy="0"/>
                      </a:xfrm>
                      <a:prstGeom prst="line">
                        <a:avLst/>
                      </a:prstGeom>
                      <a:noFill/>
                      <a:ln w="9525">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B172" id="Straight Connector 1905137448" o:spid="_x0000_s1026" alt="&quot;&quot;"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5pt,-1pt" to="49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" strokecolor="#538135 [2409]">
              <w10:wrap anchorx="margin"/>
            </v:line>
          </w:pict>
        </mc:Fallback>
      </mc:AlternateContent>
    </w:r>
    <w:hyperlink r:id="rId1" w:history="1">
      <w:r w:rsidRPr="004D647E">
        <w:rPr>
          <w:rStyle w:val="Hyperlink"/>
        </w:rPr>
        <w:t>www.nopta.gov.au</w:t>
      </w:r>
    </w:hyperlink>
    <w:r>
      <w:rPr>
        <w:color w:val="565751"/>
      </w:rPr>
      <w:t xml:space="preserve"> </w:t>
    </w:r>
    <w:r>
      <w:rPr>
        <w:color w:val="565751"/>
      </w:rPr>
      <w:tab/>
    </w:r>
    <w:r>
      <w:rPr>
        <w:color w:val="565751"/>
      </w:rPr>
      <w:tab/>
    </w:r>
    <w:r w:rsidRPr="004E6463">
      <w:rPr>
        <w:color w:val="565751"/>
        <w:sz w:val="20"/>
        <w:szCs w:val="20"/>
      </w:rPr>
      <w:t xml:space="preserve">Version </w:t>
    </w:r>
    <w:r w:rsidR="00925B38">
      <w:rPr>
        <w:color w:val="565751"/>
        <w:sz w:val="20"/>
        <w:szCs w:val="20"/>
      </w:rPr>
      <w:t>1</w:t>
    </w:r>
    <w:r w:rsidRPr="004E6463">
      <w:rPr>
        <w:color w:val="565751"/>
        <w:sz w:val="20"/>
        <w:szCs w:val="20"/>
      </w:rPr>
      <w:t xml:space="preserve">: </w:t>
    </w:r>
    <w:r w:rsidR="00BD74BD">
      <w:rPr>
        <w:color w:val="565751"/>
        <w:sz w:val="20"/>
        <w:szCs w:val="20"/>
      </w:rPr>
      <w:t>January</w:t>
    </w:r>
    <w:r w:rsidR="00BD74BD" w:rsidRPr="004E6463">
      <w:rPr>
        <w:color w:val="565751"/>
        <w:sz w:val="20"/>
        <w:szCs w:val="20"/>
      </w:rPr>
      <w:t xml:space="preserve"> 202</w:t>
    </w:r>
    <w:r w:rsidR="00BD74BD">
      <w:rPr>
        <w:color w:val="565751"/>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4213" w14:textId="35A198CE" w:rsidR="00A85678" w:rsidRDefault="00A85678">
    <w:pPr>
      <w:pStyle w:val="Footer"/>
    </w:pPr>
    <w:r>
      <w:rPr>
        <w:noProof/>
      </w:rPr>
      <mc:AlternateContent>
        <mc:Choice Requires="wps">
          <w:drawing>
            <wp:anchor distT="0" distB="0" distL="0" distR="0" simplePos="0" relativeHeight="251658246" behindDoc="0" locked="0" layoutInCell="1" allowOverlap="1" wp14:anchorId="136FEA9C" wp14:editId="2FC07930">
              <wp:simplePos x="635" y="635"/>
              <wp:positionH relativeFrom="column">
                <wp:align>center</wp:align>
              </wp:positionH>
              <wp:positionV relativeFrom="paragraph">
                <wp:posOffset>635</wp:posOffset>
              </wp:positionV>
              <wp:extent cx="443865" cy="443865"/>
              <wp:effectExtent l="0" t="0" r="18415" b="1079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5B68F" w14:textId="13C9420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6FEA9C" id="_x0000_t202" coordsize="21600,21600" o:spt="202" path="m,l,21600r21600,l21600,xe">
              <v:stroke joinstyle="miter"/>
              <v:path gradientshapeok="t" o:connecttype="rect"/>
            </v:shapetype>
            <v:shape id="Text Box 10" o:spid="_x0000_s1029"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AD5B68F" w14:textId="13C9420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789E" w14:textId="7134F28D" w:rsidR="00A85678" w:rsidRDefault="00A85678">
    <w:pPr>
      <w:pStyle w:val="Footer"/>
    </w:pPr>
    <w:r>
      <w:rPr>
        <w:noProof/>
      </w:rPr>
      <mc:AlternateContent>
        <mc:Choice Requires="wps">
          <w:drawing>
            <wp:anchor distT="0" distB="0" distL="0" distR="0" simplePos="0" relativeHeight="251658249" behindDoc="0" locked="0" layoutInCell="1" allowOverlap="1" wp14:anchorId="174A012A" wp14:editId="2EE428CF">
              <wp:simplePos x="635" y="635"/>
              <wp:positionH relativeFrom="column">
                <wp:align>center</wp:align>
              </wp:positionH>
              <wp:positionV relativeFrom="paragraph">
                <wp:posOffset>635</wp:posOffset>
              </wp:positionV>
              <wp:extent cx="443865" cy="443865"/>
              <wp:effectExtent l="0" t="0" r="18415" b="1079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984BB" w14:textId="4505DC9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4A012A" id="_x0000_t202" coordsize="21600,21600" o:spt="202" path="m,l,21600r21600,l21600,xe">
              <v:stroke joinstyle="miter"/>
              <v:path gradientshapeok="t" o:connecttype="rect"/>
            </v:shapetype>
            <v:shape id="Text Box 14" o:spid="_x0000_s1031" type="#_x0000_t202" alt="OFFI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31984BB" w14:textId="4505DC9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F018" w14:textId="0D4736C7" w:rsidR="00A85678" w:rsidRDefault="00A85678">
    <w:pPr>
      <w:pStyle w:val="Footer"/>
    </w:pPr>
    <w:r>
      <w:rPr>
        <w:noProof/>
      </w:rPr>
      <mc:AlternateContent>
        <mc:Choice Requires="wps">
          <w:drawing>
            <wp:anchor distT="0" distB="0" distL="0" distR="0" simplePos="0" relativeHeight="251658250" behindDoc="0" locked="0" layoutInCell="1" allowOverlap="1" wp14:anchorId="000D34B5" wp14:editId="3282D440">
              <wp:simplePos x="635" y="635"/>
              <wp:positionH relativeFrom="column">
                <wp:align>center</wp:align>
              </wp:positionH>
              <wp:positionV relativeFrom="paragraph">
                <wp:posOffset>635</wp:posOffset>
              </wp:positionV>
              <wp:extent cx="443865" cy="443865"/>
              <wp:effectExtent l="0" t="0" r="18415" b="1079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EB1EE" w14:textId="24A15E6F" w:rsidR="00A85678" w:rsidRPr="00A85678" w:rsidRDefault="00A85678">
                          <w:pPr>
                            <w:rPr>
                              <w:rFonts w:eastAsia="Arial" w:cs="Arial"/>
                              <w:color w:val="FF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D34B5" id="_x0000_t202" coordsize="21600,21600" o:spt="202" path="m,l,21600r21600,l21600,xe">
              <v:stroke joinstyle="miter"/>
              <v:path gradientshapeok="t" o:connecttype="rect"/>
            </v:shapetype>
            <v:shape id="Text Box 15" o:spid="_x0000_s1032" type="#_x0000_t202" alt="OFFI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B1EB1EE" w14:textId="24A15E6F" w:rsidR="00A85678" w:rsidRPr="00A85678" w:rsidRDefault="00A85678">
                    <w:pPr>
                      <w:rPr>
                        <w:rFonts w:eastAsia="Arial" w:cs="Arial"/>
                        <w:color w:val="FF0000"/>
                      </w:rPr>
                    </w:pP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BEAF" w14:textId="13C87630" w:rsidR="00A85678" w:rsidRDefault="00A85678">
    <w:pPr>
      <w:pStyle w:val="Footer"/>
    </w:pPr>
    <w:r>
      <w:rPr>
        <w:noProof/>
      </w:rPr>
      <mc:AlternateContent>
        <mc:Choice Requires="wps">
          <w:drawing>
            <wp:anchor distT="0" distB="0" distL="0" distR="0" simplePos="0" relativeHeight="251658248" behindDoc="0" locked="0" layoutInCell="1" allowOverlap="1" wp14:anchorId="0C6AD127" wp14:editId="2F92D6A5">
              <wp:simplePos x="635" y="635"/>
              <wp:positionH relativeFrom="column">
                <wp:align>center</wp:align>
              </wp:positionH>
              <wp:positionV relativeFrom="paragraph">
                <wp:posOffset>635</wp:posOffset>
              </wp:positionV>
              <wp:extent cx="443865" cy="443865"/>
              <wp:effectExtent l="0" t="0" r="18415" b="1079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B60C6" w14:textId="658C4DB7"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AD127" id="_x0000_t202" coordsize="21600,21600" o:spt="202" path="m,l,21600r21600,l21600,xe">
              <v:stroke joinstyle="miter"/>
              <v:path gradientshapeok="t" o:connecttype="rect"/>
            </v:shapetype>
            <v:shape id="Text Box 13" o:spid="_x0000_s1034" type="#_x0000_t202" alt="OFFI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E0B60C6" w14:textId="658C4DB7"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C6EE7" w14:textId="77777777" w:rsidR="00E033B8" w:rsidRDefault="00E033B8" w:rsidP="003129F2">
      <w:r>
        <w:separator/>
      </w:r>
    </w:p>
  </w:footnote>
  <w:footnote w:type="continuationSeparator" w:id="0">
    <w:p w14:paraId="60C37808" w14:textId="77777777" w:rsidR="00E033B8" w:rsidRDefault="00E033B8" w:rsidP="003129F2">
      <w:r>
        <w:continuationSeparator/>
      </w:r>
    </w:p>
  </w:footnote>
  <w:footnote w:type="continuationNotice" w:id="1">
    <w:p w14:paraId="5705DA95" w14:textId="77777777" w:rsidR="00E033B8" w:rsidRDefault="00E033B8"/>
  </w:footnote>
  <w:footnote w:id="2">
    <w:p w14:paraId="5BFF4B22" w14:textId="2208EFD4" w:rsidR="00860F41" w:rsidRPr="009D733F" w:rsidRDefault="00860F41">
      <w:pPr>
        <w:pStyle w:val="FootnoteText"/>
        <w:rPr>
          <w:color w:val="5F5F5F"/>
          <w:sz w:val="16"/>
          <w:szCs w:val="16"/>
          <w:lang w:eastAsia="en-AU"/>
        </w:rPr>
      </w:pPr>
      <w:r>
        <w:rPr>
          <w:rStyle w:val="FootnoteReference"/>
        </w:rPr>
        <w:footnoteRef/>
      </w:r>
      <w:r>
        <w:t xml:space="preserve"> </w:t>
      </w:r>
      <w:r w:rsidRPr="009D733F">
        <w:rPr>
          <w:color w:val="5F5F5F"/>
          <w:sz w:val="16"/>
          <w:szCs w:val="16"/>
          <w:lang w:eastAsia="en-AU"/>
        </w:rPr>
        <w:t xml:space="preserve">Schedule 1 </w:t>
      </w:r>
      <w:r w:rsidR="001C789E" w:rsidRPr="009D733F">
        <w:rPr>
          <w:color w:val="5F5F5F"/>
          <w:sz w:val="16"/>
          <w:szCs w:val="16"/>
          <w:lang w:eastAsia="en-AU"/>
        </w:rPr>
        <w:t>(I</w:t>
      </w:r>
      <w:r w:rsidRPr="009D733F">
        <w:rPr>
          <w:color w:val="5F5F5F"/>
          <w:sz w:val="16"/>
          <w:szCs w:val="16"/>
          <w:lang w:eastAsia="en-AU"/>
        </w:rPr>
        <w:t xml:space="preserve">nformation </w:t>
      </w:r>
      <w:r w:rsidR="000C26C4" w:rsidRPr="009D733F">
        <w:rPr>
          <w:color w:val="5F5F5F"/>
          <w:sz w:val="16"/>
          <w:szCs w:val="16"/>
          <w:lang w:eastAsia="en-AU"/>
        </w:rPr>
        <w:t xml:space="preserve">to be </w:t>
      </w:r>
      <w:r w:rsidRPr="009D733F">
        <w:rPr>
          <w:color w:val="5F5F5F"/>
          <w:sz w:val="16"/>
          <w:szCs w:val="16"/>
          <w:lang w:eastAsia="en-AU"/>
        </w:rPr>
        <w:t>set out in ap</w:t>
      </w:r>
      <w:r w:rsidR="006B234A" w:rsidRPr="009D733F">
        <w:rPr>
          <w:color w:val="5F5F5F"/>
          <w:sz w:val="16"/>
          <w:szCs w:val="16"/>
          <w:lang w:eastAsia="en-AU"/>
        </w:rPr>
        <w:t>p</w:t>
      </w:r>
      <w:r w:rsidRPr="009D733F">
        <w:rPr>
          <w:color w:val="5F5F5F"/>
          <w:sz w:val="16"/>
          <w:szCs w:val="16"/>
          <w:lang w:eastAsia="en-AU"/>
        </w:rPr>
        <w:t>licat</w:t>
      </w:r>
      <w:r w:rsidR="006B234A" w:rsidRPr="009D733F">
        <w:rPr>
          <w:color w:val="5F5F5F"/>
          <w:sz w:val="16"/>
          <w:szCs w:val="16"/>
          <w:lang w:eastAsia="en-AU"/>
        </w:rPr>
        <w:t>i</w:t>
      </w:r>
      <w:r w:rsidRPr="009D733F">
        <w:rPr>
          <w:color w:val="5F5F5F"/>
          <w:sz w:val="16"/>
          <w:szCs w:val="16"/>
          <w:lang w:eastAsia="en-AU"/>
        </w:rPr>
        <w:t>on</w:t>
      </w:r>
      <w:r w:rsidR="000C26C4" w:rsidRPr="009D733F">
        <w:rPr>
          <w:color w:val="5F5F5F"/>
          <w:sz w:val="16"/>
          <w:szCs w:val="16"/>
          <w:lang w:eastAsia="en-AU"/>
        </w:rPr>
        <w:t>s</w:t>
      </w:r>
      <w:r w:rsidRPr="009D733F">
        <w:rPr>
          <w:color w:val="5F5F5F"/>
          <w:sz w:val="16"/>
          <w:szCs w:val="16"/>
          <w:lang w:eastAsia="en-AU"/>
        </w:rPr>
        <w:t xml:space="preserve"> fo</w:t>
      </w:r>
      <w:r w:rsidR="006B234A" w:rsidRPr="009D733F">
        <w:rPr>
          <w:color w:val="5F5F5F"/>
          <w:sz w:val="16"/>
          <w:szCs w:val="16"/>
          <w:lang w:eastAsia="en-AU"/>
        </w:rPr>
        <w:t>r declaration of identified GHG storage formation</w:t>
      </w:r>
      <w:r w:rsidR="000C26C4" w:rsidRPr="009D733F">
        <w:rPr>
          <w:color w:val="5F5F5F"/>
          <w:sz w:val="16"/>
          <w:szCs w:val="16"/>
          <w:lang w:eastAsia="en-AU"/>
        </w:rPr>
        <w:t>s</w:t>
      </w:r>
      <w:r w:rsidR="002C31A2" w:rsidRPr="009D733F">
        <w:rPr>
          <w:color w:val="5F5F5F"/>
          <w:sz w:val="16"/>
          <w:szCs w:val="16"/>
          <w:lang w:eastAsia="en-AU"/>
        </w:rPr>
        <w:t>…</w:t>
      </w:r>
      <w:r w:rsidR="002B56B5" w:rsidRPr="009D733F">
        <w:rPr>
          <w:color w:val="5F5F5F"/>
          <w:sz w:val="16"/>
          <w:szCs w:val="16"/>
          <w:lang w:eastAsia="en-AU"/>
        </w:rPr>
        <w:t>) is relevant</w:t>
      </w:r>
      <w:r w:rsidR="00DD4E98" w:rsidRPr="009D733F">
        <w:rPr>
          <w:color w:val="5F5F5F"/>
          <w:sz w:val="16"/>
          <w:szCs w:val="16"/>
          <w:lang w:eastAsia="en-AU"/>
        </w:rPr>
        <w:t xml:space="preserve"> to the site plan</w:t>
      </w:r>
      <w:r w:rsidR="002B56B5" w:rsidRPr="009D733F">
        <w:rPr>
          <w:color w:val="5F5F5F"/>
          <w:sz w:val="16"/>
          <w:szCs w:val="16"/>
          <w:lang w:eastAsia="en-AU"/>
        </w:rPr>
        <w:t>, as s</w:t>
      </w:r>
      <w:r w:rsidR="009D22DD" w:rsidRPr="009D733F">
        <w:rPr>
          <w:color w:val="5F5F5F"/>
          <w:sz w:val="16"/>
          <w:szCs w:val="16"/>
          <w:lang w:eastAsia="en-AU"/>
        </w:rPr>
        <w:t xml:space="preserve">ection </w:t>
      </w:r>
      <w:r w:rsidR="002B56B5" w:rsidRPr="009D733F">
        <w:rPr>
          <w:color w:val="5F5F5F"/>
          <w:sz w:val="16"/>
          <w:szCs w:val="16"/>
          <w:lang w:eastAsia="en-AU"/>
        </w:rPr>
        <w:t xml:space="preserve">19 requires the information set out in the </w:t>
      </w:r>
      <w:r w:rsidR="008D15F8" w:rsidRPr="009D733F">
        <w:rPr>
          <w:color w:val="5F5F5F"/>
          <w:sz w:val="16"/>
          <w:szCs w:val="16"/>
          <w:lang w:eastAsia="en-AU"/>
        </w:rPr>
        <w:t>s</w:t>
      </w:r>
      <w:r w:rsidR="002B56B5" w:rsidRPr="009D733F">
        <w:rPr>
          <w:color w:val="5F5F5F"/>
          <w:sz w:val="16"/>
          <w:szCs w:val="16"/>
          <w:lang w:eastAsia="en-AU"/>
        </w:rPr>
        <w:t xml:space="preserve">ite </w:t>
      </w:r>
      <w:r w:rsidR="008D15F8" w:rsidRPr="009D733F">
        <w:rPr>
          <w:color w:val="5F5F5F"/>
          <w:sz w:val="16"/>
          <w:szCs w:val="16"/>
          <w:lang w:eastAsia="en-AU"/>
        </w:rPr>
        <w:t>p</w:t>
      </w:r>
      <w:r w:rsidR="002B56B5" w:rsidRPr="009D733F">
        <w:rPr>
          <w:color w:val="5F5F5F"/>
          <w:sz w:val="16"/>
          <w:szCs w:val="16"/>
          <w:lang w:eastAsia="en-AU"/>
        </w:rPr>
        <w:t xml:space="preserve">lan to be consistent with the </w:t>
      </w:r>
      <w:r w:rsidR="0029785D" w:rsidRPr="009D733F">
        <w:rPr>
          <w:color w:val="5F5F5F"/>
          <w:sz w:val="16"/>
          <w:szCs w:val="16"/>
          <w:lang w:eastAsia="en-AU"/>
        </w:rPr>
        <w:t>information pro</w:t>
      </w:r>
      <w:r w:rsidR="00F93984" w:rsidRPr="009D733F">
        <w:rPr>
          <w:color w:val="5F5F5F"/>
          <w:sz w:val="16"/>
          <w:szCs w:val="16"/>
          <w:lang w:eastAsia="en-AU"/>
        </w:rPr>
        <w:t>v</w:t>
      </w:r>
      <w:r w:rsidR="0029785D" w:rsidRPr="009D733F">
        <w:rPr>
          <w:color w:val="5F5F5F"/>
          <w:sz w:val="16"/>
          <w:szCs w:val="16"/>
          <w:lang w:eastAsia="en-AU"/>
        </w:rPr>
        <w:t>i</w:t>
      </w:r>
      <w:r w:rsidR="00F93984" w:rsidRPr="009D733F">
        <w:rPr>
          <w:color w:val="5F5F5F"/>
          <w:sz w:val="16"/>
          <w:szCs w:val="16"/>
          <w:lang w:eastAsia="en-AU"/>
        </w:rPr>
        <w:t>d</w:t>
      </w:r>
      <w:r w:rsidR="0029785D" w:rsidRPr="009D733F">
        <w:rPr>
          <w:color w:val="5F5F5F"/>
          <w:sz w:val="16"/>
          <w:szCs w:val="16"/>
          <w:lang w:eastAsia="en-AU"/>
        </w:rPr>
        <w:t xml:space="preserve">ed </w:t>
      </w:r>
      <w:r w:rsidR="00DB4468" w:rsidRPr="009D733F">
        <w:rPr>
          <w:color w:val="5F5F5F"/>
          <w:sz w:val="16"/>
          <w:szCs w:val="16"/>
          <w:lang w:eastAsia="en-AU"/>
        </w:rPr>
        <w:t>in</w:t>
      </w:r>
      <w:r w:rsidR="008D15F8" w:rsidRPr="009D733F">
        <w:rPr>
          <w:color w:val="5F5F5F"/>
          <w:sz w:val="16"/>
          <w:szCs w:val="16"/>
          <w:lang w:eastAsia="en-AU"/>
        </w:rPr>
        <w:t xml:space="preserve"> the application for declaration of identi</w:t>
      </w:r>
      <w:r w:rsidR="003A0B95" w:rsidRPr="009D733F">
        <w:rPr>
          <w:color w:val="5F5F5F"/>
          <w:sz w:val="16"/>
          <w:szCs w:val="16"/>
          <w:lang w:eastAsia="en-AU"/>
        </w:rPr>
        <w:t>fied GHG storage 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9536" w14:textId="29C56CB8" w:rsidR="00A85678" w:rsidRDefault="00A85678">
    <w:pPr>
      <w:pStyle w:val="Header"/>
    </w:pPr>
    <w:r>
      <w:rPr>
        <w:noProof/>
      </w:rPr>
      <mc:AlternateContent>
        <mc:Choice Requires="wps">
          <w:drawing>
            <wp:anchor distT="0" distB="0" distL="0" distR="0" simplePos="0" relativeHeight="251658243" behindDoc="0" locked="0" layoutInCell="1" allowOverlap="1" wp14:anchorId="4AC85320" wp14:editId="3C6B816A">
              <wp:simplePos x="635" y="635"/>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AB02E" w14:textId="6245AD59"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C85320"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EFAB02E" w14:textId="6245AD59"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4094" w14:textId="15E89EF2" w:rsidR="00CF4072" w:rsidRDefault="00964CCC" w:rsidP="005A3AF2">
    <w:pPr>
      <w:pStyle w:val="Header"/>
      <w:tabs>
        <w:tab w:val="clear" w:pos="4513"/>
        <w:tab w:val="clear" w:pos="9026"/>
        <w:tab w:val="center" w:pos="5102"/>
      </w:tabs>
    </w:pPr>
    <w:r>
      <w:rPr>
        <w:noProof/>
      </w:rPr>
      <w:drawing>
        <wp:anchor distT="0" distB="0" distL="114300" distR="114300" simplePos="0" relativeHeight="251658240" behindDoc="1" locked="0" layoutInCell="1" allowOverlap="1" wp14:anchorId="569D3ED5" wp14:editId="5EC93D29">
          <wp:simplePos x="0" y="0"/>
          <wp:positionH relativeFrom="page">
            <wp:align>right</wp:align>
          </wp:positionH>
          <wp:positionV relativeFrom="page">
            <wp:align>top</wp:align>
          </wp:positionV>
          <wp:extent cx="7592400" cy="1591200"/>
          <wp:effectExtent l="0" t="0" r="0" b="9525"/>
          <wp:wrapNone/>
          <wp:docPr id="2" name="Picture 2" descr="NOPTA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r>
      <w:tab/>
    </w:r>
  </w:p>
  <w:p w14:paraId="1F282524" w14:textId="222C8ED4" w:rsidR="00CF4072" w:rsidRDefault="00CF4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A39C" w14:textId="729719CB" w:rsidR="00A85678" w:rsidRDefault="00A85678">
    <w:pPr>
      <w:pStyle w:val="Header"/>
    </w:pPr>
    <w:r>
      <w:rPr>
        <w:noProof/>
      </w:rPr>
      <mc:AlternateContent>
        <mc:Choice Requires="wps">
          <w:drawing>
            <wp:anchor distT="0" distB="0" distL="0" distR="0" simplePos="0" relativeHeight="251658242" behindDoc="0" locked="0" layoutInCell="1" allowOverlap="1" wp14:anchorId="654E5655" wp14:editId="55AAFB68">
              <wp:simplePos x="635" y="63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9CD62" w14:textId="1028E0C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4E5655"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059CD62" w14:textId="1028E0C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3717" w14:textId="13D96B7E" w:rsidR="00A85678" w:rsidRDefault="00A85678">
    <w:pPr>
      <w:pStyle w:val="Header"/>
    </w:pPr>
    <w:r>
      <w:rPr>
        <w:noProof/>
      </w:rPr>
      <mc:AlternateContent>
        <mc:Choice Requires="wps">
          <w:drawing>
            <wp:anchor distT="0" distB="0" distL="0" distR="0" simplePos="0" relativeHeight="251658245" behindDoc="0" locked="0" layoutInCell="1" allowOverlap="1" wp14:anchorId="66CC345E" wp14:editId="40F7666D">
              <wp:simplePos x="635" y="635"/>
              <wp:positionH relativeFrom="column">
                <wp:align>center</wp:align>
              </wp:positionH>
              <wp:positionV relativeFrom="paragraph">
                <wp:posOffset>635</wp:posOffset>
              </wp:positionV>
              <wp:extent cx="443865" cy="443865"/>
              <wp:effectExtent l="0" t="0" r="18415" b="1079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FDEA9" w14:textId="5B5DF0FB"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C345E"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58FDEA9" w14:textId="5B5DF0FB"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1658" w14:textId="16FD84A9" w:rsidR="00F55F48" w:rsidRPr="007900EC" w:rsidRDefault="00964CCC" w:rsidP="007900EC">
    <w:pPr>
      <w:pStyle w:val="Header"/>
    </w:pPr>
    <w:r>
      <w:rPr>
        <w:noProof/>
      </w:rPr>
      <w:drawing>
        <wp:anchor distT="0" distB="0" distL="114300" distR="114300" simplePos="0" relativeHeight="251658241" behindDoc="1" locked="0" layoutInCell="1" allowOverlap="1" wp14:anchorId="0A699067" wp14:editId="17843153">
          <wp:simplePos x="0" y="0"/>
          <wp:positionH relativeFrom="page">
            <wp:align>left</wp:align>
          </wp:positionH>
          <wp:positionV relativeFrom="topMargin">
            <wp:align>bottom</wp:align>
          </wp:positionV>
          <wp:extent cx="7592400" cy="1591200"/>
          <wp:effectExtent l="0" t="0" r="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D0A6" w14:textId="18266410" w:rsidR="00A85678" w:rsidRDefault="00A85678">
    <w:pPr>
      <w:pStyle w:val="Header"/>
    </w:pPr>
    <w:r>
      <w:rPr>
        <w:noProof/>
      </w:rPr>
      <mc:AlternateContent>
        <mc:Choice Requires="wps">
          <w:drawing>
            <wp:anchor distT="0" distB="0" distL="0" distR="0" simplePos="0" relativeHeight="251658244" behindDoc="0" locked="0" layoutInCell="1" allowOverlap="1" wp14:anchorId="4676D166" wp14:editId="153467F0">
              <wp:simplePos x="635" y="635"/>
              <wp:positionH relativeFrom="column">
                <wp:align>center</wp:align>
              </wp:positionH>
              <wp:positionV relativeFrom="paragraph">
                <wp:posOffset>635</wp:posOffset>
              </wp:positionV>
              <wp:extent cx="443865" cy="443865"/>
              <wp:effectExtent l="0" t="0" r="18415" b="1079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7E1F9" w14:textId="5AA4EBCA"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76D166" id="_x0000_t202" coordsize="21600,21600" o:spt="202" path="m,l,21600r21600,l21600,xe">
              <v:stroke joinstyle="miter"/>
              <v:path gradientshapeok="t" o:connecttype="rect"/>
            </v:shapetype>
            <v:shape id="Text Box 6" o:spid="_x0000_s1033"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2F7E1F9" w14:textId="5AA4EBCA"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7612FDCC"/>
    <w:lvl w:ilvl="0" w:tplc="946207CC">
      <w:start w:val="1"/>
      <w:numFmt w:val="bullet"/>
      <w:pStyle w:val="Bullets"/>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26DA8"/>
    <w:multiLevelType w:val="hybridMultilevel"/>
    <w:tmpl w:val="3EE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22192"/>
    <w:multiLevelType w:val="hybridMultilevel"/>
    <w:tmpl w:val="323224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9D0934"/>
    <w:multiLevelType w:val="hybridMultilevel"/>
    <w:tmpl w:val="0A0A971E"/>
    <w:lvl w:ilvl="0" w:tplc="DB6C6A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AC2D2B"/>
    <w:multiLevelType w:val="hybridMultilevel"/>
    <w:tmpl w:val="F468C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55B79"/>
    <w:multiLevelType w:val="hybridMultilevel"/>
    <w:tmpl w:val="0836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2F3F67"/>
    <w:multiLevelType w:val="hybridMultilevel"/>
    <w:tmpl w:val="2C7AA702"/>
    <w:lvl w:ilvl="0" w:tplc="8F6231EC">
      <w:start w:val="1"/>
      <w:numFmt w:val="bullet"/>
      <w:lvlText w:val=""/>
      <w:lvlJc w:val="left"/>
      <w:pPr>
        <w:ind w:left="1020" w:hanging="360"/>
      </w:pPr>
      <w:rPr>
        <w:rFonts w:ascii="Symbol" w:hAnsi="Symbol"/>
      </w:rPr>
    </w:lvl>
    <w:lvl w:ilvl="1" w:tplc="98A0C772">
      <w:start w:val="1"/>
      <w:numFmt w:val="bullet"/>
      <w:lvlText w:val=""/>
      <w:lvlJc w:val="left"/>
      <w:pPr>
        <w:ind w:left="1020" w:hanging="360"/>
      </w:pPr>
      <w:rPr>
        <w:rFonts w:ascii="Symbol" w:hAnsi="Symbol"/>
      </w:rPr>
    </w:lvl>
    <w:lvl w:ilvl="2" w:tplc="0A9C3E2C">
      <w:start w:val="1"/>
      <w:numFmt w:val="bullet"/>
      <w:lvlText w:val=""/>
      <w:lvlJc w:val="left"/>
      <w:pPr>
        <w:ind w:left="1020" w:hanging="360"/>
      </w:pPr>
      <w:rPr>
        <w:rFonts w:ascii="Symbol" w:hAnsi="Symbol"/>
      </w:rPr>
    </w:lvl>
    <w:lvl w:ilvl="3" w:tplc="6D1898B8">
      <w:start w:val="1"/>
      <w:numFmt w:val="bullet"/>
      <w:lvlText w:val=""/>
      <w:lvlJc w:val="left"/>
      <w:pPr>
        <w:ind w:left="1020" w:hanging="360"/>
      </w:pPr>
      <w:rPr>
        <w:rFonts w:ascii="Symbol" w:hAnsi="Symbol"/>
      </w:rPr>
    </w:lvl>
    <w:lvl w:ilvl="4" w:tplc="723CEF2E">
      <w:start w:val="1"/>
      <w:numFmt w:val="bullet"/>
      <w:lvlText w:val=""/>
      <w:lvlJc w:val="left"/>
      <w:pPr>
        <w:ind w:left="1020" w:hanging="360"/>
      </w:pPr>
      <w:rPr>
        <w:rFonts w:ascii="Symbol" w:hAnsi="Symbol"/>
      </w:rPr>
    </w:lvl>
    <w:lvl w:ilvl="5" w:tplc="7428ABE6">
      <w:start w:val="1"/>
      <w:numFmt w:val="bullet"/>
      <w:lvlText w:val=""/>
      <w:lvlJc w:val="left"/>
      <w:pPr>
        <w:ind w:left="1020" w:hanging="360"/>
      </w:pPr>
      <w:rPr>
        <w:rFonts w:ascii="Symbol" w:hAnsi="Symbol"/>
      </w:rPr>
    </w:lvl>
    <w:lvl w:ilvl="6" w:tplc="11A43BF2">
      <w:start w:val="1"/>
      <w:numFmt w:val="bullet"/>
      <w:lvlText w:val=""/>
      <w:lvlJc w:val="left"/>
      <w:pPr>
        <w:ind w:left="1020" w:hanging="360"/>
      </w:pPr>
      <w:rPr>
        <w:rFonts w:ascii="Symbol" w:hAnsi="Symbol"/>
      </w:rPr>
    </w:lvl>
    <w:lvl w:ilvl="7" w:tplc="1A302C90">
      <w:start w:val="1"/>
      <w:numFmt w:val="bullet"/>
      <w:lvlText w:val=""/>
      <w:lvlJc w:val="left"/>
      <w:pPr>
        <w:ind w:left="1020" w:hanging="360"/>
      </w:pPr>
      <w:rPr>
        <w:rFonts w:ascii="Symbol" w:hAnsi="Symbol"/>
      </w:rPr>
    </w:lvl>
    <w:lvl w:ilvl="8" w:tplc="D6307A5E">
      <w:start w:val="1"/>
      <w:numFmt w:val="bullet"/>
      <w:lvlText w:val=""/>
      <w:lvlJc w:val="left"/>
      <w:pPr>
        <w:ind w:left="1020" w:hanging="360"/>
      </w:pPr>
      <w:rPr>
        <w:rFonts w:ascii="Symbol" w:hAnsi="Symbol"/>
      </w:rPr>
    </w:lvl>
  </w:abstractNum>
  <w:abstractNum w:abstractNumId="8" w15:restartNumberingAfterBreak="0">
    <w:nsid w:val="40FF3D56"/>
    <w:multiLevelType w:val="hybridMultilevel"/>
    <w:tmpl w:val="9C88B3B8"/>
    <w:lvl w:ilvl="0" w:tplc="967ED1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C864CF"/>
    <w:multiLevelType w:val="hybridMultilevel"/>
    <w:tmpl w:val="384AFEF8"/>
    <w:lvl w:ilvl="0" w:tplc="F2C88BE6">
      <w:start w:val="1"/>
      <w:numFmt w:val="bullet"/>
      <w:lvlText w:val=""/>
      <w:lvlJc w:val="left"/>
      <w:pPr>
        <w:ind w:left="1020" w:hanging="360"/>
      </w:pPr>
      <w:rPr>
        <w:rFonts w:ascii="Symbol" w:hAnsi="Symbol"/>
      </w:rPr>
    </w:lvl>
    <w:lvl w:ilvl="1" w:tplc="6D2A4F86">
      <w:start w:val="1"/>
      <w:numFmt w:val="bullet"/>
      <w:lvlText w:val=""/>
      <w:lvlJc w:val="left"/>
      <w:pPr>
        <w:ind w:left="1020" w:hanging="360"/>
      </w:pPr>
      <w:rPr>
        <w:rFonts w:ascii="Symbol" w:hAnsi="Symbol"/>
      </w:rPr>
    </w:lvl>
    <w:lvl w:ilvl="2" w:tplc="2D9E63E6">
      <w:start w:val="1"/>
      <w:numFmt w:val="bullet"/>
      <w:lvlText w:val=""/>
      <w:lvlJc w:val="left"/>
      <w:pPr>
        <w:ind w:left="1020" w:hanging="360"/>
      </w:pPr>
      <w:rPr>
        <w:rFonts w:ascii="Symbol" w:hAnsi="Symbol"/>
      </w:rPr>
    </w:lvl>
    <w:lvl w:ilvl="3" w:tplc="EE143C7E">
      <w:start w:val="1"/>
      <w:numFmt w:val="bullet"/>
      <w:lvlText w:val=""/>
      <w:lvlJc w:val="left"/>
      <w:pPr>
        <w:ind w:left="1020" w:hanging="360"/>
      </w:pPr>
      <w:rPr>
        <w:rFonts w:ascii="Symbol" w:hAnsi="Symbol"/>
      </w:rPr>
    </w:lvl>
    <w:lvl w:ilvl="4" w:tplc="192272DA">
      <w:start w:val="1"/>
      <w:numFmt w:val="bullet"/>
      <w:lvlText w:val=""/>
      <w:lvlJc w:val="left"/>
      <w:pPr>
        <w:ind w:left="1020" w:hanging="360"/>
      </w:pPr>
      <w:rPr>
        <w:rFonts w:ascii="Symbol" w:hAnsi="Symbol"/>
      </w:rPr>
    </w:lvl>
    <w:lvl w:ilvl="5" w:tplc="A4002E42">
      <w:start w:val="1"/>
      <w:numFmt w:val="bullet"/>
      <w:lvlText w:val=""/>
      <w:lvlJc w:val="left"/>
      <w:pPr>
        <w:ind w:left="1020" w:hanging="360"/>
      </w:pPr>
      <w:rPr>
        <w:rFonts w:ascii="Symbol" w:hAnsi="Symbol"/>
      </w:rPr>
    </w:lvl>
    <w:lvl w:ilvl="6" w:tplc="28FCB97C">
      <w:start w:val="1"/>
      <w:numFmt w:val="bullet"/>
      <w:lvlText w:val=""/>
      <w:lvlJc w:val="left"/>
      <w:pPr>
        <w:ind w:left="1020" w:hanging="360"/>
      </w:pPr>
      <w:rPr>
        <w:rFonts w:ascii="Symbol" w:hAnsi="Symbol"/>
      </w:rPr>
    </w:lvl>
    <w:lvl w:ilvl="7" w:tplc="4F2A95EC">
      <w:start w:val="1"/>
      <w:numFmt w:val="bullet"/>
      <w:lvlText w:val=""/>
      <w:lvlJc w:val="left"/>
      <w:pPr>
        <w:ind w:left="1020" w:hanging="360"/>
      </w:pPr>
      <w:rPr>
        <w:rFonts w:ascii="Symbol" w:hAnsi="Symbol"/>
      </w:rPr>
    </w:lvl>
    <w:lvl w:ilvl="8" w:tplc="FDD21366">
      <w:start w:val="1"/>
      <w:numFmt w:val="bullet"/>
      <w:lvlText w:val=""/>
      <w:lvlJc w:val="left"/>
      <w:pPr>
        <w:ind w:left="1020" w:hanging="360"/>
      </w:pPr>
      <w:rPr>
        <w:rFonts w:ascii="Symbol" w:hAnsi="Symbol"/>
      </w:rPr>
    </w:lvl>
  </w:abstractNum>
  <w:abstractNum w:abstractNumId="10" w15:restartNumberingAfterBreak="0">
    <w:nsid w:val="4FFB075F"/>
    <w:multiLevelType w:val="hybridMultilevel"/>
    <w:tmpl w:val="467EC9CE"/>
    <w:lvl w:ilvl="0" w:tplc="967ED1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466F3C"/>
    <w:multiLevelType w:val="multilevel"/>
    <w:tmpl w:val="626405D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B721859"/>
    <w:multiLevelType w:val="hybridMultilevel"/>
    <w:tmpl w:val="81AADECC"/>
    <w:lvl w:ilvl="0" w:tplc="E2768F7C">
      <w:start w:val="1"/>
      <w:numFmt w:val="bullet"/>
      <w:lvlText w:val=""/>
      <w:lvlJc w:val="left"/>
      <w:pPr>
        <w:ind w:left="8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733404"/>
    <w:multiLevelType w:val="hybridMultilevel"/>
    <w:tmpl w:val="53D0CE96"/>
    <w:lvl w:ilvl="0" w:tplc="F82EBAF2">
      <w:start w:val="1"/>
      <w:numFmt w:val="bullet"/>
      <w:lvlText w:val=""/>
      <w:lvlJc w:val="left"/>
      <w:pPr>
        <w:ind w:left="1020" w:hanging="360"/>
      </w:pPr>
      <w:rPr>
        <w:rFonts w:ascii="Symbol" w:hAnsi="Symbol"/>
      </w:rPr>
    </w:lvl>
    <w:lvl w:ilvl="1" w:tplc="49BC2B08">
      <w:start w:val="1"/>
      <w:numFmt w:val="bullet"/>
      <w:lvlText w:val=""/>
      <w:lvlJc w:val="left"/>
      <w:pPr>
        <w:ind w:left="1020" w:hanging="360"/>
      </w:pPr>
      <w:rPr>
        <w:rFonts w:ascii="Symbol" w:hAnsi="Symbol"/>
      </w:rPr>
    </w:lvl>
    <w:lvl w:ilvl="2" w:tplc="3FE246F0">
      <w:start w:val="1"/>
      <w:numFmt w:val="bullet"/>
      <w:lvlText w:val=""/>
      <w:lvlJc w:val="left"/>
      <w:pPr>
        <w:ind w:left="1020" w:hanging="360"/>
      </w:pPr>
      <w:rPr>
        <w:rFonts w:ascii="Symbol" w:hAnsi="Symbol"/>
      </w:rPr>
    </w:lvl>
    <w:lvl w:ilvl="3" w:tplc="FB3A7B8C">
      <w:start w:val="1"/>
      <w:numFmt w:val="bullet"/>
      <w:lvlText w:val=""/>
      <w:lvlJc w:val="left"/>
      <w:pPr>
        <w:ind w:left="1020" w:hanging="360"/>
      </w:pPr>
      <w:rPr>
        <w:rFonts w:ascii="Symbol" w:hAnsi="Symbol"/>
      </w:rPr>
    </w:lvl>
    <w:lvl w:ilvl="4" w:tplc="0EC01EF2">
      <w:start w:val="1"/>
      <w:numFmt w:val="bullet"/>
      <w:lvlText w:val=""/>
      <w:lvlJc w:val="left"/>
      <w:pPr>
        <w:ind w:left="1020" w:hanging="360"/>
      </w:pPr>
      <w:rPr>
        <w:rFonts w:ascii="Symbol" w:hAnsi="Symbol"/>
      </w:rPr>
    </w:lvl>
    <w:lvl w:ilvl="5" w:tplc="7982EB12">
      <w:start w:val="1"/>
      <w:numFmt w:val="bullet"/>
      <w:lvlText w:val=""/>
      <w:lvlJc w:val="left"/>
      <w:pPr>
        <w:ind w:left="1020" w:hanging="360"/>
      </w:pPr>
      <w:rPr>
        <w:rFonts w:ascii="Symbol" w:hAnsi="Symbol"/>
      </w:rPr>
    </w:lvl>
    <w:lvl w:ilvl="6" w:tplc="D8E8F3D0">
      <w:start w:val="1"/>
      <w:numFmt w:val="bullet"/>
      <w:lvlText w:val=""/>
      <w:lvlJc w:val="left"/>
      <w:pPr>
        <w:ind w:left="1020" w:hanging="360"/>
      </w:pPr>
      <w:rPr>
        <w:rFonts w:ascii="Symbol" w:hAnsi="Symbol"/>
      </w:rPr>
    </w:lvl>
    <w:lvl w:ilvl="7" w:tplc="F8CC3FCE">
      <w:start w:val="1"/>
      <w:numFmt w:val="bullet"/>
      <w:lvlText w:val=""/>
      <w:lvlJc w:val="left"/>
      <w:pPr>
        <w:ind w:left="1020" w:hanging="360"/>
      </w:pPr>
      <w:rPr>
        <w:rFonts w:ascii="Symbol" w:hAnsi="Symbol"/>
      </w:rPr>
    </w:lvl>
    <w:lvl w:ilvl="8" w:tplc="18D4E0B8">
      <w:start w:val="1"/>
      <w:numFmt w:val="bullet"/>
      <w:lvlText w:val=""/>
      <w:lvlJc w:val="left"/>
      <w:pPr>
        <w:ind w:left="1020" w:hanging="360"/>
      </w:pPr>
      <w:rPr>
        <w:rFonts w:ascii="Symbol" w:hAnsi="Symbol"/>
      </w:rPr>
    </w:lvl>
  </w:abstractNum>
  <w:num w:numId="1" w16cid:durableId="833180280">
    <w:abstractNumId w:val="1"/>
  </w:num>
  <w:num w:numId="2" w16cid:durableId="1675181763">
    <w:abstractNumId w:val="0"/>
  </w:num>
  <w:num w:numId="3" w16cid:durableId="1944803115">
    <w:abstractNumId w:val="11"/>
  </w:num>
  <w:num w:numId="4" w16cid:durableId="1910916841">
    <w:abstractNumId w:val="12"/>
  </w:num>
  <w:num w:numId="5" w16cid:durableId="1758937512">
    <w:abstractNumId w:val="4"/>
  </w:num>
  <w:num w:numId="6" w16cid:durableId="668290375">
    <w:abstractNumId w:val="6"/>
  </w:num>
  <w:num w:numId="7" w16cid:durableId="1949775793">
    <w:abstractNumId w:val="10"/>
  </w:num>
  <w:num w:numId="8" w16cid:durableId="1143885275">
    <w:abstractNumId w:val="2"/>
  </w:num>
  <w:num w:numId="9" w16cid:durableId="1540438279">
    <w:abstractNumId w:val="4"/>
  </w:num>
  <w:num w:numId="10" w16cid:durableId="1918975914">
    <w:abstractNumId w:val="5"/>
  </w:num>
  <w:num w:numId="11" w16cid:durableId="707607857">
    <w:abstractNumId w:val="4"/>
  </w:num>
  <w:num w:numId="12" w16cid:durableId="1271278837">
    <w:abstractNumId w:val="4"/>
  </w:num>
  <w:num w:numId="13" w16cid:durableId="838812397">
    <w:abstractNumId w:val="4"/>
  </w:num>
  <w:num w:numId="14" w16cid:durableId="1594823926">
    <w:abstractNumId w:val="4"/>
  </w:num>
  <w:num w:numId="15" w16cid:durableId="1403140426">
    <w:abstractNumId w:val="13"/>
  </w:num>
  <w:num w:numId="16" w16cid:durableId="322004739">
    <w:abstractNumId w:val="3"/>
  </w:num>
  <w:num w:numId="17" w16cid:durableId="1053426989">
    <w:abstractNumId w:val="8"/>
  </w:num>
  <w:num w:numId="18" w16cid:durableId="1226919025">
    <w:abstractNumId w:val="9"/>
  </w:num>
  <w:num w:numId="19" w16cid:durableId="167819459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C6"/>
    <w:rsid w:val="00000CA6"/>
    <w:rsid w:val="00000D0E"/>
    <w:rsid w:val="00000DF5"/>
    <w:rsid w:val="00001AA5"/>
    <w:rsid w:val="00001E3B"/>
    <w:rsid w:val="00002089"/>
    <w:rsid w:val="00003519"/>
    <w:rsid w:val="000052F0"/>
    <w:rsid w:val="00005337"/>
    <w:rsid w:val="00006012"/>
    <w:rsid w:val="00006828"/>
    <w:rsid w:val="00006C0B"/>
    <w:rsid w:val="000073F0"/>
    <w:rsid w:val="00010183"/>
    <w:rsid w:val="000109A6"/>
    <w:rsid w:val="00012018"/>
    <w:rsid w:val="0001278C"/>
    <w:rsid w:val="00012DBF"/>
    <w:rsid w:val="00012FD8"/>
    <w:rsid w:val="0001356D"/>
    <w:rsid w:val="00014C10"/>
    <w:rsid w:val="000168DB"/>
    <w:rsid w:val="0001780D"/>
    <w:rsid w:val="00020071"/>
    <w:rsid w:val="00020870"/>
    <w:rsid w:val="00020F11"/>
    <w:rsid w:val="00021510"/>
    <w:rsid w:val="00021C39"/>
    <w:rsid w:val="000225A0"/>
    <w:rsid w:val="00022623"/>
    <w:rsid w:val="00022774"/>
    <w:rsid w:val="00022F01"/>
    <w:rsid w:val="000235C0"/>
    <w:rsid w:val="00024E7B"/>
    <w:rsid w:val="0002540C"/>
    <w:rsid w:val="000275E0"/>
    <w:rsid w:val="000301BC"/>
    <w:rsid w:val="00030A28"/>
    <w:rsid w:val="00030E56"/>
    <w:rsid w:val="00031C21"/>
    <w:rsid w:val="00031D11"/>
    <w:rsid w:val="00032587"/>
    <w:rsid w:val="000339A4"/>
    <w:rsid w:val="00033BDB"/>
    <w:rsid w:val="00034B93"/>
    <w:rsid w:val="00034D9B"/>
    <w:rsid w:val="000353D1"/>
    <w:rsid w:val="000368AC"/>
    <w:rsid w:val="00041269"/>
    <w:rsid w:val="00041CED"/>
    <w:rsid w:val="00041F38"/>
    <w:rsid w:val="000420DA"/>
    <w:rsid w:val="00042818"/>
    <w:rsid w:val="00042C44"/>
    <w:rsid w:val="00042CCA"/>
    <w:rsid w:val="000448D7"/>
    <w:rsid w:val="00047956"/>
    <w:rsid w:val="0005082E"/>
    <w:rsid w:val="0005209B"/>
    <w:rsid w:val="00052460"/>
    <w:rsid w:val="0005264F"/>
    <w:rsid w:val="000539B2"/>
    <w:rsid w:val="000540BF"/>
    <w:rsid w:val="00054E6F"/>
    <w:rsid w:val="00054FA7"/>
    <w:rsid w:val="00055211"/>
    <w:rsid w:val="00056190"/>
    <w:rsid w:val="00056503"/>
    <w:rsid w:val="000568B4"/>
    <w:rsid w:val="00056F54"/>
    <w:rsid w:val="000578A2"/>
    <w:rsid w:val="00060141"/>
    <w:rsid w:val="00060F05"/>
    <w:rsid w:val="00061CC8"/>
    <w:rsid w:val="00062390"/>
    <w:rsid w:val="00062661"/>
    <w:rsid w:val="000636DE"/>
    <w:rsid w:val="00063EBE"/>
    <w:rsid w:val="00063FCA"/>
    <w:rsid w:val="00064941"/>
    <w:rsid w:val="0006504A"/>
    <w:rsid w:val="000650AC"/>
    <w:rsid w:val="00065AAE"/>
    <w:rsid w:val="0006618B"/>
    <w:rsid w:val="000661EF"/>
    <w:rsid w:val="000707DC"/>
    <w:rsid w:val="00070F3A"/>
    <w:rsid w:val="00072FE5"/>
    <w:rsid w:val="000732C1"/>
    <w:rsid w:val="0007337F"/>
    <w:rsid w:val="00073F69"/>
    <w:rsid w:val="00074805"/>
    <w:rsid w:val="00074AC1"/>
    <w:rsid w:val="00074B90"/>
    <w:rsid w:val="0007596C"/>
    <w:rsid w:val="00075BB6"/>
    <w:rsid w:val="000772EF"/>
    <w:rsid w:val="000804AC"/>
    <w:rsid w:val="000805F8"/>
    <w:rsid w:val="0008131A"/>
    <w:rsid w:val="0008138F"/>
    <w:rsid w:val="00082A40"/>
    <w:rsid w:val="00082CF6"/>
    <w:rsid w:val="00083F13"/>
    <w:rsid w:val="00084568"/>
    <w:rsid w:val="0008541F"/>
    <w:rsid w:val="0008591D"/>
    <w:rsid w:val="00085F64"/>
    <w:rsid w:val="00086A5E"/>
    <w:rsid w:val="00087631"/>
    <w:rsid w:val="0008767B"/>
    <w:rsid w:val="000914EF"/>
    <w:rsid w:val="00091D72"/>
    <w:rsid w:val="00091F52"/>
    <w:rsid w:val="00093021"/>
    <w:rsid w:val="0009422D"/>
    <w:rsid w:val="0009542E"/>
    <w:rsid w:val="000970AA"/>
    <w:rsid w:val="000972C1"/>
    <w:rsid w:val="00097B77"/>
    <w:rsid w:val="000A108E"/>
    <w:rsid w:val="000A1544"/>
    <w:rsid w:val="000A1A83"/>
    <w:rsid w:val="000A2043"/>
    <w:rsid w:val="000A2AE5"/>
    <w:rsid w:val="000A2CAE"/>
    <w:rsid w:val="000A395E"/>
    <w:rsid w:val="000A4312"/>
    <w:rsid w:val="000A5B88"/>
    <w:rsid w:val="000A6D0F"/>
    <w:rsid w:val="000A747E"/>
    <w:rsid w:val="000A7526"/>
    <w:rsid w:val="000A7A21"/>
    <w:rsid w:val="000B1279"/>
    <w:rsid w:val="000B1B17"/>
    <w:rsid w:val="000B21CA"/>
    <w:rsid w:val="000B2A92"/>
    <w:rsid w:val="000B2CB0"/>
    <w:rsid w:val="000B47E2"/>
    <w:rsid w:val="000B4D49"/>
    <w:rsid w:val="000B5060"/>
    <w:rsid w:val="000B519D"/>
    <w:rsid w:val="000B5468"/>
    <w:rsid w:val="000B56AB"/>
    <w:rsid w:val="000B58EE"/>
    <w:rsid w:val="000B5DCB"/>
    <w:rsid w:val="000B5EC3"/>
    <w:rsid w:val="000C06D2"/>
    <w:rsid w:val="000C0839"/>
    <w:rsid w:val="000C2182"/>
    <w:rsid w:val="000C231C"/>
    <w:rsid w:val="000C26C4"/>
    <w:rsid w:val="000C2864"/>
    <w:rsid w:val="000C32DB"/>
    <w:rsid w:val="000C3D1C"/>
    <w:rsid w:val="000C465C"/>
    <w:rsid w:val="000C4D74"/>
    <w:rsid w:val="000C4E06"/>
    <w:rsid w:val="000C54E9"/>
    <w:rsid w:val="000C58AC"/>
    <w:rsid w:val="000C622A"/>
    <w:rsid w:val="000C6A99"/>
    <w:rsid w:val="000C6D55"/>
    <w:rsid w:val="000C6EC8"/>
    <w:rsid w:val="000C79FE"/>
    <w:rsid w:val="000D0237"/>
    <w:rsid w:val="000D24BE"/>
    <w:rsid w:val="000D26B6"/>
    <w:rsid w:val="000D2B7D"/>
    <w:rsid w:val="000D4B72"/>
    <w:rsid w:val="000D500E"/>
    <w:rsid w:val="000D54C3"/>
    <w:rsid w:val="000D6F6D"/>
    <w:rsid w:val="000D7552"/>
    <w:rsid w:val="000D7CDE"/>
    <w:rsid w:val="000D7F5F"/>
    <w:rsid w:val="000D7F65"/>
    <w:rsid w:val="000E0B6C"/>
    <w:rsid w:val="000E11DB"/>
    <w:rsid w:val="000E2BF3"/>
    <w:rsid w:val="000E397B"/>
    <w:rsid w:val="000E3FCD"/>
    <w:rsid w:val="000E4417"/>
    <w:rsid w:val="000E4CA6"/>
    <w:rsid w:val="000E54AC"/>
    <w:rsid w:val="000E5896"/>
    <w:rsid w:val="000F0652"/>
    <w:rsid w:val="000F0FD5"/>
    <w:rsid w:val="000F1937"/>
    <w:rsid w:val="000F2B6D"/>
    <w:rsid w:val="000F3073"/>
    <w:rsid w:val="000F31E8"/>
    <w:rsid w:val="000F3C2B"/>
    <w:rsid w:val="000F52EF"/>
    <w:rsid w:val="000F58E2"/>
    <w:rsid w:val="000F5E7E"/>
    <w:rsid w:val="000F61F9"/>
    <w:rsid w:val="000F659E"/>
    <w:rsid w:val="000F7E78"/>
    <w:rsid w:val="001003CF"/>
    <w:rsid w:val="001014D4"/>
    <w:rsid w:val="0010211A"/>
    <w:rsid w:val="001025C9"/>
    <w:rsid w:val="00103897"/>
    <w:rsid w:val="001038F1"/>
    <w:rsid w:val="00103E18"/>
    <w:rsid w:val="00104129"/>
    <w:rsid w:val="0010432F"/>
    <w:rsid w:val="001053AC"/>
    <w:rsid w:val="0010575F"/>
    <w:rsid w:val="0010579B"/>
    <w:rsid w:val="00105887"/>
    <w:rsid w:val="001062A8"/>
    <w:rsid w:val="0011011C"/>
    <w:rsid w:val="001103D1"/>
    <w:rsid w:val="001105D7"/>
    <w:rsid w:val="00110842"/>
    <w:rsid w:val="00110CD5"/>
    <w:rsid w:val="00112ABB"/>
    <w:rsid w:val="00113A8E"/>
    <w:rsid w:val="00115554"/>
    <w:rsid w:val="001161F1"/>
    <w:rsid w:val="0011725C"/>
    <w:rsid w:val="00117BF2"/>
    <w:rsid w:val="001208B1"/>
    <w:rsid w:val="00122478"/>
    <w:rsid w:val="00123755"/>
    <w:rsid w:val="00123C1C"/>
    <w:rsid w:val="00123F3E"/>
    <w:rsid w:val="00125AB5"/>
    <w:rsid w:val="00126653"/>
    <w:rsid w:val="0012681D"/>
    <w:rsid w:val="0013003A"/>
    <w:rsid w:val="001308BC"/>
    <w:rsid w:val="0013211C"/>
    <w:rsid w:val="00132126"/>
    <w:rsid w:val="00133643"/>
    <w:rsid w:val="001344D9"/>
    <w:rsid w:val="00134B78"/>
    <w:rsid w:val="0013558E"/>
    <w:rsid w:val="00136848"/>
    <w:rsid w:val="00137787"/>
    <w:rsid w:val="001417DE"/>
    <w:rsid w:val="001417ED"/>
    <w:rsid w:val="001425DA"/>
    <w:rsid w:val="001428AC"/>
    <w:rsid w:val="001429FF"/>
    <w:rsid w:val="001436C0"/>
    <w:rsid w:val="00143838"/>
    <w:rsid w:val="0014391C"/>
    <w:rsid w:val="00143DF3"/>
    <w:rsid w:val="00144369"/>
    <w:rsid w:val="00144E21"/>
    <w:rsid w:val="00145399"/>
    <w:rsid w:val="0014544D"/>
    <w:rsid w:val="0014639E"/>
    <w:rsid w:val="001469E3"/>
    <w:rsid w:val="00146F7D"/>
    <w:rsid w:val="001500ED"/>
    <w:rsid w:val="001507B0"/>
    <w:rsid w:val="001507E1"/>
    <w:rsid w:val="00151F78"/>
    <w:rsid w:val="001522A8"/>
    <w:rsid w:val="0015274E"/>
    <w:rsid w:val="00153105"/>
    <w:rsid w:val="001532EA"/>
    <w:rsid w:val="00153474"/>
    <w:rsid w:val="00154122"/>
    <w:rsid w:val="00155573"/>
    <w:rsid w:val="001563FB"/>
    <w:rsid w:val="00157DDC"/>
    <w:rsid w:val="0016009C"/>
    <w:rsid w:val="00161278"/>
    <w:rsid w:val="00162538"/>
    <w:rsid w:val="001629E4"/>
    <w:rsid w:val="00162B95"/>
    <w:rsid w:val="00163CAD"/>
    <w:rsid w:val="001646E5"/>
    <w:rsid w:val="0016482D"/>
    <w:rsid w:val="00165A71"/>
    <w:rsid w:val="00165FD1"/>
    <w:rsid w:val="001665E8"/>
    <w:rsid w:val="00166B8A"/>
    <w:rsid w:val="00166C90"/>
    <w:rsid w:val="001703C2"/>
    <w:rsid w:val="00170605"/>
    <w:rsid w:val="00172105"/>
    <w:rsid w:val="001730B2"/>
    <w:rsid w:val="0017354C"/>
    <w:rsid w:val="001739B0"/>
    <w:rsid w:val="00173F06"/>
    <w:rsid w:val="00174139"/>
    <w:rsid w:val="001748F5"/>
    <w:rsid w:val="00175264"/>
    <w:rsid w:val="00175871"/>
    <w:rsid w:val="001765D2"/>
    <w:rsid w:val="00177FA8"/>
    <w:rsid w:val="001807EE"/>
    <w:rsid w:val="00181889"/>
    <w:rsid w:val="001838A2"/>
    <w:rsid w:val="00183984"/>
    <w:rsid w:val="001845CA"/>
    <w:rsid w:val="00186037"/>
    <w:rsid w:val="00186BE6"/>
    <w:rsid w:val="00187136"/>
    <w:rsid w:val="0018783E"/>
    <w:rsid w:val="0018789C"/>
    <w:rsid w:val="00190C54"/>
    <w:rsid w:val="00191B1E"/>
    <w:rsid w:val="00191D57"/>
    <w:rsid w:val="0019306A"/>
    <w:rsid w:val="0019307A"/>
    <w:rsid w:val="001933FE"/>
    <w:rsid w:val="00194541"/>
    <w:rsid w:val="001948D8"/>
    <w:rsid w:val="00194AD1"/>
    <w:rsid w:val="00195410"/>
    <w:rsid w:val="00195C1A"/>
    <w:rsid w:val="00196554"/>
    <w:rsid w:val="00197CD8"/>
    <w:rsid w:val="001A044D"/>
    <w:rsid w:val="001A0659"/>
    <w:rsid w:val="001A0F2F"/>
    <w:rsid w:val="001A3357"/>
    <w:rsid w:val="001A3FE0"/>
    <w:rsid w:val="001A46D9"/>
    <w:rsid w:val="001A5150"/>
    <w:rsid w:val="001A5322"/>
    <w:rsid w:val="001A5580"/>
    <w:rsid w:val="001A58FA"/>
    <w:rsid w:val="001A5E9E"/>
    <w:rsid w:val="001A6084"/>
    <w:rsid w:val="001A63E8"/>
    <w:rsid w:val="001A73FD"/>
    <w:rsid w:val="001A7D1C"/>
    <w:rsid w:val="001B03D2"/>
    <w:rsid w:val="001B2C31"/>
    <w:rsid w:val="001B38EF"/>
    <w:rsid w:val="001B3D3E"/>
    <w:rsid w:val="001B3E67"/>
    <w:rsid w:val="001B4EE6"/>
    <w:rsid w:val="001B55B2"/>
    <w:rsid w:val="001B56C2"/>
    <w:rsid w:val="001B65D1"/>
    <w:rsid w:val="001B7BB4"/>
    <w:rsid w:val="001C0046"/>
    <w:rsid w:val="001C03CB"/>
    <w:rsid w:val="001C0642"/>
    <w:rsid w:val="001C0998"/>
    <w:rsid w:val="001C126E"/>
    <w:rsid w:val="001C1BD6"/>
    <w:rsid w:val="001C250C"/>
    <w:rsid w:val="001C3066"/>
    <w:rsid w:val="001C3B9A"/>
    <w:rsid w:val="001C4CC6"/>
    <w:rsid w:val="001C5E05"/>
    <w:rsid w:val="001C648D"/>
    <w:rsid w:val="001C6827"/>
    <w:rsid w:val="001C789E"/>
    <w:rsid w:val="001C7A73"/>
    <w:rsid w:val="001D0764"/>
    <w:rsid w:val="001D129E"/>
    <w:rsid w:val="001D1369"/>
    <w:rsid w:val="001D17DB"/>
    <w:rsid w:val="001D1D4E"/>
    <w:rsid w:val="001D24FD"/>
    <w:rsid w:val="001D29BE"/>
    <w:rsid w:val="001D30BF"/>
    <w:rsid w:val="001D37D5"/>
    <w:rsid w:val="001D3AF4"/>
    <w:rsid w:val="001D4C8E"/>
    <w:rsid w:val="001D4F97"/>
    <w:rsid w:val="001D5267"/>
    <w:rsid w:val="001D5527"/>
    <w:rsid w:val="001D5C93"/>
    <w:rsid w:val="001D7857"/>
    <w:rsid w:val="001D7BB3"/>
    <w:rsid w:val="001D7C6E"/>
    <w:rsid w:val="001D7CF5"/>
    <w:rsid w:val="001E0211"/>
    <w:rsid w:val="001E0838"/>
    <w:rsid w:val="001E0A97"/>
    <w:rsid w:val="001E338C"/>
    <w:rsid w:val="001E42C3"/>
    <w:rsid w:val="001E45EF"/>
    <w:rsid w:val="001E464C"/>
    <w:rsid w:val="001E54DB"/>
    <w:rsid w:val="001E5E1D"/>
    <w:rsid w:val="001E62F9"/>
    <w:rsid w:val="001E6460"/>
    <w:rsid w:val="001E64BD"/>
    <w:rsid w:val="001E6F4B"/>
    <w:rsid w:val="001E7B21"/>
    <w:rsid w:val="001F011D"/>
    <w:rsid w:val="001F0C85"/>
    <w:rsid w:val="001F2728"/>
    <w:rsid w:val="001F2982"/>
    <w:rsid w:val="001F326B"/>
    <w:rsid w:val="001F39D9"/>
    <w:rsid w:val="001F4181"/>
    <w:rsid w:val="001F4C1B"/>
    <w:rsid w:val="001F68D4"/>
    <w:rsid w:val="001F726B"/>
    <w:rsid w:val="001F7536"/>
    <w:rsid w:val="001F7579"/>
    <w:rsid w:val="0020019B"/>
    <w:rsid w:val="00200997"/>
    <w:rsid w:val="0020109E"/>
    <w:rsid w:val="002024A9"/>
    <w:rsid w:val="002040AB"/>
    <w:rsid w:val="00204488"/>
    <w:rsid w:val="002047CA"/>
    <w:rsid w:val="00204FFD"/>
    <w:rsid w:val="00206301"/>
    <w:rsid w:val="0020725A"/>
    <w:rsid w:val="00210C39"/>
    <w:rsid w:val="002116C2"/>
    <w:rsid w:val="00211EAF"/>
    <w:rsid w:val="00212875"/>
    <w:rsid w:val="002131D1"/>
    <w:rsid w:val="0021359B"/>
    <w:rsid w:val="002137A5"/>
    <w:rsid w:val="00213970"/>
    <w:rsid w:val="0021455F"/>
    <w:rsid w:val="00216889"/>
    <w:rsid w:val="00217627"/>
    <w:rsid w:val="00217F6D"/>
    <w:rsid w:val="00220904"/>
    <w:rsid w:val="002210D6"/>
    <w:rsid w:val="0022363C"/>
    <w:rsid w:val="00223D69"/>
    <w:rsid w:val="00224B25"/>
    <w:rsid w:val="00224B5F"/>
    <w:rsid w:val="00224C91"/>
    <w:rsid w:val="00226251"/>
    <w:rsid w:val="00226A88"/>
    <w:rsid w:val="002270D4"/>
    <w:rsid w:val="00227C91"/>
    <w:rsid w:val="002310D6"/>
    <w:rsid w:val="00232EEC"/>
    <w:rsid w:val="0023330F"/>
    <w:rsid w:val="0023378F"/>
    <w:rsid w:val="00233B9F"/>
    <w:rsid w:val="00234AD8"/>
    <w:rsid w:val="00235079"/>
    <w:rsid w:val="00235612"/>
    <w:rsid w:val="0023618A"/>
    <w:rsid w:val="00236F51"/>
    <w:rsid w:val="0023735C"/>
    <w:rsid w:val="002405D9"/>
    <w:rsid w:val="00240746"/>
    <w:rsid w:val="002412B0"/>
    <w:rsid w:val="00241518"/>
    <w:rsid w:val="00241A08"/>
    <w:rsid w:val="00242BEB"/>
    <w:rsid w:val="002434D0"/>
    <w:rsid w:val="00243662"/>
    <w:rsid w:val="0024461A"/>
    <w:rsid w:val="0024461C"/>
    <w:rsid w:val="00244F99"/>
    <w:rsid w:val="0024521B"/>
    <w:rsid w:val="00246592"/>
    <w:rsid w:val="00246646"/>
    <w:rsid w:val="00246E4C"/>
    <w:rsid w:val="00247424"/>
    <w:rsid w:val="002500B7"/>
    <w:rsid w:val="002517EF"/>
    <w:rsid w:val="002519D9"/>
    <w:rsid w:val="00251EE9"/>
    <w:rsid w:val="00252860"/>
    <w:rsid w:val="00252F8E"/>
    <w:rsid w:val="002544EF"/>
    <w:rsid w:val="00254ABC"/>
    <w:rsid w:val="002558A2"/>
    <w:rsid w:val="00256168"/>
    <w:rsid w:val="00256EB0"/>
    <w:rsid w:val="00260022"/>
    <w:rsid w:val="002616DB"/>
    <w:rsid w:val="00261E80"/>
    <w:rsid w:val="00262517"/>
    <w:rsid w:val="002628C7"/>
    <w:rsid w:val="00263454"/>
    <w:rsid w:val="00265B31"/>
    <w:rsid w:val="00266083"/>
    <w:rsid w:val="002702A2"/>
    <w:rsid w:val="00270684"/>
    <w:rsid w:val="00270868"/>
    <w:rsid w:val="002710CB"/>
    <w:rsid w:val="002717E3"/>
    <w:rsid w:val="00272296"/>
    <w:rsid w:val="00272D8A"/>
    <w:rsid w:val="00273B98"/>
    <w:rsid w:val="00273F3B"/>
    <w:rsid w:val="002745AE"/>
    <w:rsid w:val="00274727"/>
    <w:rsid w:val="002748FA"/>
    <w:rsid w:val="00274ECB"/>
    <w:rsid w:val="00275678"/>
    <w:rsid w:val="002758A5"/>
    <w:rsid w:val="00276703"/>
    <w:rsid w:val="002769AD"/>
    <w:rsid w:val="00276A8F"/>
    <w:rsid w:val="00276F02"/>
    <w:rsid w:val="00277127"/>
    <w:rsid w:val="00277DD2"/>
    <w:rsid w:val="00280753"/>
    <w:rsid w:val="00282EB9"/>
    <w:rsid w:val="002835FD"/>
    <w:rsid w:val="00283793"/>
    <w:rsid w:val="002839AA"/>
    <w:rsid w:val="00283CBB"/>
    <w:rsid w:val="002849EF"/>
    <w:rsid w:val="00284E4A"/>
    <w:rsid w:val="00284EE8"/>
    <w:rsid w:val="0028539B"/>
    <w:rsid w:val="00285ABA"/>
    <w:rsid w:val="00286F68"/>
    <w:rsid w:val="002872FE"/>
    <w:rsid w:val="00287CEC"/>
    <w:rsid w:val="00287D01"/>
    <w:rsid w:val="00290783"/>
    <w:rsid w:val="0029147C"/>
    <w:rsid w:val="0029200B"/>
    <w:rsid w:val="002927B6"/>
    <w:rsid w:val="0029299D"/>
    <w:rsid w:val="00294305"/>
    <w:rsid w:val="002954DC"/>
    <w:rsid w:val="00296342"/>
    <w:rsid w:val="00296C92"/>
    <w:rsid w:val="00296F69"/>
    <w:rsid w:val="002976FF"/>
    <w:rsid w:val="0029785D"/>
    <w:rsid w:val="002A052C"/>
    <w:rsid w:val="002A0BB3"/>
    <w:rsid w:val="002A0D00"/>
    <w:rsid w:val="002A132A"/>
    <w:rsid w:val="002A20DF"/>
    <w:rsid w:val="002A2392"/>
    <w:rsid w:val="002A292C"/>
    <w:rsid w:val="002A323B"/>
    <w:rsid w:val="002A3587"/>
    <w:rsid w:val="002A3F9B"/>
    <w:rsid w:val="002A5249"/>
    <w:rsid w:val="002A574F"/>
    <w:rsid w:val="002A5CDE"/>
    <w:rsid w:val="002A6393"/>
    <w:rsid w:val="002A6467"/>
    <w:rsid w:val="002A6C5B"/>
    <w:rsid w:val="002A7732"/>
    <w:rsid w:val="002B0216"/>
    <w:rsid w:val="002B067D"/>
    <w:rsid w:val="002B09D6"/>
    <w:rsid w:val="002B0D03"/>
    <w:rsid w:val="002B194D"/>
    <w:rsid w:val="002B1B92"/>
    <w:rsid w:val="002B25E6"/>
    <w:rsid w:val="002B266B"/>
    <w:rsid w:val="002B2E00"/>
    <w:rsid w:val="002B4D1E"/>
    <w:rsid w:val="002B508A"/>
    <w:rsid w:val="002B52DD"/>
    <w:rsid w:val="002B56B5"/>
    <w:rsid w:val="002B5AEE"/>
    <w:rsid w:val="002B64CC"/>
    <w:rsid w:val="002B6583"/>
    <w:rsid w:val="002B709E"/>
    <w:rsid w:val="002B7C10"/>
    <w:rsid w:val="002C0577"/>
    <w:rsid w:val="002C0BF5"/>
    <w:rsid w:val="002C12D9"/>
    <w:rsid w:val="002C19A1"/>
    <w:rsid w:val="002C19F5"/>
    <w:rsid w:val="002C1B4A"/>
    <w:rsid w:val="002C20F5"/>
    <w:rsid w:val="002C31A2"/>
    <w:rsid w:val="002C3C92"/>
    <w:rsid w:val="002C5314"/>
    <w:rsid w:val="002C57D8"/>
    <w:rsid w:val="002C5FEA"/>
    <w:rsid w:val="002C64C9"/>
    <w:rsid w:val="002C6C46"/>
    <w:rsid w:val="002C6D9E"/>
    <w:rsid w:val="002C70BC"/>
    <w:rsid w:val="002D06A0"/>
    <w:rsid w:val="002D18E5"/>
    <w:rsid w:val="002D1BC9"/>
    <w:rsid w:val="002D29C3"/>
    <w:rsid w:val="002D3BC4"/>
    <w:rsid w:val="002D3E9A"/>
    <w:rsid w:val="002D47DE"/>
    <w:rsid w:val="002D4AE9"/>
    <w:rsid w:val="002D56B7"/>
    <w:rsid w:val="002D76E2"/>
    <w:rsid w:val="002D781B"/>
    <w:rsid w:val="002D7B75"/>
    <w:rsid w:val="002E0A70"/>
    <w:rsid w:val="002E1018"/>
    <w:rsid w:val="002E1309"/>
    <w:rsid w:val="002E15B0"/>
    <w:rsid w:val="002E3402"/>
    <w:rsid w:val="002E37EF"/>
    <w:rsid w:val="002E57F5"/>
    <w:rsid w:val="002E58E9"/>
    <w:rsid w:val="002E7985"/>
    <w:rsid w:val="002F0402"/>
    <w:rsid w:val="002F0952"/>
    <w:rsid w:val="002F0C8B"/>
    <w:rsid w:val="002F0F69"/>
    <w:rsid w:val="002F1AB2"/>
    <w:rsid w:val="002F1B2B"/>
    <w:rsid w:val="002F21CE"/>
    <w:rsid w:val="002F24AC"/>
    <w:rsid w:val="002F257C"/>
    <w:rsid w:val="002F27FA"/>
    <w:rsid w:val="002F28DB"/>
    <w:rsid w:val="002F40C4"/>
    <w:rsid w:val="002F4154"/>
    <w:rsid w:val="002F4445"/>
    <w:rsid w:val="002F5302"/>
    <w:rsid w:val="002F5DD5"/>
    <w:rsid w:val="002F63DD"/>
    <w:rsid w:val="002F6614"/>
    <w:rsid w:val="002F6CF9"/>
    <w:rsid w:val="002F7655"/>
    <w:rsid w:val="003009FE"/>
    <w:rsid w:val="003012C6"/>
    <w:rsid w:val="00303669"/>
    <w:rsid w:val="00303A36"/>
    <w:rsid w:val="00304E6E"/>
    <w:rsid w:val="003056F7"/>
    <w:rsid w:val="003057DA"/>
    <w:rsid w:val="00305A0D"/>
    <w:rsid w:val="00305B7D"/>
    <w:rsid w:val="00305D9B"/>
    <w:rsid w:val="003060A1"/>
    <w:rsid w:val="00306155"/>
    <w:rsid w:val="0030725F"/>
    <w:rsid w:val="0030750F"/>
    <w:rsid w:val="003075DE"/>
    <w:rsid w:val="00307DB2"/>
    <w:rsid w:val="00311D51"/>
    <w:rsid w:val="003129F2"/>
    <w:rsid w:val="00312C06"/>
    <w:rsid w:val="003138BD"/>
    <w:rsid w:val="00314090"/>
    <w:rsid w:val="00314ADA"/>
    <w:rsid w:val="003150E4"/>
    <w:rsid w:val="0031601D"/>
    <w:rsid w:val="003168D2"/>
    <w:rsid w:val="00316B20"/>
    <w:rsid w:val="00317E79"/>
    <w:rsid w:val="00320178"/>
    <w:rsid w:val="0032017D"/>
    <w:rsid w:val="003205E2"/>
    <w:rsid w:val="0032189B"/>
    <w:rsid w:val="003218BC"/>
    <w:rsid w:val="003218EB"/>
    <w:rsid w:val="00322127"/>
    <w:rsid w:val="003228ED"/>
    <w:rsid w:val="0032295A"/>
    <w:rsid w:val="00322BA7"/>
    <w:rsid w:val="003233D4"/>
    <w:rsid w:val="00324206"/>
    <w:rsid w:val="00324958"/>
    <w:rsid w:val="003249D0"/>
    <w:rsid w:val="00324B83"/>
    <w:rsid w:val="00324FAC"/>
    <w:rsid w:val="0032509E"/>
    <w:rsid w:val="00326C50"/>
    <w:rsid w:val="00327387"/>
    <w:rsid w:val="00331173"/>
    <w:rsid w:val="00331BF7"/>
    <w:rsid w:val="00331CF2"/>
    <w:rsid w:val="00331FB8"/>
    <w:rsid w:val="00332B9F"/>
    <w:rsid w:val="00333A87"/>
    <w:rsid w:val="00333C0E"/>
    <w:rsid w:val="0033410E"/>
    <w:rsid w:val="0033523F"/>
    <w:rsid w:val="00335564"/>
    <w:rsid w:val="00335A10"/>
    <w:rsid w:val="00335A65"/>
    <w:rsid w:val="00335DD0"/>
    <w:rsid w:val="003360CA"/>
    <w:rsid w:val="003369ED"/>
    <w:rsid w:val="00336FE9"/>
    <w:rsid w:val="00337103"/>
    <w:rsid w:val="003378AE"/>
    <w:rsid w:val="003415FD"/>
    <w:rsid w:val="00341943"/>
    <w:rsid w:val="00341ED6"/>
    <w:rsid w:val="0034277D"/>
    <w:rsid w:val="00343157"/>
    <w:rsid w:val="00343506"/>
    <w:rsid w:val="00343B0D"/>
    <w:rsid w:val="00344166"/>
    <w:rsid w:val="00344819"/>
    <w:rsid w:val="00344EF7"/>
    <w:rsid w:val="00345716"/>
    <w:rsid w:val="003477AA"/>
    <w:rsid w:val="00347F00"/>
    <w:rsid w:val="00350288"/>
    <w:rsid w:val="003504DA"/>
    <w:rsid w:val="00351926"/>
    <w:rsid w:val="00351A22"/>
    <w:rsid w:val="00351AB6"/>
    <w:rsid w:val="00352770"/>
    <w:rsid w:val="00354583"/>
    <w:rsid w:val="003551B5"/>
    <w:rsid w:val="00356C47"/>
    <w:rsid w:val="00357662"/>
    <w:rsid w:val="00357AFD"/>
    <w:rsid w:val="003609DD"/>
    <w:rsid w:val="00360AD6"/>
    <w:rsid w:val="00361968"/>
    <w:rsid w:val="00362A38"/>
    <w:rsid w:val="003637F2"/>
    <w:rsid w:val="00363A29"/>
    <w:rsid w:val="00364039"/>
    <w:rsid w:val="00364375"/>
    <w:rsid w:val="00365812"/>
    <w:rsid w:val="00366230"/>
    <w:rsid w:val="003664D6"/>
    <w:rsid w:val="0036685C"/>
    <w:rsid w:val="00366A1D"/>
    <w:rsid w:val="00367273"/>
    <w:rsid w:val="003672CF"/>
    <w:rsid w:val="003679B4"/>
    <w:rsid w:val="00367E12"/>
    <w:rsid w:val="0037044F"/>
    <w:rsid w:val="00370AE5"/>
    <w:rsid w:val="0037164B"/>
    <w:rsid w:val="003718C9"/>
    <w:rsid w:val="0037219C"/>
    <w:rsid w:val="0037289A"/>
    <w:rsid w:val="00373DF0"/>
    <w:rsid w:val="0037522D"/>
    <w:rsid w:val="0037544D"/>
    <w:rsid w:val="00375873"/>
    <w:rsid w:val="00376DAD"/>
    <w:rsid w:val="0038068F"/>
    <w:rsid w:val="00380D4B"/>
    <w:rsid w:val="00381C64"/>
    <w:rsid w:val="00382017"/>
    <w:rsid w:val="003849E6"/>
    <w:rsid w:val="00385001"/>
    <w:rsid w:val="003854FE"/>
    <w:rsid w:val="003857AD"/>
    <w:rsid w:val="00385E24"/>
    <w:rsid w:val="00386343"/>
    <w:rsid w:val="00387E3B"/>
    <w:rsid w:val="00391DF9"/>
    <w:rsid w:val="00391E25"/>
    <w:rsid w:val="00392A72"/>
    <w:rsid w:val="00392C60"/>
    <w:rsid w:val="00392E6A"/>
    <w:rsid w:val="0039379F"/>
    <w:rsid w:val="00394206"/>
    <w:rsid w:val="00394E6C"/>
    <w:rsid w:val="0039527A"/>
    <w:rsid w:val="003954F0"/>
    <w:rsid w:val="00395635"/>
    <w:rsid w:val="00396347"/>
    <w:rsid w:val="003A000F"/>
    <w:rsid w:val="003A0B95"/>
    <w:rsid w:val="003A24EB"/>
    <w:rsid w:val="003A2B40"/>
    <w:rsid w:val="003A3DC4"/>
    <w:rsid w:val="003A3FB3"/>
    <w:rsid w:val="003A54D0"/>
    <w:rsid w:val="003A5609"/>
    <w:rsid w:val="003A6CBF"/>
    <w:rsid w:val="003B0008"/>
    <w:rsid w:val="003B016A"/>
    <w:rsid w:val="003B03E7"/>
    <w:rsid w:val="003B3B50"/>
    <w:rsid w:val="003B4818"/>
    <w:rsid w:val="003B617F"/>
    <w:rsid w:val="003B6301"/>
    <w:rsid w:val="003B70D0"/>
    <w:rsid w:val="003B7CF5"/>
    <w:rsid w:val="003C085C"/>
    <w:rsid w:val="003C0E9A"/>
    <w:rsid w:val="003C1C10"/>
    <w:rsid w:val="003C240C"/>
    <w:rsid w:val="003C27EC"/>
    <w:rsid w:val="003C34E0"/>
    <w:rsid w:val="003C3B18"/>
    <w:rsid w:val="003C444E"/>
    <w:rsid w:val="003C47AB"/>
    <w:rsid w:val="003C4DE1"/>
    <w:rsid w:val="003C526E"/>
    <w:rsid w:val="003C6384"/>
    <w:rsid w:val="003C649A"/>
    <w:rsid w:val="003C77DA"/>
    <w:rsid w:val="003C7922"/>
    <w:rsid w:val="003C7C6C"/>
    <w:rsid w:val="003D08F0"/>
    <w:rsid w:val="003D10E9"/>
    <w:rsid w:val="003D220A"/>
    <w:rsid w:val="003D35B2"/>
    <w:rsid w:val="003D3693"/>
    <w:rsid w:val="003D3953"/>
    <w:rsid w:val="003D4E64"/>
    <w:rsid w:val="003D543B"/>
    <w:rsid w:val="003D56B2"/>
    <w:rsid w:val="003D5C96"/>
    <w:rsid w:val="003D6030"/>
    <w:rsid w:val="003D6119"/>
    <w:rsid w:val="003D7C65"/>
    <w:rsid w:val="003E0418"/>
    <w:rsid w:val="003E0DC3"/>
    <w:rsid w:val="003E0E9A"/>
    <w:rsid w:val="003E1C0B"/>
    <w:rsid w:val="003E26D6"/>
    <w:rsid w:val="003E27AC"/>
    <w:rsid w:val="003E2AC4"/>
    <w:rsid w:val="003E314C"/>
    <w:rsid w:val="003E34EF"/>
    <w:rsid w:val="003E4867"/>
    <w:rsid w:val="003E5139"/>
    <w:rsid w:val="003E51ED"/>
    <w:rsid w:val="003E5B1A"/>
    <w:rsid w:val="003E6526"/>
    <w:rsid w:val="003E69A8"/>
    <w:rsid w:val="003E75AC"/>
    <w:rsid w:val="003E78E1"/>
    <w:rsid w:val="003E7E4D"/>
    <w:rsid w:val="003F01C6"/>
    <w:rsid w:val="003F122E"/>
    <w:rsid w:val="003F1BDC"/>
    <w:rsid w:val="003F2AC8"/>
    <w:rsid w:val="003F3CB2"/>
    <w:rsid w:val="003F4007"/>
    <w:rsid w:val="003F550D"/>
    <w:rsid w:val="003F5A12"/>
    <w:rsid w:val="003F5D22"/>
    <w:rsid w:val="003F7B29"/>
    <w:rsid w:val="003F7F93"/>
    <w:rsid w:val="00400582"/>
    <w:rsid w:val="00401B71"/>
    <w:rsid w:val="00403431"/>
    <w:rsid w:val="00403A87"/>
    <w:rsid w:val="00403C9D"/>
    <w:rsid w:val="00403D73"/>
    <w:rsid w:val="0040460C"/>
    <w:rsid w:val="004051FF"/>
    <w:rsid w:val="0040580C"/>
    <w:rsid w:val="00406939"/>
    <w:rsid w:val="00410277"/>
    <w:rsid w:val="00410CD1"/>
    <w:rsid w:val="00410D9C"/>
    <w:rsid w:val="00411B68"/>
    <w:rsid w:val="00411E12"/>
    <w:rsid w:val="004121C9"/>
    <w:rsid w:val="00412587"/>
    <w:rsid w:val="00412784"/>
    <w:rsid w:val="004130EE"/>
    <w:rsid w:val="00413BD2"/>
    <w:rsid w:val="004147CE"/>
    <w:rsid w:val="00414EBF"/>
    <w:rsid w:val="00415E02"/>
    <w:rsid w:val="00416142"/>
    <w:rsid w:val="004166DE"/>
    <w:rsid w:val="00417A2C"/>
    <w:rsid w:val="004214D6"/>
    <w:rsid w:val="004214DA"/>
    <w:rsid w:val="00421997"/>
    <w:rsid w:val="00421DAB"/>
    <w:rsid w:val="00421ECF"/>
    <w:rsid w:val="004226FE"/>
    <w:rsid w:val="004230E8"/>
    <w:rsid w:val="004244CC"/>
    <w:rsid w:val="004247FF"/>
    <w:rsid w:val="00425831"/>
    <w:rsid w:val="0042635F"/>
    <w:rsid w:val="0042674E"/>
    <w:rsid w:val="00426847"/>
    <w:rsid w:val="00426A19"/>
    <w:rsid w:val="00427A60"/>
    <w:rsid w:val="00430410"/>
    <w:rsid w:val="004305BF"/>
    <w:rsid w:val="00430741"/>
    <w:rsid w:val="004319FB"/>
    <w:rsid w:val="00432A35"/>
    <w:rsid w:val="00433336"/>
    <w:rsid w:val="004359EB"/>
    <w:rsid w:val="00435A49"/>
    <w:rsid w:val="00436691"/>
    <w:rsid w:val="00436F68"/>
    <w:rsid w:val="00437920"/>
    <w:rsid w:val="004379EE"/>
    <w:rsid w:val="00437F83"/>
    <w:rsid w:val="004411B0"/>
    <w:rsid w:val="00441266"/>
    <w:rsid w:val="004414AE"/>
    <w:rsid w:val="00441F3E"/>
    <w:rsid w:val="00442850"/>
    <w:rsid w:val="00442F15"/>
    <w:rsid w:val="00443CA4"/>
    <w:rsid w:val="004443FA"/>
    <w:rsid w:val="00444443"/>
    <w:rsid w:val="00444469"/>
    <w:rsid w:val="0044465B"/>
    <w:rsid w:val="00445839"/>
    <w:rsid w:val="00445EBB"/>
    <w:rsid w:val="00445F62"/>
    <w:rsid w:val="00446334"/>
    <w:rsid w:val="0044667C"/>
    <w:rsid w:val="004469AB"/>
    <w:rsid w:val="00446C2E"/>
    <w:rsid w:val="0044752E"/>
    <w:rsid w:val="004477DE"/>
    <w:rsid w:val="00447890"/>
    <w:rsid w:val="00447E3F"/>
    <w:rsid w:val="00447F08"/>
    <w:rsid w:val="00447F20"/>
    <w:rsid w:val="00450970"/>
    <w:rsid w:val="004511D9"/>
    <w:rsid w:val="0045137C"/>
    <w:rsid w:val="0045261E"/>
    <w:rsid w:val="00453923"/>
    <w:rsid w:val="00453EDF"/>
    <w:rsid w:val="00454897"/>
    <w:rsid w:val="004553E3"/>
    <w:rsid w:val="00455771"/>
    <w:rsid w:val="00455822"/>
    <w:rsid w:val="00455D56"/>
    <w:rsid w:val="004564B4"/>
    <w:rsid w:val="004578C7"/>
    <w:rsid w:val="00457D0A"/>
    <w:rsid w:val="00460E20"/>
    <w:rsid w:val="00461020"/>
    <w:rsid w:val="00461105"/>
    <w:rsid w:val="00461552"/>
    <w:rsid w:val="004633E2"/>
    <w:rsid w:val="004640C7"/>
    <w:rsid w:val="00464506"/>
    <w:rsid w:val="004645E8"/>
    <w:rsid w:val="004654A3"/>
    <w:rsid w:val="0046790D"/>
    <w:rsid w:val="004716EB"/>
    <w:rsid w:val="00471ACD"/>
    <w:rsid w:val="004724D6"/>
    <w:rsid w:val="00472701"/>
    <w:rsid w:val="00475105"/>
    <w:rsid w:val="0047568A"/>
    <w:rsid w:val="00475BB8"/>
    <w:rsid w:val="00476B23"/>
    <w:rsid w:val="00476C5F"/>
    <w:rsid w:val="00476C8D"/>
    <w:rsid w:val="0047727E"/>
    <w:rsid w:val="00477CCE"/>
    <w:rsid w:val="00482C93"/>
    <w:rsid w:val="00482D6D"/>
    <w:rsid w:val="00482FE0"/>
    <w:rsid w:val="0048345B"/>
    <w:rsid w:val="00483803"/>
    <w:rsid w:val="004838C6"/>
    <w:rsid w:val="00483DA4"/>
    <w:rsid w:val="004843AD"/>
    <w:rsid w:val="00484EBB"/>
    <w:rsid w:val="00484F97"/>
    <w:rsid w:val="00485C23"/>
    <w:rsid w:val="0048635D"/>
    <w:rsid w:val="00486858"/>
    <w:rsid w:val="0048693A"/>
    <w:rsid w:val="00486A10"/>
    <w:rsid w:val="004872AB"/>
    <w:rsid w:val="00487C11"/>
    <w:rsid w:val="00491D2E"/>
    <w:rsid w:val="004920C0"/>
    <w:rsid w:val="0049264B"/>
    <w:rsid w:val="004928E7"/>
    <w:rsid w:val="00494228"/>
    <w:rsid w:val="00496019"/>
    <w:rsid w:val="00496409"/>
    <w:rsid w:val="00496895"/>
    <w:rsid w:val="0049743E"/>
    <w:rsid w:val="00497EAF"/>
    <w:rsid w:val="004A15C3"/>
    <w:rsid w:val="004A19D7"/>
    <w:rsid w:val="004A20C2"/>
    <w:rsid w:val="004A2C5A"/>
    <w:rsid w:val="004A2E42"/>
    <w:rsid w:val="004A3080"/>
    <w:rsid w:val="004A32F4"/>
    <w:rsid w:val="004A33B1"/>
    <w:rsid w:val="004A3BE5"/>
    <w:rsid w:val="004A3E56"/>
    <w:rsid w:val="004A428E"/>
    <w:rsid w:val="004A45A9"/>
    <w:rsid w:val="004A46DD"/>
    <w:rsid w:val="004A4E90"/>
    <w:rsid w:val="004A7532"/>
    <w:rsid w:val="004B0C04"/>
    <w:rsid w:val="004B0FCF"/>
    <w:rsid w:val="004B1CBD"/>
    <w:rsid w:val="004B1E17"/>
    <w:rsid w:val="004B318A"/>
    <w:rsid w:val="004B46C1"/>
    <w:rsid w:val="004B5898"/>
    <w:rsid w:val="004B6198"/>
    <w:rsid w:val="004B6E4B"/>
    <w:rsid w:val="004B6EC5"/>
    <w:rsid w:val="004B723F"/>
    <w:rsid w:val="004C0B57"/>
    <w:rsid w:val="004C23FB"/>
    <w:rsid w:val="004C2C87"/>
    <w:rsid w:val="004C2F54"/>
    <w:rsid w:val="004C44B5"/>
    <w:rsid w:val="004C49D9"/>
    <w:rsid w:val="004C6880"/>
    <w:rsid w:val="004C6926"/>
    <w:rsid w:val="004C7749"/>
    <w:rsid w:val="004C7C88"/>
    <w:rsid w:val="004D0E38"/>
    <w:rsid w:val="004D0E9E"/>
    <w:rsid w:val="004D2B6F"/>
    <w:rsid w:val="004D31E6"/>
    <w:rsid w:val="004D3AF2"/>
    <w:rsid w:val="004D3EEC"/>
    <w:rsid w:val="004D47CB"/>
    <w:rsid w:val="004D5733"/>
    <w:rsid w:val="004D73D4"/>
    <w:rsid w:val="004D7D51"/>
    <w:rsid w:val="004E03D0"/>
    <w:rsid w:val="004E050A"/>
    <w:rsid w:val="004E08EE"/>
    <w:rsid w:val="004E0B1B"/>
    <w:rsid w:val="004E1832"/>
    <w:rsid w:val="004E23F3"/>
    <w:rsid w:val="004E2E10"/>
    <w:rsid w:val="004E2FE3"/>
    <w:rsid w:val="004E35AF"/>
    <w:rsid w:val="004E5535"/>
    <w:rsid w:val="004E5641"/>
    <w:rsid w:val="004E58D1"/>
    <w:rsid w:val="004E6463"/>
    <w:rsid w:val="004E6561"/>
    <w:rsid w:val="004E6F69"/>
    <w:rsid w:val="004E70E6"/>
    <w:rsid w:val="004F01C8"/>
    <w:rsid w:val="004F1338"/>
    <w:rsid w:val="004F1466"/>
    <w:rsid w:val="004F150C"/>
    <w:rsid w:val="004F1A70"/>
    <w:rsid w:val="004F1C95"/>
    <w:rsid w:val="004F2C4A"/>
    <w:rsid w:val="004F2D49"/>
    <w:rsid w:val="004F35E3"/>
    <w:rsid w:val="004F3A2E"/>
    <w:rsid w:val="004F45DC"/>
    <w:rsid w:val="004F4A25"/>
    <w:rsid w:val="004F509C"/>
    <w:rsid w:val="004F55E1"/>
    <w:rsid w:val="004F6015"/>
    <w:rsid w:val="004F70DB"/>
    <w:rsid w:val="004F739F"/>
    <w:rsid w:val="004F745C"/>
    <w:rsid w:val="00500968"/>
    <w:rsid w:val="0050101C"/>
    <w:rsid w:val="0050223B"/>
    <w:rsid w:val="00503775"/>
    <w:rsid w:val="00503883"/>
    <w:rsid w:val="00505DD8"/>
    <w:rsid w:val="0050629A"/>
    <w:rsid w:val="00506FAD"/>
    <w:rsid w:val="00507895"/>
    <w:rsid w:val="00507D1D"/>
    <w:rsid w:val="005106C8"/>
    <w:rsid w:val="005113C0"/>
    <w:rsid w:val="00511B51"/>
    <w:rsid w:val="00512529"/>
    <w:rsid w:val="00512682"/>
    <w:rsid w:val="00513186"/>
    <w:rsid w:val="0051338E"/>
    <w:rsid w:val="00513E5E"/>
    <w:rsid w:val="005142AA"/>
    <w:rsid w:val="0051472E"/>
    <w:rsid w:val="00514F6A"/>
    <w:rsid w:val="00517292"/>
    <w:rsid w:val="005178D7"/>
    <w:rsid w:val="005204EF"/>
    <w:rsid w:val="00521108"/>
    <w:rsid w:val="005212E9"/>
    <w:rsid w:val="00521731"/>
    <w:rsid w:val="00521EED"/>
    <w:rsid w:val="00523074"/>
    <w:rsid w:val="00523C8B"/>
    <w:rsid w:val="0052413D"/>
    <w:rsid w:val="005241C3"/>
    <w:rsid w:val="00524755"/>
    <w:rsid w:val="00524A20"/>
    <w:rsid w:val="00525C93"/>
    <w:rsid w:val="00525F63"/>
    <w:rsid w:val="00526C6F"/>
    <w:rsid w:val="00526D2F"/>
    <w:rsid w:val="00526FA7"/>
    <w:rsid w:val="005272BD"/>
    <w:rsid w:val="00530167"/>
    <w:rsid w:val="00530612"/>
    <w:rsid w:val="00530953"/>
    <w:rsid w:val="00531B4B"/>
    <w:rsid w:val="00531BA0"/>
    <w:rsid w:val="005320B8"/>
    <w:rsid w:val="00533A9A"/>
    <w:rsid w:val="005354BA"/>
    <w:rsid w:val="00536180"/>
    <w:rsid w:val="00536A4E"/>
    <w:rsid w:val="005372E1"/>
    <w:rsid w:val="00537A9A"/>
    <w:rsid w:val="00537B7D"/>
    <w:rsid w:val="00540878"/>
    <w:rsid w:val="00540E53"/>
    <w:rsid w:val="00540FE4"/>
    <w:rsid w:val="005413B2"/>
    <w:rsid w:val="0054176D"/>
    <w:rsid w:val="005417A9"/>
    <w:rsid w:val="005419B6"/>
    <w:rsid w:val="005421CD"/>
    <w:rsid w:val="00542821"/>
    <w:rsid w:val="00542BA5"/>
    <w:rsid w:val="0054402F"/>
    <w:rsid w:val="00544110"/>
    <w:rsid w:val="00545D2E"/>
    <w:rsid w:val="0054744B"/>
    <w:rsid w:val="005474B0"/>
    <w:rsid w:val="005507F1"/>
    <w:rsid w:val="00550CA6"/>
    <w:rsid w:val="005517B4"/>
    <w:rsid w:val="005537EC"/>
    <w:rsid w:val="00554230"/>
    <w:rsid w:val="00555DAC"/>
    <w:rsid w:val="0055692F"/>
    <w:rsid w:val="00556FC2"/>
    <w:rsid w:val="005571A1"/>
    <w:rsid w:val="00557398"/>
    <w:rsid w:val="0055772E"/>
    <w:rsid w:val="0055788B"/>
    <w:rsid w:val="00557C27"/>
    <w:rsid w:val="00557E1A"/>
    <w:rsid w:val="00560048"/>
    <w:rsid w:val="00560600"/>
    <w:rsid w:val="005613B2"/>
    <w:rsid w:val="0056243D"/>
    <w:rsid w:val="005626B4"/>
    <w:rsid w:val="00562B1E"/>
    <w:rsid w:val="00562C82"/>
    <w:rsid w:val="00562D31"/>
    <w:rsid w:val="00563E30"/>
    <w:rsid w:val="00563EE1"/>
    <w:rsid w:val="005649A5"/>
    <w:rsid w:val="0056508F"/>
    <w:rsid w:val="00565511"/>
    <w:rsid w:val="00565F05"/>
    <w:rsid w:val="00565F3A"/>
    <w:rsid w:val="0056688D"/>
    <w:rsid w:val="005670E4"/>
    <w:rsid w:val="00567650"/>
    <w:rsid w:val="00567BE9"/>
    <w:rsid w:val="00570424"/>
    <w:rsid w:val="005727A8"/>
    <w:rsid w:val="00573197"/>
    <w:rsid w:val="005731D7"/>
    <w:rsid w:val="005732B8"/>
    <w:rsid w:val="005737D5"/>
    <w:rsid w:val="00574126"/>
    <w:rsid w:val="0057440A"/>
    <w:rsid w:val="00574C36"/>
    <w:rsid w:val="005752E3"/>
    <w:rsid w:val="005765C8"/>
    <w:rsid w:val="00577B7A"/>
    <w:rsid w:val="00580765"/>
    <w:rsid w:val="0058167F"/>
    <w:rsid w:val="00582C2D"/>
    <w:rsid w:val="00583779"/>
    <w:rsid w:val="005838D5"/>
    <w:rsid w:val="005841D6"/>
    <w:rsid w:val="00584AB1"/>
    <w:rsid w:val="005855DD"/>
    <w:rsid w:val="00586ACB"/>
    <w:rsid w:val="00586BE2"/>
    <w:rsid w:val="005871F0"/>
    <w:rsid w:val="00587396"/>
    <w:rsid w:val="00591316"/>
    <w:rsid w:val="00591A46"/>
    <w:rsid w:val="00591C31"/>
    <w:rsid w:val="00591CD6"/>
    <w:rsid w:val="005921B0"/>
    <w:rsid w:val="00592BAA"/>
    <w:rsid w:val="00592F12"/>
    <w:rsid w:val="005931D5"/>
    <w:rsid w:val="00596337"/>
    <w:rsid w:val="00596840"/>
    <w:rsid w:val="005A016A"/>
    <w:rsid w:val="005A07FD"/>
    <w:rsid w:val="005A1245"/>
    <w:rsid w:val="005A1376"/>
    <w:rsid w:val="005A22C8"/>
    <w:rsid w:val="005A2779"/>
    <w:rsid w:val="005A3AF2"/>
    <w:rsid w:val="005A45EB"/>
    <w:rsid w:val="005A4ED8"/>
    <w:rsid w:val="005A5E72"/>
    <w:rsid w:val="005A6FA2"/>
    <w:rsid w:val="005A717A"/>
    <w:rsid w:val="005B122E"/>
    <w:rsid w:val="005B15F1"/>
    <w:rsid w:val="005B243C"/>
    <w:rsid w:val="005B2D21"/>
    <w:rsid w:val="005B3466"/>
    <w:rsid w:val="005B34AE"/>
    <w:rsid w:val="005B3B26"/>
    <w:rsid w:val="005B49A8"/>
    <w:rsid w:val="005B4C2A"/>
    <w:rsid w:val="005B53B1"/>
    <w:rsid w:val="005B5DAA"/>
    <w:rsid w:val="005B7492"/>
    <w:rsid w:val="005C00D0"/>
    <w:rsid w:val="005C06AE"/>
    <w:rsid w:val="005C0B7E"/>
    <w:rsid w:val="005C0FEC"/>
    <w:rsid w:val="005C2C20"/>
    <w:rsid w:val="005C2C51"/>
    <w:rsid w:val="005C41CF"/>
    <w:rsid w:val="005C46AD"/>
    <w:rsid w:val="005C4B60"/>
    <w:rsid w:val="005C7503"/>
    <w:rsid w:val="005C7AAE"/>
    <w:rsid w:val="005C7E35"/>
    <w:rsid w:val="005D00E2"/>
    <w:rsid w:val="005D0C54"/>
    <w:rsid w:val="005D1274"/>
    <w:rsid w:val="005D1A00"/>
    <w:rsid w:val="005D3933"/>
    <w:rsid w:val="005D4C44"/>
    <w:rsid w:val="005D60DD"/>
    <w:rsid w:val="005D66E4"/>
    <w:rsid w:val="005D7A43"/>
    <w:rsid w:val="005E05CE"/>
    <w:rsid w:val="005E0D8D"/>
    <w:rsid w:val="005E277E"/>
    <w:rsid w:val="005E2ABF"/>
    <w:rsid w:val="005E2D6C"/>
    <w:rsid w:val="005E4227"/>
    <w:rsid w:val="005E45E7"/>
    <w:rsid w:val="005E4855"/>
    <w:rsid w:val="005E4BBE"/>
    <w:rsid w:val="005E4E61"/>
    <w:rsid w:val="005E55CA"/>
    <w:rsid w:val="005E56B3"/>
    <w:rsid w:val="005E5C03"/>
    <w:rsid w:val="005E5C10"/>
    <w:rsid w:val="005E5FA0"/>
    <w:rsid w:val="005E6581"/>
    <w:rsid w:val="005F0336"/>
    <w:rsid w:val="005F08F8"/>
    <w:rsid w:val="005F0DDD"/>
    <w:rsid w:val="005F132E"/>
    <w:rsid w:val="005F150B"/>
    <w:rsid w:val="005F17B7"/>
    <w:rsid w:val="005F20FA"/>
    <w:rsid w:val="005F219D"/>
    <w:rsid w:val="005F2200"/>
    <w:rsid w:val="005F23AE"/>
    <w:rsid w:val="005F25EE"/>
    <w:rsid w:val="005F50A1"/>
    <w:rsid w:val="005F5129"/>
    <w:rsid w:val="005F54DB"/>
    <w:rsid w:val="005F6ADD"/>
    <w:rsid w:val="005F753D"/>
    <w:rsid w:val="00601884"/>
    <w:rsid w:val="00601AE0"/>
    <w:rsid w:val="00601C51"/>
    <w:rsid w:val="0060203F"/>
    <w:rsid w:val="0060275A"/>
    <w:rsid w:val="00602CAC"/>
    <w:rsid w:val="006031E6"/>
    <w:rsid w:val="00603A4B"/>
    <w:rsid w:val="0060526D"/>
    <w:rsid w:val="0060655F"/>
    <w:rsid w:val="00606DD0"/>
    <w:rsid w:val="006078E7"/>
    <w:rsid w:val="0061039D"/>
    <w:rsid w:val="0061084A"/>
    <w:rsid w:val="006114DA"/>
    <w:rsid w:val="00611DD7"/>
    <w:rsid w:val="006128F5"/>
    <w:rsid w:val="00612C02"/>
    <w:rsid w:val="006135BB"/>
    <w:rsid w:val="00613813"/>
    <w:rsid w:val="006144BE"/>
    <w:rsid w:val="00614EFF"/>
    <w:rsid w:val="00616FE8"/>
    <w:rsid w:val="00620177"/>
    <w:rsid w:val="006203BF"/>
    <w:rsid w:val="00620E3C"/>
    <w:rsid w:val="00620FA8"/>
    <w:rsid w:val="00621A69"/>
    <w:rsid w:val="00621CA8"/>
    <w:rsid w:val="006226E9"/>
    <w:rsid w:val="00622805"/>
    <w:rsid w:val="0062359D"/>
    <w:rsid w:val="0062384B"/>
    <w:rsid w:val="0062387D"/>
    <w:rsid w:val="00623FCA"/>
    <w:rsid w:val="00624DCA"/>
    <w:rsid w:val="006250A8"/>
    <w:rsid w:val="006265ED"/>
    <w:rsid w:val="00626B44"/>
    <w:rsid w:val="00626C0F"/>
    <w:rsid w:val="006278D4"/>
    <w:rsid w:val="00627BC1"/>
    <w:rsid w:val="006302FB"/>
    <w:rsid w:val="0063038E"/>
    <w:rsid w:val="00630F81"/>
    <w:rsid w:val="0063115F"/>
    <w:rsid w:val="0063186A"/>
    <w:rsid w:val="00633068"/>
    <w:rsid w:val="00633968"/>
    <w:rsid w:val="00634332"/>
    <w:rsid w:val="00634441"/>
    <w:rsid w:val="00634D18"/>
    <w:rsid w:val="00635747"/>
    <w:rsid w:val="00635A3E"/>
    <w:rsid w:val="00635FE7"/>
    <w:rsid w:val="0063635E"/>
    <w:rsid w:val="00636BAB"/>
    <w:rsid w:val="0063742C"/>
    <w:rsid w:val="006375B7"/>
    <w:rsid w:val="00637843"/>
    <w:rsid w:val="0063793D"/>
    <w:rsid w:val="00637E55"/>
    <w:rsid w:val="006406E8"/>
    <w:rsid w:val="0064242F"/>
    <w:rsid w:val="00642A76"/>
    <w:rsid w:val="00642C63"/>
    <w:rsid w:val="00643C4A"/>
    <w:rsid w:val="00643E6E"/>
    <w:rsid w:val="006443F1"/>
    <w:rsid w:val="006457F7"/>
    <w:rsid w:val="006459B5"/>
    <w:rsid w:val="00647237"/>
    <w:rsid w:val="00647C59"/>
    <w:rsid w:val="00647F21"/>
    <w:rsid w:val="006509D5"/>
    <w:rsid w:val="00650F0F"/>
    <w:rsid w:val="00652991"/>
    <w:rsid w:val="00652B54"/>
    <w:rsid w:val="00652C65"/>
    <w:rsid w:val="00653767"/>
    <w:rsid w:val="006537E1"/>
    <w:rsid w:val="00654AB4"/>
    <w:rsid w:val="006566EC"/>
    <w:rsid w:val="00657236"/>
    <w:rsid w:val="006574A3"/>
    <w:rsid w:val="006576B9"/>
    <w:rsid w:val="00660126"/>
    <w:rsid w:val="006608F1"/>
    <w:rsid w:val="00660BBE"/>
    <w:rsid w:val="00660CFF"/>
    <w:rsid w:val="00661C1C"/>
    <w:rsid w:val="00661F9D"/>
    <w:rsid w:val="00661FB1"/>
    <w:rsid w:val="006627CE"/>
    <w:rsid w:val="00662C16"/>
    <w:rsid w:val="00663F79"/>
    <w:rsid w:val="00664142"/>
    <w:rsid w:val="006651E9"/>
    <w:rsid w:val="00665623"/>
    <w:rsid w:val="00665624"/>
    <w:rsid w:val="00665DCF"/>
    <w:rsid w:val="00666094"/>
    <w:rsid w:val="00666A1F"/>
    <w:rsid w:val="00667010"/>
    <w:rsid w:val="0066719E"/>
    <w:rsid w:val="00667CF0"/>
    <w:rsid w:val="0067158B"/>
    <w:rsid w:val="0067166E"/>
    <w:rsid w:val="00671CBA"/>
    <w:rsid w:val="00672184"/>
    <w:rsid w:val="00674371"/>
    <w:rsid w:val="00674587"/>
    <w:rsid w:val="006747E4"/>
    <w:rsid w:val="00674C27"/>
    <w:rsid w:val="00675730"/>
    <w:rsid w:val="006763ED"/>
    <w:rsid w:val="00676488"/>
    <w:rsid w:val="0067689A"/>
    <w:rsid w:val="00676CE0"/>
    <w:rsid w:val="0067743A"/>
    <w:rsid w:val="00680942"/>
    <w:rsid w:val="00680F92"/>
    <w:rsid w:val="0068140A"/>
    <w:rsid w:val="006837B7"/>
    <w:rsid w:val="0068398B"/>
    <w:rsid w:val="006842FA"/>
    <w:rsid w:val="0068581C"/>
    <w:rsid w:val="00685C2A"/>
    <w:rsid w:val="0068696C"/>
    <w:rsid w:val="00687BE3"/>
    <w:rsid w:val="00687E7A"/>
    <w:rsid w:val="00687F56"/>
    <w:rsid w:val="00692069"/>
    <w:rsid w:val="00692374"/>
    <w:rsid w:val="00692551"/>
    <w:rsid w:val="0069255A"/>
    <w:rsid w:val="00694C0A"/>
    <w:rsid w:val="00694C76"/>
    <w:rsid w:val="00694F8E"/>
    <w:rsid w:val="00695024"/>
    <w:rsid w:val="0069569B"/>
    <w:rsid w:val="00695A26"/>
    <w:rsid w:val="00696002"/>
    <w:rsid w:val="00696455"/>
    <w:rsid w:val="00696483"/>
    <w:rsid w:val="00696A91"/>
    <w:rsid w:val="006974F5"/>
    <w:rsid w:val="00697909"/>
    <w:rsid w:val="006A1C38"/>
    <w:rsid w:val="006A1FE0"/>
    <w:rsid w:val="006A20AF"/>
    <w:rsid w:val="006A2AC4"/>
    <w:rsid w:val="006A2F3C"/>
    <w:rsid w:val="006A3136"/>
    <w:rsid w:val="006A36BB"/>
    <w:rsid w:val="006A4883"/>
    <w:rsid w:val="006A53AF"/>
    <w:rsid w:val="006A5A7F"/>
    <w:rsid w:val="006A5B1F"/>
    <w:rsid w:val="006A637A"/>
    <w:rsid w:val="006A64BF"/>
    <w:rsid w:val="006A68BF"/>
    <w:rsid w:val="006A6F46"/>
    <w:rsid w:val="006A736D"/>
    <w:rsid w:val="006A738D"/>
    <w:rsid w:val="006A7A21"/>
    <w:rsid w:val="006A7C71"/>
    <w:rsid w:val="006B0202"/>
    <w:rsid w:val="006B0A8D"/>
    <w:rsid w:val="006B0DC1"/>
    <w:rsid w:val="006B1066"/>
    <w:rsid w:val="006B1C81"/>
    <w:rsid w:val="006B2070"/>
    <w:rsid w:val="006B234A"/>
    <w:rsid w:val="006B245E"/>
    <w:rsid w:val="006B41E5"/>
    <w:rsid w:val="006B4470"/>
    <w:rsid w:val="006B48AB"/>
    <w:rsid w:val="006B4DFC"/>
    <w:rsid w:val="006B5836"/>
    <w:rsid w:val="006B5EF0"/>
    <w:rsid w:val="006B60BF"/>
    <w:rsid w:val="006B6804"/>
    <w:rsid w:val="006B6CF1"/>
    <w:rsid w:val="006C06B9"/>
    <w:rsid w:val="006C0965"/>
    <w:rsid w:val="006C0B3E"/>
    <w:rsid w:val="006C2CFA"/>
    <w:rsid w:val="006C342C"/>
    <w:rsid w:val="006C6B33"/>
    <w:rsid w:val="006C7049"/>
    <w:rsid w:val="006C76D0"/>
    <w:rsid w:val="006C7F2A"/>
    <w:rsid w:val="006D1AAE"/>
    <w:rsid w:val="006D30FA"/>
    <w:rsid w:val="006D38FE"/>
    <w:rsid w:val="006D3ADB"/>
    <w:rsid w:val="006D4241"/>
    <w:rsid w:val="006D4377"/>
    <w:rsid w:val="006D4B02"/>
    <w:rsid w:val="006D51B2"/>
    <w:rsid w:val="006D73A4"/>
    <w:rsid w:val="006D75F6"/>
    <w:rsid w:val="006D7BDD"/>
    <w:rsid w:val="006D7F09"/>
    <w:rsid w:val="006E05A2"/>
    <w:rsid w:val="006E0C53"/>
    <w:rsid w:val="006E0F7D"/>
    <w:rsid w:val="006E11CB"/>
    <w:rsid w:val="006E1E75"/>
    <w:rsid w:val="006E2C37"/>
    <w:rsid w:val="006E3AD5"/>
    <w:rsid w:val="006E4C9F"/>
    <w:rsid w:val="006E4D1D"/>
    <w:rsid w:val="006E515E"/>
    <w:rsid w:val="006E61FA"/>
    <w:rsid w:val="006E66FA"/>
    <w:rsid w:val="006E69DF"/>
    <w:rsid w:val="006E710B"/>
    <w:rsid w:val="006F10F7"/>
    <w:rsid w:val="006F174E"/>
    <w:rsid w:val="006F1C63"/>
    <w:rsid w:val="006F453C"/>
    <w:rsid w:val="006F478C"/>
    <w:rsid w:val="006F5EC6"/>
    <w:rsid w:val="006F6435"/>
    <w:rsid w:val="006F6C2F"/>
    <w:rsid w:val="006F717A"/>
    <w:rsid w:val="006F7262"/>
    <w:rsid w:val="0070032C"/>
    <w:rsid w:val="00700B45"/>
    <w:rsid w:val="00700FAA"/>
    <w:rsid w:val="00703879"/>
    <w:rsid w:val="00703A7E"/>
    <w:rsid w:val="00703D0F"/>
    <w:rsid w:val="00704F11"/>
    <w:rsid w:val="0070515C"/>
    <w:rsid w:val="0070530F"/>
    <w:rsid w:val="0070661A"/>
    <w:rsid w:val="00706CFA"/>
    <w:rsid w:val="00707257"/>
    <w:rsid w:val="00707A0E"/>
    <w:rsid w:val="00707D6E"/>
    <w:rsid w:val="00710E94"/>
    <w:rsid w:val="00711E39"/>
    <w:rsid w:val="00712057"/>
    <w:rsid w:val="00712953"/>
    <w:rsid w:val="00712DC7"/>
    <w:rsid w:val="007130A7"/>
    <w:rsid w:val="00713347"/>
    <w:rsid w:val="0071393E"/>
    <w:rsid w:val="007143A8"/>
    <w:rsid w:val="007150FC"/>
    <w:rsid w:val="00715286"/>
    <w:rsid w:val="007165BD"/>
    <w:rsid w:val="0071686B"/>
    <w:rsid w:val="00717688"/>
    <w:rsid w:val="00717A30"/>
    <w:rsid w:val="00721A84"/>
    <w:rsid w:val="00721CE7"/>
    <w:rsid w:val="0072613F"/>
    <w:rsid w:val="00726C58"/>
    <w:rsid w:val="00727044"/>
    <w:rsid w:val="00727699"/>
    <w:rsid w:val="00727722"/>
    <w:rsid w:val="00731264"/>
    <w:rsid w:val="00732A6B"/>
    <w:rsid w:val="00732CC6"/>
    <w:rsid w:val="00732F56"/>
    <w:rsid w:val="007337E1"/>
    <w:rsid w:val="00734138"/>
    <w:rsid w:val="00734970"/>
    <w:rsid w:val="00734A74"/>
    <w:rsid w:val="00734C0A"/>
    <w:rsid w:val="00736231"/>
    <w:rsid w:val="00736FE0"/>
    <w:rsid w:val="007375C9"/>
    <w:rsid w:val="00740E70"/>
    <w:rsid w:val="007441A3"/>
    <w:rsid w:val="00744579"/>
    <w:rsid w:val="00744EBF"/>
    <w:rsid w:val="0074581B"/>
    <w:rsid w:val="00746AB2"/>
    <w:rsid w:val="00746B6B"/>
    <w:rsid w:val="007476D3"/>
    <w:rsid w:val="0075038E"/>
    <w:rsid w:val="00750583"/>
    <w:rsid w:val="0075138E"/>
    <w:rsid w:val="00751A3A"/>
    <w:rsid w:val="0075256D"/>
    <w:rsid w:val="007525BF"/>
    <w:rsid w:val="00754108"/>
    <w:rsid w:val="00755452"/>
    <w:rsid w:val="00755E9E"/>
    <w:rsid w:val="00760308"/>
    <w:rsid w:val="007606AD"/>
    <w:rsid w:val="00761EF9"/>
    <w:rsid w:val="00762DBF"/>
    <w:rsid w:val="00763A01"/>
    <w:rsid w:val="0076412B"/>
    <w:rsid w:val="00764899"/>
    <w:rsid w:val="00765881"/>
    <w:rsid w:val="00765AFC"/>
    <w:rsid w:val="00771B3C"/>
    <w:rsid w:val="0077241D"/>
    <w:rsid w:val="0077245F"/>
    <w:rsid w:val="007724A0"/>
    <w:rsid w:val="00772B34"/>
    <w:rsid w:val="00772DD0"/>
    <w:rsid w:val="007744A4"/>
    <w:rsid w:val="00774C53"/>
    <w:rsid w:val="00775AEC"/>
    <w:rsid w:val="00776511"/>
    <w:rsid w:val="00776847"/>
    <w:rsid w:val="007775CF"/>
    <w:rsid w:val="007819E8"/>
    <w:rsid w:val="00783180"/>
    <w:rsid w:val="0078431B"/>
    <w:rsid w:val="00784929"/>
    <w:rsid w:val="00785B1F"/>
    <w:rsid w:val="007866F2"/>
    <w:rsid w:val="00786C20"/>
    <w:rsid w:val="00787D03"/>
    <w:rsid w:val="007900EC"/>
    <w:rsid w:val="007901F3"/>
    <w:rsid w:val="0079048C"/>
    <w:rsid w:val="00790A55"/>
    <w:rsid w:val="00791075"/>
    <w:rsid w:val="007910FC"/>
    <w:rsid w:val="007913E9"/>
    <w:rsid w:val="0079176D"/>
    <w:rsid w:val="007931AE"/>
    <w:rsid w:val="00793E08"/>
    <w:rsid w:val="00793EEA"/>
    <w:rsid w:val="007941FA"/>
    <w:rsid w:val="007949FC"/>
    <w:rsid w:val="0079517C"/>
    <w:rsid w:val="00795551"/>
    <w:rsid w:val="00796CCC"/>
    <w:rsid w:val="007A369C"/>
    <w:rsid w:val="007A4826"/>
    <w:rsid w:val="007A5F90"/>
    <w:rsid w:val="007B2C36"/>
    <w:rsid w:val="007B38DD"/>
    <w:rsid w:val="007B3ADC"/>
    <w:rsid w:val="007B45C9"/>
    <w:rsid w:val="007B5BA4"/>
    <w:rsid w:val="007B5C34"/>
    <w:rsid w:val="007B63FD"/>
    <w:rsid w:val="007B6746"/>
    <w:rsid w:val="007C0660"/>
    <w:rsid w:val="007C08DB"/>
    <w:rsid w:val="007C2520"/>
    <w:rsid w:val="007C2CE2"/>
    <w:rsid w:val="007C5180"/>
    <w:rsid w:val="007C533A"/>
    <w:rsid w:val="007C573D"/>
    <w:rsid w:val="007C5CF8"/>
    <w:rsid w:val="007C6243"/>
    <w:rsid w:val="007C665A"/>
    <w:rsid w:val="007C68A9"/>
    <w:rsid w:val="007C7282"/>
    <w:rsid w:val="007D03A3"/>
    <w:rsid w:val="007D07F2"/>
    <w:rsid w:val="007D10C4"/>
    <w:rsid w:val="007D3532"/>
    <w:rsid w:val="007D41B7"/>
    <w:rsid w:val="007D4612"/>
    <w:rsid w:val="007D50B4"/>
    <w:rsid w:val="007D75CB"/>
    <w:rsid w:val="007D7A76"/>
    <w:rsid w:val="007E01EA"/>
    <w:rsid w:val="007E24FE"/>
    <w:rsid w:val="007E3694"/>
    <w:rsid w:val="007E5C72"/>
    <w:rsid w:val="007E5E9E"/>
    <w:rsid w:val="007E63B3"/>
    <w:rsid w:val="007E665E"/>
    <w:rsid w:val="007E6FC2"/>
    <w:rsid w:val="007E7FA3"/>
    <w:rsid w:val="007F0D0D"/>
    <w:rsid w:val="007F1269"/>
    <w:rsid w:val="007F1275"/>
    <w:rsid w:val="007F1A76"/>
    <w:rsid w:val="007F2B40"/>
    <w:rsid w:val="007F3D17"/>
    <w:rsid w:val="007F44B4"/>
    <w:rsid w:val="007F5E2C"/>
    <w:rsid w:val="007F67F6"/>
    <w:rsid w:val="007F76B7"/>
    <w:rsid w:val="007F7FAF"/>
    <w:rsid w:val="00800505"/>
    <w:rsid w:val="00800729"/>
    <w:rsid w:val="008020D9"/>
    <w:rsid w:val="00802510"/>
    <w:rsid w:val="0080264F"/>
    <w:rsid w:val="00802F74"/>
    <w:rsid w:val="008030A4"/>
    <w:rsid w:val="008030D7"/>
    <w:rsid w:val="00803D80"/>
    <w:rsid w:val="008042D1"/>
    <w:rsid w:val="008044CC"/>
    <w:rsid w:val="00805128"/>
    <w:rsid w:val="0080629B"/>
    <w:rsid w:val="00806FB7"/>
    <w:rsid w:val="008070EF"/>
    <w:rsid w:val="00807751"/>
    <w:rsid w:val="008077F6"/>
    <w:rsid w:val="008106F4"/>
    <w:rsid w:val="008118AC"/>
    <w:rsid w:val="00811CB6"/>
    <w:rsid w:val="008135F5"/>
    <w:rsid w:val="00814394"/>
    <w:rsid w:val="0081480C"/>
    <w:rsid w:val="008155A9"/>
    <w:rsid w:val="00816942"/>
    <w:rsid w:val="00816A01"/>
    <w:rsid w:val="00816F40"/>
    <w:rsid w:val="0081746D"/>
    <w:rsid w:val="008206A0"/>
    <w:rsid w:val="008206E1"/>
    <w:rsid w:val="00820801"/>
    <w:rsid w:val="00821F0C"/>
    <w:rsid w:val="008228A1"/>
    <w:rsid w:val="008228DE"/>
    <w:rsid w:val="00823ED1"/>
    <w:rsid w:val="00824F03"/>
    <w:rsid w:val="0082502C"/>
    <w:rsid w:val="008262D0"/>
    <w:rsid w:val="008269C4"/>
    <w:rsid w:val="00826A71"/>
    <w:rsid w:val="00827C47"/>
    <w:rsid w:val="00830C60"/>
    <w:rsid w:val="00832C29"/>
    <w:rsid w:val="00832E66"/>
    <w:rsid w:val="00833160"/>
    <w:rsid w:val="00834621"/>
    <w:rsid w:val="00834A29"/>
    <w:rsid w:val="00835390"/>
    <w:rsid w:val="00835E7E"/>
    <w:rsid w:val="0083752D"/>
    <w:rsid w:val="00837D15"/>
    <w:rsid w:val="0084060E"/>
    <w:rsid w:val="00840F9E"/>
    <w:rsid w:val="008413B5"/>
    <w:rsid w:val="00843040"/>
    <w:rsid w:val="00844774"/>
    <w:rsid w:val="0084536C"/>
    <w:rsid w:val="00845DF6"/>
    <w:rsid w:val="00845E32"/>
    <w:rsid w:val="0084646F"/>
    <w:rsid w:val="008514F0"/>
    <w:rsid w:val="008515F2"/>
    <w:rsid w:val="00851900"/>
    <w:rsid w:val="00851C3A"/>
    <w:rsid w:val="0085229F"/>
    <w:rsid w:val="00852CF7"/>
    <w:rsid w:val="0085325E"/>
    <w:rsid w:val="00853F5F"/>
    <w:rsid w:val="00854783"/>
    <w:rsid w:val="00854891"/>
    <w:rsid w:val="008553F5"/>
    <w:rsid w:val="0085614A"/>
    <w:rsid w:val="0085629A"/>
    <w:rsid w:val="008566EB"/>
    <w:rsid w:val="0085766F"/>
    <w:rsid w:val="00860233"/>
    <w:rsid w:val="00860F41"/>
    <w:rsid w:val="00861DE6"/>
    <w:rsid w:val="00862612"/>
    <w:rsid w:val="00862A76"/>
    <w:rsid w:val="00863907"/>
    <w:rsid w:val="008645BA"/>
    <w:rsid w:val="008654A0"/>
    <w:rsid w:val="00865F40"/>
    <w:rsid w:val="00866749"/>
    <w:rsid w:val="00867AE2"/>
    <w:rsid w:val="00867E20"/>
    <w:rsid w:val="008702A0"/>
    <w:rsid w:val="00870976"/>
    <w:rsid w:val="008715EA"/>
    <w:rsid w:val="00871958"/>
    <w:rsid w:val="00871FA1"/>
    <w:rsid w:val="00872174"/>
    <w:rsid w:val="00872661"/>
    <w:rsid w:val="00872D96"/>
    <w:rsid w:val="00873822"/>
    <w:rsid w:val="00873943"/>
    <w:rsid w:val="00873D6E"/>
    <w:rsid w:val="008740E8"/>
    <w:rsid w:val="00874348"/>
    <w:rsid w:val="00875FD9"/>
    <w:rsid w:val="00876173"/>
    <w:rsid w:val="0087681E"/>
    <w:rsid w:val="00877222"/>
    <w:rsid w:val="00880A9E"/>
    <w:rsid w:val="008814E1"/>
    <w:rsid w:val="00881A66"/>
    <w:rsid w:val="00882545"/>
    <w:rsid w:val="00883868"/>
    <w:rsid w:val="00884B5D"/>
    <w:rsid w:val="00886479"/>
    <w:rsid w:val="00886655"/>
    <w:rsid w:val="00886DA8"/>
    <w:rsid w:val="00886FB3"/>
    <w:rsid w:val="008879E5"/>
    <w:rsid w:val="008907E3"/>
    <w:rsid w:val="00890C4F"/>
    <w:rsid w:val="00891080"/>
    <w:rsid w:val="008913B1"/>
    <w:rsid w:val="008915BD"/>
    <w:rsid w:val="00891690"/>
    <w:rsid w:val="00893883"/>
    <w:rsid w:val="00895056"/>
    <w:rsid w:val="00895621"/>
    <w:rsid w:val="00895A5B"/>
    <w:rsid w:val="00895E88"/>
    <w:rsid w:val="00895F79"/>
    <w:rsid w:val="00896264"/>
    <w:rsid w:val="00896977"/>
    <w:rsid w:val="00897959"/>
    <w:rsid w:val="008A105A"/>
    <w:rsid w:val="008A5159"/>
    <w:rsid w:val="008A53C5"/>
    <w:rsid w:val="008A5712"/>
    <w:rsid w:val="008A59DA"/>
    <w:rsid w:val="008A6759"/>
    <w:rsid w:val="008A67CA"/>
    <w:rsid w:val="008A6CAD"/>
    <w:rsid w:val="008A72B7"/>
    <w:rsid w:val="008A73FE"/>
    <w:rsid w:val="008A78CF"/>
    <w:rsid w:val="008A7AD2"/>
    <w:rsid w:val="008B052A"/>
    <w:rsid w:val="008B2F28"/>
    <w:rsid w:val="008B52E5"/>
    <w:rsid w:val="008B69AB"/>
    <w:rsid w:val="008B6A14"/>
    <w:rsid w:val="008B7166"/>
    <w:rsid w:val="008B7228"/>
    <w:rsid w:val="008B73B6"/>
    <w:rsid w:val="008C00E6"/>
    <w:rsid w:val="008C1295"/>
    <w:rsid w:val="008C1A0C"/>
    <w:rsid w:val="008C1C40"/>
    <w:rsid w:val="008C25B9"/>
    <w:rsid w:val="008C3EA9"/>
    <w:rsid w:val="008C3F70"/>
    <w:rsid w:val="008C47B0"/>
    <w:rsid w:val="008C4E17"/>
    <w:rsid w:val="008C5F92"/>
    <w:rsid w:val="008C7BE6"/>
    <w:rsid w:val="008D101D"/>
    <w:rsid w:val="008D1555"/>
    <w:rsid w:val="008D15F8"/>
    <w:rsid w:val="008D263C"/>
    <w:rsid w:val="008D33BE"/>
    <w:rsid w:val="008D3502"/>
    <w:rsid w:val="008D373E"/>
    <w:rsid w:val="008D3D29"/>
    <w:rsid w:val="008D4F43"/>
    <w:rsid w:val="008D65DB"/>
    <w:rsid w:val="008D662A"/>
    <w:rsid w:val="008D707F"/>
    <w:rsid w:val="008E0779"/>
    <w:rsid w:val="008E077E"/>
    <w:rsid w:val="008E11F2"/>
    <w:rsid w:val="008E2FD9"/>
    <w:rsid w:val="008E3993"/>
    <w:rsid w:val="008E4497"/>
    <w:rsid w:val="008E4992"/>
    <w:rsid w:val="008E53F4"/>
    <w:rsid w:val="008E5954"/>
    <w:rsid w:val="008E5AF0"/>
    <w:rsid w:val="008E6014"/>
    <w:rsid w:val="008E634F"/>
    <w:rsid w:val="008E763C"/>
    <w:rsid w:val="008F071B"/>
    <w:rsid w:val="008F0F76"/>
    <w:rsid w:val="008F1634"/>
    <w:rsid w:val="008F291D"/>
    <w:rsid w:val="008F2CA9"/>
    <w:rsid w:val="008F3783"/>
    <w:rsid w:val="008F502B"/>
    <w:rsid w:val="008F5C08"/>
    <w:rsid w:val="008F6FBF"/>
    <w:rsid w:val="008F75CD"/>
    <w:rsid w:val="008F76FD"/>
    <w:rsid w:val="008F7A0A"/>
    <w:rsid w:val="008F7E45"/>
    <w:rsid w:val="00900C72"/>
    <w:rsid w:val="00901103"/>
    <w:rsid w:val="0090137C"/>
    <w:rsid w:val="00901B0F"/>
    <w:rsid w:val="00903079"/>
    <w:rsid w:val="009038E5"/>
    <w:rsid w:val="009040BE"/>
    <w:rsid w:val="00904289"/>
    <w:rsid w:val="00904D66"/>
    <w:rsid w:val="009051CF"/>
    <w:rsid w:val="00905328"/>
    <w:rsid w:val="00907D75"/>
    <w:rsid w:val="009116E3"/>
    <w:rsid w:val="00911711"/>
    <w:rsid w:val="00912226"/>
    <w:rsid w:val="00912ABB"/>
    <w:rsid w:val="00912D63"/>
    <w:rsid w:val="00913D5F"/>
    <w:rsid w:val="00913E1D"/>
    <w:rsid w:val="009143D5"/>
    <w:rsid w:val="00914936"/>
    <w:rsid w:val="00914A75"/>
    <w:rsid w:val="00915683"/>
    <w:rsid w:val="00917143"/>
    <w:rsid w:val="009176A7"/>
    <w:rsid w:val="00920027"/>
    <w:rsid w:val="00920744"/>
    <w:rsid w:val="00920AF6"/>
    <w:rsid w:val="00921504"/>
    <w:rsid w:val="0092303C"/>
    <w:rsid w:val="00924488"/>
    <w:rsid w:val="009251B7"/>
    <w:rsid w:val="00925B38"/>
    <w:rsid w:val="00926381"/>
    <w:rsid w:val="00926DF4"/>
    <w:rsid w:val="00927BA4"/>
    <w:rsid w:val="00930789"/>
    <w:rsid w:val="009317B3"/>
    <w:rsid w:val="00931886"/>
    <w:rsid w:val="0093321F"/>
    <w:rsid w:val="0093378B"/>
    <w:rsid w:val="00934765"/>
    <w:rsid w:val="009349AD"/>
    <w:rsid w:val="009352F1"/>
    <w:rsid w:val="00936751"/>
    <w:rsid w:val="0093686E"/>
    <w:rsid w:val="0094066C"/>
    <w:rsid w:val="00940CA1"/>
    <w:rsid w:val="00941470"/>
    <w:rsid w:val="00941BAA"/>
    <w:rsid w:val="00942078"/>
    <w:rsid w:val="00942D51"/>
    <w:rsid w:val="00942F11"/>
    <w:rsid w:val="00942F6A"/>
    <w:rsid w:val="0094495F"/>
    <w:rsid w:val="00945A70"/>
    <w:rsid w:val="00945D58"/>
    <w:rsid w:val="00946634"/>
    <w:rsid w:val="009467B1"/>
    <w:rsid w:val="0094687A"/>
    <w:rsid w:val="00947078"/>
    <w:rsid w:val="0094731B"/>
    <w:rsid w:val="0094789E"/>
    <w:rsid w:val="00950ABD"/>
    <w:rsid w:val="0095163C"/>
    <w:rsid w:val="00953C93"/>
    <w:rsid w:val="00955B21"/>
    <w:rsid w:val="00955BCC"/>
    <w:rsid w:val="00956EB6"/>
    <w:rsid w:val="009577E5"/>
    <w:rsid w:val="00957AC4"/>
    <w:rsid w:val="00957F35"/>
    <w:rsid w:val="0096057C"/>
    <w:rsid w:val="00961570"/>
    <w:rsid w:val="00961757"/>
    <w:rsid w:val="00962099"/>
    <w:rsid w:val="009624A7"/>
    <w:rsid w:val="00962657"/>
    <w:rsid w:val="00963730"/>
    <w:rsid w:val="00963991"/>
    <w:rsid w:val="00963F31"/>
    <w:rsid w:val="00964CCC"/>
    <w:rsid w:val="00965B52"/>
    <w:rsid w:val="0096651A"/>
    <w:rsid w:val="00967A9E"/>
    <w:rsid w:val="00967AD1"/>
    <w:rsid w:val="00971F60"/>
    <w:rsid w:val="00972526"/>
    <w:rsid w:val="00972F46"/>
    <w:rsid w:val="00972FD0"/>
    <w:rsid w:val="00974449"/>
    <w:rsid w:val="009745F0"/>
    <w:rsid w:val="009752B3"/>
    <w:rsid w:val="009754CF"/>
    <w:rsid w:val="00975F78"/>
    <w:rsid w:val="00976948"/>
    <w:rsid w:val="009773FB"/>
    <w:rsid w:val="009775E2"/>
    <w:rsid w:val="00977A7D"/>
    <w:rsid w:val="0098067F"/>
    <w:rsid w:val="009812A8"/>
    <w:rsid w:val="00981703"/>
    <w:rsid w:val="009825A5"/>
    <w:rsid w:val="00982949"/>
    <w:rsid w:val="0098345B"/>
    <w:rsid w:val="00983684"/>
    <w:rsid w:val="009840C2"/>
    <w:rsid w:val="009846C7"/>
    <w:rsid w:val="00984817"/>
    <w:rsid w:val="00986A0D"/>
    <w:rsid w:val="0098734C"/>
    <w:rsid w:val="009876BB"/>
    <w:rsid w:val="00987789"/>
    <w:rsid w:val="00987895"/>
    <w:rsid w:val="00987AC8"/>
    <w:rsid w:val="00990149"/>
    <w:rsid w:val="00990A64"/>
    <w:rsid w:val="00992477"/>
    <w:rsid w:val="00992AE4"/>
    <w:rsid w:val="00992BE4"/>
    <w:rsid w:val="00993020"/>
    <w:rsid w:val="009930A7"/>
    <w:rsid w:val="00993698"/>
    <w:rsid w:val="00993733"/>
    <w:rsid w:val="0099433B"/>
    <w:rsid w:val="00994E00"/>
    <w:rsid w:val="0099555A"/>
    <w:rsid w:val="00996CA1"/>
    <w:rsid w:val="009A1014"/>
    <w:rsid w:val="009A14BF"/>
    <w:rsid w:val="009A1A78"/>
    <w:rsid w:val="009A1C40"/>
    <w:rsid w:val="009A1C54"/>
    <w:rsid w:val="009A280C"/>
    <w:rsid w:val="009A2981"/>
    <w:rsid w:val="009A76EA"/>
    <w:rsid w:val="009B056E"/>
    <w:rsid w:val="009B0AAD"/>
    <w:rsid w:val="009B42BE"/>
    <w:rsid w:val="009B4419"/>
    <w:rsid w:val="009B4A8D"/>
    <w:rsid w:val="009B5104"/>
    <w:rsid w:val="009B6462"/>
    <w:rsid w:val="009B65EA"/>
    <w:rsid w:val="009B77BA"/>
    <w:rsid w:val="009B79CA"/>
    <w:rsid w:val="009C0287"/>
    <w:rsid w:val="009C10AD"/>
    <w:rsid w:val="009C10C8"/>
    <w:rsid w:val="009C18A3"/>
    <w:rsid w:val="009C1B95"/>
    <w:rsid w:val="009C26EE"/>
    <w:rsid w:val="009C3AB4"/>
    <w:rsid w:val="009C4D7E"/>
    <w:rsid w:val="009C59DA"/>
    <w:rsid w:val="009C60F7"/>
    <w:rsid w:val="009C63E2"/>
    <w:rsid w:val="009C6952"/>
    <w:rsid w:val="009C75D9"/>
    <w:rsid w:val="009C7A7E"/>
    <w:rsid w:val="009D1904"/>
    <w:rsid w:val="009D22DD"/>
    <w:rsid w:val="009D4FF2"/>
    <w:rsid w:val="009D5790"/>
    <w:rsid w:val="009D5B1E"/>
    <w:rsid w:val="009D60DA"/>
    <w:rsid w:val="009D6DE9"/>
    <w:rsid w:val="009D6E62"/>
    <w:rsid w:val="009D733F"/>
    <w:rsid w:val="009D773A"/>
    <w:rsid w:val="009D7AB3"/>
    <w:rsid w:val="009D7DC7"/>
    <w:rsid w:val="009E00D8"/>
    <w:rsid w:val="009E07B0"/>
    <w:rsid w:val="009E0882"/>
    <w:rsid w:val="009E178F"/>
    <w:rsid w:val="009E1A57"/>
    <w:rsid w:val="009E2963"/>
    <w:rsid w:val="009E2986"/>
    <w:rsid w:val="009E320D"/>
    <w:rsid w:val="009E3560"/>
    <w:rsid w:val="009E3E2F"/>
    <w:rsid w:val="009E431A"/>
    <w:rsid w:val="009E446F"/>
    <w:rsid w:val="009E476B"/>
    <w:rsid w:val="009E5999"/>
    <w:rsid w:val="009E6A14"/>
    <w:rsid w:val="009E6D30"/>
    <w:rsid w:val="009E6F1B"/>
    <w:rsid w:val="009E7498"/>
    <w:rsid w:val="009E7A0D"/>
    <w:rsid w:val="009E7E05"/>
    <w:rsid w:val="009F091E"/>
    <w:rsid w:val="009F2890"/>
    <w:rsid w:val="009F3028"/>
    <w:rsid w:val="009F3693"/>
    <w:rsid w:val="009F388B"/>
    <w:rsid w:val="009F3F50"/>
    <w:rsid w:val="009F4956"/>
    <w:rsid w:val="009F7628"/>
    <w:rsid w:val="009F762C"/>
    <w:rsid w:val="00A005AA"/>
    <w:rsid w:val="00A00C00"/>
    <w:rsid w:val="00A00F6D"/>
    <w:rsid w:val="00A01DEE"/>
    <w:rsid w:val="00A0336B"/>
    <w:rsid w:val="00A03CA2"/>
    <w:rsid w:val="00A03E75"/>
    <w:rsid w:val="00A05D7B"/>
    <w:rsid w:val="00A07BA2"/>
    <w:rsid w:val="00A1084A"/>
    <w:rsid w:val="00A10F62"/>
    <w:rsid w:val="00A12A2E"/>
    <w:rsid w:val="00A12F0C"/>
    <w:rsid w:val="00A135CA"/>
    <w:rsid w:val="00A13AF2"/>
    <w:rsid w:val="00A15B81"/>
    <w:rsid w:val="00A170CE"/>
    <w:rsid w:val="00A17159"/>
    <w:rsid w:val="00A2267A"/>
    <w:rsid w:val="00A22BFF"/>
    <w:rsid w:val="00A22E4B"/>
    <w:rsid w:val="00A22E8A"/>
    <w:rsid w:val="00A24436"/>
    <w:rsid w:val="00A2466F"/>
    <w:rsid w:val="00A24F8D"/>
    <w:rsid w:val="00A263EB"/>
    <w:rsid w:val="00A26511"/>
    <w:rsid w:val="00A27338"/>
    <w:rsid w:val="00A27919"/>
    <w:rsid w:val="00A30004"/>
    <w:rsid w:val="00A3182C"/>
    <w:rsid w:val="00A31E9D"/>
    <w:rsid w:val="00A32A0F"/>
    <w:rsid w:val="00A32C18"/>
    <w:rsid w:val="00A353FA"/>
    <w:rsid w:val="00A379E2"/>
    <w:rsid w:val="00A40A10"/>
    <w:rsid w:val="00A4189F"/>
    <w:rsid w:val="00A41CA4"/>
    <w:rsid w:val="00A430D9"/>
    <w:rsid w:val="00A439A0"/>
    <w:rsid w:val="00A44240"/>
    <w:rsid w:val="00A455C7"/>
    <w:rsid w:val="00A45F83"/>
    <w:rsid w:val="00A47F04"/>
    <w:rsid w:val="00A47FF2"/>
    <w:rsid w:val="00A5049C"/>
    <w:rsid w:val="00A51598"/>
    <w:rsid w:val="00A52256"/>
    <w:rsid w:val="00A522C6"/>
    <w:rsid w:val="00A525FE"/>
    <w:rsid w:val="00A52F6F"/>
    <w:rsid w:val="00A53392"/>
    <w:rsid w:val="00A553FA"/>
    <w:rsid w:val="00A56008"/>
    <w:rsid w:val="00A56AAF"/>
    <w:rsid w:val="00A56EBE"/>
    <w:rsid w:val="00A579D5"/>
    <w:rsid w:val="00A60848"/>
    <w:rsid w:val="00A60B50"/>
    <w:rsid w:val="00A61218"/>
    <w:rsid w:val="00A61503"/>
    <w:rsid w:val="00A61799"/>
    <w:rsid w:val="00A61F3A"/>
    <w:rsid w:val="00A63EC5"/>
    <w:rsid w:val="00A64AE4"/>
    <w:rsid w:val="00A659DE"/>
    <w:rsid w:val="00A66086"/>
    <w:rsid w:val="00A67FF8"/>
    <w:rsid w:val="00A70DF9"/>
    <w:rsid w:val="00A714D9"/>
    <w:rsid w:val="00A7164A"/>
    <w:rsid w:val="00A718B4"/>
    <w:rsid w:val="00A71D13"/>
    <w:rsid w:val="00A728C4"/>
    <w:rsid w:val="00A73B29"/>
    <w:rsid w:val="00A73D8D"/>
    <w:rsid w:val="00A7486B"/>
    <w:rsid w:val="00A74C9F"/>
    <w:rsid w:val="00A74E91"/>
    <w:rsid w:val="00A75514"/>
    <w:rsid w:val="00A766C6"/>
    <w:rsid w:val="00A769BD"/>
    <w:rsid w:val="00A777AC"/>
    <w:rsid w:val="00A801D9"/>
    <w:rsid w:val="00A8044B"/>
    <w:rsid w:val="00A81803"/>
    <w:rsid w:val="00A8231F"/>
    <w:rsid w:val="00A831C3"/>
    <w:rsid w:val="00A845F2"/>
    <w:rsid w:val="00A8461A"/>
    <w:rsid w:val="00A851C9"/>
    <w:rsid w:val="00A8549E"/>
    <w:rsid w:val="00A85572"/>
    <w:rsid w:val="00A85678"/>
    <w:rsid w:val="00A85BF9"/>
    <w:rsid w:val="00A85C0B"/>
    <w:rsid w:val="00A86C9F"/>
    <w:rsid w:val="00A8742C"/>
    <w:rsid w:val="00A90F51"/>
    <w:rsid w:val="00A9209E"/>
    <w:rsid w:val="00A92B32"/>
    <w:rsid w:val="00A92D9D"/>
    <w:rsid w:val="00A93943"/>
    <w:rsid w:val="00A94261"/>
    <w:rsid w:val="00A94262"/>
    <w:rsid w:val="00A95D1E"/>
    <w:rsid w:val="00A96020"/>
    <w:rsid w:val="00A9625F"/>
    <w:rsid w:val="00A97FBA"/>
    <w:rsid w:val="00AA031D"/>
    <w:rsid w:val="00AA044A"/>
    <w:rsid w:val="00AA1259"/>
    <w:rsid w:val="00AA1450"/>
    <w:rsid w:val="00AA1C6B"/>
    <w:rsid w:val="00AA350E"/>
    <w:rsid w:val="00AA3926"/>
    <w:rsid w:val="00AA47B9"/>
    <w:rsid w:val="00AA4F57"/>
    <w:rsid w:val="00AA5016"/>
    <w:rsid w:val="00AA6B7A"/>
    <w:rsid w:val="00AA6BEF"/>
    <w:rsid w:val="00AA7EBE"/>
    <w:rsid w:val="00AB01DD"/>
    <w:rsid w:val="00AB0567"/>
    <w:rsid w:val="00AB0AE2"/>
    <w:rsid w:val="00AB128A"/>
    <w:rsid w:val="00AB1B14"/>
    <w:rsid w:val="00AB1BD5"/>
    <w:rsid w:val="00AB1C6B"/>
    <w:rsid w:val="00AB1EEE"/>
    <w:rsid w:val="00AB2C93"/>
    <w:rsid w:val="00AB41F3"/>
    <w:rsid w:val="00AB51B2"/>
    <w:rsid w:val="00AB5A02"/>
    <w:rsid w:val="00AB5A52"/>
    <w:rsid w:val="00AB6449"/>
    <w:rsid w:val="00AC02F1"/>
    <w:rsid w:val="00AC0CBA"/>
    <w:rsid w:val="00AC0F19"/>
    <w:rsid w:val="00AC121D"/>
    <w:rsid w:val="00AC37AF"/>
    <w:rsid w:val="00AC408A"/>
    <w:rsid w:val="00AC5909"/>
    <w:rsid w:val="00AC701B"/>
    <w:rsid w:val="00AC7323"/>
    <w:rsid w:val="00AC765C"/>
    <w:rsid w:val="00AD036F"/>
    <w:rsid w:val="00AD06ED"/>
    <w:rsid w:val="00AD19E5"/>
    <w:rsid w:val="00AD297D"/>
    <w:rsid w:val="00AD31F2"/>
    <w:rsid w:val="00AD3F0E"/>
    <w:rsid w:val="00AD468B"/>
    <w:rsid w:val="00AD58D7"/>
    <w:rsid w:val="00AD5E87"/>
    <w:rsid w:val="00AD7125"/>
    <w:rsid w:val="00AD77AE"/>
    <w:rsid w:val="00AE01C2"/>
    <w:rsid w:val="00AE071F"/>
    <w:rsid w:val="00AE21C8"/>
    <w:rsid w:val="00AE22A4"/>
    <w:rsid w:val="00AE2613"/>
    <w:rsid w:val="00AE2A05"/>
    <w:rsid w:val="00AE365D"/>
    <w:rsid w:val="00AE3851"/>
    <w:rsid w:val="00AE46A0"/>
    <w:rsid w:val="00AE48AF"/>
    <w:rsid w:val="00AE4C73"/>
    <w:rsid w:val="00AE4CB8"/>
    <w:rsid w:val="00AE50FC"/>
    <w:rsid w:val="00AE5510"/>
    <w:rsid w:val="00AE6331"/>
    <w:rsid w:val="00AE6705"/>
    <w:rsid w:val="00AE7E51"/>
    <w:rsid w:val="00AF0653"/>
    <w:rsid w:val="00AF0C23"/>
    <w:rsid w:val="00AF0FC8"/>
    <w:rsid w:val="00AF1052"/>
    <w:rsid w:val="00AF212B"/>
    <w:rsid w:val="00AF2583"/>
    <w:rsid w:val="00AF41EE"/>
    <w:rsid w:val="00AF503C"/>
    <w:rsid w:val="00AF5813"/>
    <w:rsid w:val="00AF6510"/>
    <w:rsid w:val="00AF6F3D"/>
    <w:rsid w:val="00B00377"/>
    <w:rsid w:val="00B0055D"/>
    <w:rsid w:val="00B01382"/>
    <w:rsid w:val="00B01711"/>
    <w:rsid w:val="00B02287"/>
    <w:rsid w:val="00B02444"/>
    <w:rsid w:val="00B02584"/>
    <w:rsid w:val="00B041B3"/>
    <w:rsid w:val="00B04868"/>
    <w:rsid w:val="00B05B91"/>
    <w:rsid w:val="00B05C24"/>
    <w:rsid w:val="00B05F41"/>
    <w:rsid w:val="00B071E1"/>
    <w:rsid w:val="00B077F3"/>
    <w:rsid w:val="00B07859"/>
    <w:rsid w:val="00B10927"/>
    <w:rsid w:val="00B117FE"/>
    <w:rsid w:val="00B1317D"/>
    <w:rsid w:val="00B14CEB"/>
    <w:rsid w:val="00B16B63"/>
    <w:rsid w:val="00B16CCA"/>
    <w:rsid w:val="00B1721C"/>
    <w:rsid w:val="00B20208"/>
    <w:rsid w:val="00B202AE"/>
    <w:rsid w:val="00B202D6"/>
    <w:rsid w:val="00B20A3E"/>
    <w:rsid w:val="00B22B38"/>
    <w:rsid w:val="00B239B1"/>
    <w:rsid w:val="00B2498C"/>
    <w:rsid w:val="00B25812"/>
    <w:rsid w:val="00B258FD"/>
    <w:rsid w:val="00B25DE3"/>
    <w:rsid w:val="00B26ABB"/>
    <w:rsid w:val="00B27364"/>
    <w:rsid w:val="00B27A82"/>
    <w:rsid w:val="00B31FB5"/>
    <w:rsid w:val="00B3290C"/>
    <w:rsid w:val="00B32C50"/>
    <w:rsid w:val="00B32C61"/>
    <w:rsid w:val="00B3333C"/>
    <w:rsid w:val="00B345F7"/>
    <w:rsid w:val="00B34A56"/>
    <w:rsid w:val="00B34F1A"/>
    <w:rsid w:val="00B35A9E"/>
    <w:rsid w:val="00B3655B"/>
    <w:rsid w:val="00B40961"/>
    <w:rsid w:val="00B40C9F"/>
    <w:rsid w:val="00B4285C"/>
    <w:rsid w:val="00B42E1E"/>
    <w:rsid w:val="00B43167"/>
    <w:rsid w:val="00B4393A"/>
    <w:rsid w:val="00B43EE8"/>
    <w:rsid w:val="00B443A4"/>
    <w:rsid w:val="00B44E67"/>
    <w:rsid w:val="00B45514"/>
    <w:rsid w:val="00B45BFE"/>
    <w:rsid w:val="00B472F6"/>
    <w:rsid w:val="00B47817"/>
    <w:rsid w:val="00B4797B"/>
    <w:rsid w:val="00B47AD7"/>
    <w:rsid w:val="00B47D32"/>
    <w:rsid w:val="00B51C10"/>
    <w:rsid w:val="00B523BA"/>
    <w:rsid w:val="00B52768"/>
    <w:rsid w:val="00B5289E"/>
    <w:rsid w:val="00B53330"/>
    <w:rsid w:val="00B53C1C"/>
    <w:rsid w:val="00B541DE"/>
    <w:rsid w:val="00B547AB"/>
    <w:rsid w:val="00B54A59"/>
    <w:rsid w:val="00B54FE7"/>
    <w:rsid w:val="00B56414"/>
    <w:rsid w:val="00B57032"/>
    <w:rsid w:val="00B5721F"/>
    <w:rsid w:val="00B5783F"/>
    <w:rsid w:val="00B6000B"/>
    <w:rsid w:val="00B603DE"/>
    <w:rsid w:val="00B60F48"/>
    <w:rsid w:val="00B613AA"/>
    <w:rsid w:val="00B62419"/>
    <w:rsid w:val="00B63CE7"/>
    <w:rsid w:val="00B63DCA"/>
    <w:rsid w:val="00B640A6"/>
    <w:rsid w:val="00B64239"/>
    <w:rsid w:val="00B642AB"/>
    <w:rsid w:val="00B64AB1"/>
    <w:rsid w:val="00B64D00"/>
    <w:rsid w:val="00B650BC"/>
    <w:rsid w:val="00B650D9"/>
    <w:rsid w:val="00B6527C"/>
    <w:rsid w:val="00B65E87"/>
    <w:rsid w:val="00B66A09"/>
    <w:rsid w:val="00B67BE9"/>
    <w:rsid w:val="00B72F5F"/>
    <w:rsid w:val="00B735E9"/>
    <w:rsid w:val="00B738D3"/>
    <w:rsid w:val="00B744DE"/>
    <w:rsid w:val="00B74688"/>
    <w:rsid w:val="00B755CB"/>
    <w:rsid w:val="00B77F17"/>
    <w:rsid w:val="00B80016"/>
    <w:rsid w:val="00B8038F"/>
    <w:rsid w:val="00B80508"/>
    <w:rsid w:val="00B84F8A"/>
    <w:rsid w:val="00B85BA5"/>
    <w:rsid w:val="00B86421"/>
    <w:rsid w:val="00B86669"/>
    <w:rsid w:val="00B872A8"/>
    <w:rsid w:val="00B876A8"/>
    <w:rsid w:val="00B87FCD"/>
    <w:rsid w:val="00B905DE"/>
    <w:rsid w:val="00B9166D"/>
    <w:rsid w:val="00B9221B"/>
    <w:rsid w:val="00B93387"/>
    <w:rsid w:val="00B9490F"/>
    <w:rsid w:val="00B95158"/>
    <w:rsid w:val="00B95384"/>
    <w:rsid w:val="00B95700"/>
    <w:rsid w:val="00B957A6"/>
    <w:rsid w:val="00B95B4C"/>
    <w:rsid w:val="00B95DCF"/>
    <w:rsid w:val="00B95FA3"/>
    <w:rsid w:val="00B96F8E"/>
    <w:rsid w:val="00B97248"/>
    <w:rsid w:val="00B97668"/>
    <w:rsid w:val="00BA0CF6"/>
    <w:rsid w:val="00BA19E2"/>
    <w:rsid w:val="00BA24A5"/>
    <w:rsid w:val="00BA29A3"/>
    <w:rsid w:val="00BA2F08"/>
    <w:rsid w:val="00BA3438"/>
    <w:rsid w:val="00BA3B04"/>
    <w:rsid w:val="00BA42B0"/>
    <w:rsid w:val="00BA5580"/>
    <w:rsid w:val="00BA5787"/>
    <w:rsid w:val="00BA5ACC"/>
    <w:rsid w:val="00BA5EEB"/>
    <w:rsid w:val="00BA6EED"/>
    <w:rsid w:val="00BA7BF1"/>
    <w:rsid w:val="00BB0348"/>
    <w:rsid w:val="00BB17C2"/>
    <w:rsid w:val="00BB21A8"/>
    <w:rsid w:val="00BB2FC5"/>
    <w:rsid w:val="00BB38E3"/>
    <w:rsid w:val="00BB3991"/>
    <w:rsid w:val="00BB3F45"/>
    <w:rsid w:val="00BB5BDC"/>
    <w:rsid w:val="00BB5BE5"/>
    <w:rsid w:val="00BB644F"/>
    <w:rsid w:val="00BB69C9"/>
    <w:rsid w:val="00BB6D95"/>
    <w:rsid w:val="00BB78DB"/>
    <w:rsid w:val="00BC0DBB"/>
    <w:rsid w:val="00BC0E02"/>
    <w:rsid w:val="00BC1A75"/>
    <w:rsid w:val="00BC1EEC"/>
    <w:rsid w:val="00BC257F"/>
    <w:rsid w:val="00BC521B"/>
    <w:rsid w:val="00BC5A88"/>
    <w:rsid w:val="00BC5ECE"/>
    <w:rsid w:val="00BC71CC"/>
    <w:rsid w:val="00BC7B9C"/>
    <w:rsid w:val="00BC7E9E"/>
    <w:rsid w:val="00BD155C"/>
    <w:rsid w:val="00BD3743"/>
    <w:rsid w:val="00BD3B79"/>
    <w:rsid w:val="00BD4720"/>
    <w:rsid w:val="00BD4BC4"/>
    <w:rsid w:val="00BD567B"/>
    <w:rsid w:val="00BD57A7"/>
    <w:rsid w:val="00BD641D"/>
    <w:rsid w:val="00BD6709"/>
    <w:rsid w:val="00BD6A5A"/>
    <w:rsid w:val="00BD7256"/>
    <w:rsid w:val="00BD74BD"/>
    <w:rsid w:val="00BE0C96"/>
    <w:rsid w:val="00BE0DD2"/>
    <w:rsid w:val="00BE2355"/>
    <w:rsid w:val="00BE258B"/>
    <w:rsid w:val="00BE281F"/>
    <w:rsid w:val="00BE2E4D"/>
    <w:rsid w:val="00BE3152"/>
    <w:rsid w:val="00BE3C21"/>
    <w:rsid w:val="00BE4E9A"/>
    <w:rsid w:val="00BE4F99"/>
    <w:rsid w:val="00BE57B8"/>
    <w:rsid w:val="00BE7561"/>
    <w:rsid w:val="00BE7637"/>
    <w:rsid w:val="00BF03A7"/>
    <w:rsid w:val="00BF1526"/>
    <w:rsid w:val="00BF210B"/>
    <w:rsid w:val="00BF2B29"/>
    <w:rsid w:val="00BF2BFE"/>
    <w:rsid w:val="00BF2F87"/>
    <w:rsid w:val="00BF3FC5"/>
    <w:rsid w:val="00BF4014"/>
    <w:rsid w:val="00BF4101"/>
    <w:rsid w:val="00BF4879"/>
    <w:rsid w:val="00BF50FE"/>
    <w:rsid w:val="00BF5955"/>
    <w:rsid w:val="00BF5CA9"/>
    <w:rsid w:val="00BF63BE"/>
    <w:rsid w:val="00BF7893"/>
    <w:rsid w:val="00C026F1"/>
    <w:rsid w:val="00C0336D"/>
    <w:rsid w:val="00C03749"/>
    <w:rsid w:val="00C049A6"/>
    <w:rsid w:val="00C04AC2"/>
    <w:rsid w:val="00C04FA3"/>
    <w:rsid w:val="00C0543E"/>
    <w:rsid w:val="00C05759"/>
    <w:rsid w:val="00C0576F"/>
    <w:rsid w:val="00C05920"/>
    <w:rsid w:val="00C05D9A"/>
    <w:rsid w:val="00C06299"/>
    <w:rsid w:val="00C063EA"/>
    <w:rsid w:val="00C065E0"/>
    <w:rsid w:val="00C0748D"/>
    <w:rsid w:val="00C104E8"/>
    <w:rsid w:val="00C116F7"/>
    <w:rsid w:val="00C126D2"/>
    <w:rsid w:val="00C12D47"/>
    <w:rsid w:val="00C12F2D"/>
    <w:rsid w:val="00C1418D"/>
    <w:rsid w:val="00C14B3D"/>
    <w:rsid w:val="00C15BB0"/>
    <w:rsid w:val="00C15D52"/>
    <w:rsid w:val="00C16364"/>
    <w:rsid w:val="00C16376"/>
    <w:rsid w:val="00C16821"/>
    <w:rsid w:val="00C16C65"/>
    <w:rsid w:val="00C16E0C"/>
    <w:rsid w:val="00C209C7"/>
    <w:rsid w:val="00C2225C"/>
    <w:rsid w:val="00C22720"/>
    <w:rsid w:val="00C24343"/>
    <w:rsid w:val="00C24DE5"/>
    <w:rsid w:val="00C251A4"/>
    <w:rsid w:val="00C25537"/>
    <w:rsid w:val="00C2673F"/>
    <w:rsid w:val="00C26B33"/>
    <w:rsid w:val="00C27B38"/>
    <w:rsid w:val="00C306F1"/>
    <w:rsid w:val="00C30B1F"/>
    <w:rsid w:val="00C31577"/>
    <w:rsid w:val="00C3177E"/>
    <w:rsid w:val="00C317E1"/>
    <w:rsid w:val="00C33A95"/>
    <w:rsid w:val="00C3446B"/>
    <w:rsid w:val="00C3578F"/>
    <w:rsid w:val="00C35AFF"/>
    <w:rsid w:val="00C35FA5"/>
    <w:rsid w:val="00C36367"/>
    <w:rsid w:val="00C3646A"/>
    <w:rsid w:val="00C36BE7"/>
    <w:rsid w:val="00C36C7F"/>
    <w:rsid w:val="00C37BB1"/>
    <w:rsid w:val="00C37BB3"/>
    <w:rsid w:val="00C40AE5"/>
    <w:rsid w:val="00C40C11"/>
    <w:rsid w:val="00C40DA6"/>
    <w:rsid w:val="00C4140A"/>
    <w:rsid w:val="00C41A36"/>
    <w:rsid w:val="00C42AB9"/>
    <w:rsid w:val="00C441AC"/>
    <w:rsid w:val="00C454DF"/>
    <w:rsid w:val="00C45D29"/>
    <w:rsid w:val="00C4604E"/>
    <w:rsid w:val="00C4716E"/>
    <w:rsid w:val="00C474E4"/>
    <w:rsid w:val="00C4776C"/>
    <w:rsid w:val="00C50198"/>
    <w:rsid w:val="00C510C8"/>
    <w:rsid w:val="00C5155C"/>
    <w:rsid w:val="00C52B67"/>
    <w:rsid w:val="00C52EC8"/>
    <w:rsid w:val="00C53757"/>
    <w:rsid w:val="00C53845"/>
    <w:rsid w:val="00C55033"/>
    <w:rsid w:val="00C5534C"/>
    <w:rsid w:val="00C560BA"/>
    <w:rsid w:val="00C56485"/>
    <w:rsid w:val="00C57821"/>
    <w:rsid w:val="00C600AA"/>
    <w:rsid w:val="00C61071"/>
    <w:rsid w:val="00C633ED"/>
    <w:rsid w:val="00C6368B"/>
    <w:rsid w:val="00C63D29"/>
    <w:rsid w:val="00C63F7C"/>
    <w:rsid w:val="00C650C2"/>
    <w:rsid w:val="00C654BA"/>
    <w:rsid w:val="00C65BAF"/>
    <w:rsid w:val="00C66A7C"/>
    <w:rsid w:val="00C67181"/>
    <w:rsid w:val="00C6736B"/>
    <w:rsid w:val="00C675BE"/>
    <w:rsid w:val="00C67EB9"/>
    <w:rsid w:val="00C71B4F"/>
    <w:rsid w:val="00C71B65"/>
    <w:rsid w:val="00C71BC9"/>
    <w:rsid w:val="00C71E13"/>
    <w:rsid w:val="00C720FF"/>
    <w:rsid w:val="00C72925"/>
    <w:rsid w:val="00C72AB7"/>
    <w:rsid w:val="00C73482"/>
    <w:rsid w:val="00C754F2"/>
    <w:rsid w:val="00C75B57"/>
    <w:rsid w:val="00C775EB"/>
    <w:rsid w:val="00C817AE"/>
    <w:rsid w:val="00C817DA"/>
    <w:rsid w:val="00C81A8A"/>
    <w:rsid w:val="00C81E93"/>
    <w:rsid w:val="00C82130"/>
    <w:rsid w:val="00C82DF9"/>
    <w:rsid w:val="00C82E22"/>
    <w:rsid w:val="00C83B0D"/>
    <w:rsid w:val="00C84534"/>
    <w:rsid w:val="00C84804"/>
    <w:rsid w:val="00C84DB8"/>
    <w:rsid w:val="00C85184"/>
    <w:rsid w:val="00C85B13"/>
    <w:rsid w:val="00C86217"/>
    <w:rsid w:val="00C8652E"/>
    <w:rsid w:val="00C87456"/>
    <w:rsid w:val="00C875F6"/>
    <w:rsid w:val="00C878F9"/>
    <w:rsid w:val="00C90864"/>
    <w:rsid w:val="00C90F68"/>
    <w:rsid w:val="00C9140E"/>
    <w:rsid w:val="00C9189B"/>
    <w:rsid w:val="00C91CA0"/>
    <w:rsid w:val="00C9202B"/>
    <w:rsid w:val="00C939EA"/>
    <w:rsid w:val="00C93CD8"/>
    <w:rsid w:val="00C93DA8"/>
    <w:rsid w:val="00C9654E"/>
    <w:rsid w:val="00C96A1E"/>
    <w:rsid w:val="00C96C72"/>
    <w:rsid w:val="00C97420"/>
    <w:rsid w:val="00C97B71"/>
    <w:rsid w:val="00CA0B83"/>
    <w:rsid w:val="00CA13CF"/>
    <w:rsid w:val="00CA151D"/>
    <w:rsid w:val="00CA1700"/>
    <w:rsid w:val="00CA23BD"/>
    <w:rsid w:val="00CA2E72"/>
    <w:rsid w:val="00CA313D"/>
    <w:rsid w:val="00CA32D3"/>
    <w:rsid w:val="00CA3A41"/>
    <w:rsid w:val="00CA3BFF"/>
    <w:rsid w:val="00CA4327"/>
    <w:rsid w:val="00CA594E"/>
    <w:rsid w:val="00CA59E5"/>
    <w:rsid w:val="00CA7137"/>
    <w:rsid w:val="00CB0F54"/>
    <w:rsid w:val="00CB10C9"/>
    <w:rsid w:val="00CB1173"/>
    <w:rsid w:val="00CB17B1"/>
    <w:rsid w:val="00CB1D18"/>
    <w:rsid w:val="00CB41CB"/>
    <w:rsid w:val="00CB46B5"/>
    <w:rsid w:val="00CB47B3"/>
    <w:rsid w:val="00CB592D"/>
    <w:rsid w:val="00CB5A86"/>
    <w:rsid w:val="00CB65A1"/>
    <w:rsid w:val="00CB6848"/>
    <w:rsid w:val="00CB7490"/>
    <w:rsid w:val="00CB7E70"/>
    <w:rsid w:val="00CC176F"/>
    <w:rsid w:val="00CC19E8"/>
    <w:rsid w:val="00CC1FF3"/>
    <w:rsid w:val="00CC251F"/>
    <w:rsid w:val="00CC3110"/>
    <w:rsid w:val="00CC372A"/>
    <w:rsid w:val="00CC38DC"/>
    <w:rsid w:val="00CC44DE"/>
    <w:rsid w:val="00CC452E"/>
    <w:rsid w:val="00CC54A0"/>
    <w:rsid w:val="00CC65CA"/>
    <w:rsid w:val="00CC6777"/>
    <w:rsid w:val="00CC6F58"/>
    <w:rsid w:val="00CD0952"/>
    <w:rsid w:val="00CD185E"/>
    <w:rsid w:val="00CD1F86"/>
    <w:rsid w:val="00CD2C5A"/>
    <w:rsid w:val="00CD360F"/>
    <w:rsid w:val="00CD3CDA"/>
    <w:rsid w:val="00CD4A5F"/>
    <w:rsid w:val="00CD4E99"/>
    <w:rsid w:val="00CD6266"/>
    <w:rsid w:val="00CD64BB"/>
    <w:rsid w:val="00CE0263"/>
    <w:rsid w:val="00CE0628"/>
    <w:rsid w:val="00CE0900"/>
    <w:rsid w:val="00CE1981"/>
    <w:rsid w:val="00CE1A22"/>
    <w:rsid w:val="00CE4112"/>
    <w:rsid w:val="00CE4A0F"/>
    <w:rsid w:val="00CE4C8A"/>
    <w:rsid w:val="00CE5032"/>
    <w:rsid w:val="00CE50AB"/>
    <w:rsid w:val="00CE57AB"/>
    <w:rsid w:val="00CE58D8"/>
    <w:rsid w:val="00CE5970"/>
    <w:rsid w:val="00CE5C35"/>
    <w:rsid w:val="00CE710F"/>
    <w:rsid w:val="00CE7388"/>
    <w:rsid w:val="00CE7B33"/>
    <w:rsid w:val="00CF0259"/>
    <w:rsid w:val="00CF1AB6"/>
    <w:rsid w:val="00CF21C3"/>
    <w:rsid w:val="00CF3CC6"/>
    <w:rsid w:val="00CF4072"/>
    <w:rsid w:val="00CF4858"/>
    <w:rsid w:val="00CF4FC6"/>
    <w:rsid w:val="00CF525B"/>
    <w:rsid w:val="00CF66C4"/>
    <w:rsid w:val="00CF6E2C"/>
    <w:rsid w:val="00CF7142"/>
    <w:rsid w:val="00D02110"/>
    <w:rsid w:val="00D02764"/>
    <w:rsid w:val="00D02B46"/>
    <w:rsid w:val="00D02E4D"/>
    <w:rsid w:val="00D02F42"/>
    <w:rsid w:val="00D04BAD"/>
    <w:rsid w:val="00D05127"/>
    <w:rsid w:val="00D07B7A"/>
    <w:rsid w:val="00D07B7C"/>
    <w:rsid w:val="00D07D38"/>
    <w:rsid w:val="00D07ED9"/>
    <w:rsid w:val="00D10809"/>
    <w:rsid w:val="00D10F43"/>
    <w:rsid w:val="00D10F50"/>
    <w:rsid w:val="00D13D47"/>
    <w:rsid w:val="00D140C8"/>
    <w:rsid w:val="00D143B1"/>
    <w:rsid w:val="00D14A68"/>
    <w:rsid w:val="00D14C10"/>
    <w:rsid w:val="00D14EB1"/>
    <w:rsid w:val="00D15FD4"/>
    <w:rsid w:val="00D178FB"/>
    <w:rsid w:val="00D2001F"/>
    <w:rsid w:val="00D2002A"/>
    <w:rsid w:val="00D204B9"/>
    <w:rsid w:val="00D2138C"/>
    <w:rsid w:val="00D217D8"/>
    <w:rsid w:val="00D21AC7"/>
    <w:rsid w:val="00D22918"/>
    <w:rsid w:val="00D22AB8"/>
    <w:rsid w:val="00D2333C"/>
    <w:rsid w:val="00D233E9"/>
    <w:rsid w:val="00D23E3F"/>
    <w:rsid w:val="00D23E71"/>
    <w:rsid w:val="00D2448D"/>
    <w:rsid w:val="00D24D9B"/>
    <w:rsid w:val="00D25320"/>
    <w:rsid w:val="00D255C5"/>
    <w:rsid w:val="00D25835"/>
    <w:rsid w:val="00D25F42"/>
    <w:rsid w:val="00D25F96"/>
    <w:rsid w:val="00D2662B"/>
    <w:rsid w:val="00D26D8D"/>
    <w:rsid w:val="00D27094"/>
    <w:rsid w:val="00D27A1C"/>
    <w:rsid w:val="00D27B95"/>
    <w:rsid w:val="00D3025D"/>
    <w:rsid w:val="00D30773"/>
    <w:rsid w:val="00D31848"/>
    <w:rsid w:val="00D327BA"/>
    <w:rsid w:val="00D32BCA"/>
    <w:rsid w:val="00D32FA3"/>
    <w:rsid w:val="00D3373D"/>
    <w:rsid w:val="00D3385A"/>
    <w:rsid w:val="00D33A2E"/>
    <w:rsid w:val="00D33AD8"/>
    <w:rsid w:val="00D35087"/>
    <w:rsid w:val="00D3538F"/>
    <w:rsid w:val="00D36F62"/>
    <w:rsid w:val="00D37604"/>
    <w:rsid w:val="00D40A74"/>
    <w:rsid w:val="00D41549"/>
    <w:rsid w:val="00D418B7"/>
    <w:rsid w:val="00D427A5"/>
    <w:rsid w:val="00D42BE1"/>
    <w:rsid w:val="00D43566"/>
    <w:rsid w:val="00D441C0"/>
    <w:rsid w:val="00D44ACC"/>
    <w:rsid w:val="00D45619"/>
    <w:rsid w:val="00D4602F"/>
    <w:rsid w:val="00D50777"/>
    <w:rsid w:val="00D50C9F"/>
    <w:rsid w:val="00D50D84"/>
    <w:rsid w:val="00D51B1D"/>
    <w:rsid w:val="00D530D3"/>
    <w:rsid w:val="00D5417D"/>
    <w:rsid w:val="00D548B5"/>
    <w:rsid w:val="00D54C8E"/>
    <w:rsid w:val="00D54CDD"/>
    <w:rsid w:val="00D5541C"/>
    <w:rsid w:val="00D56335"/>
    <w:rsid w:val="00D56E8F"/>
    <w:rsid w:val="00D57167"/>
    <w:rsid w:val="00D57494"/>
    <w:rsid w:val="00D5786E"/>
    <w:rsid w:val="00D57AA7"/>
    <w:rsid w:val="00D57ADE"/>
    <w:rsid w:val="00D57EA8"/>
    <w:rsid w:val="00D615D4"/>
    <w:rsid w:val="00D63458"/>
    <w:rsid w:val="00D635B1"/>
    <w:rsid w:val="00D6389D"/>
    <w:rsid w:val="00D641F8"/>
    <w:rsid w:val="00D6435C"/>
    <w:rsid w:val="00D64D7E"/>
    <w:rsid w:val="00D655A4"/>
    <w:rsid w:val="00D65933"/>
    <w:rsid w:val="00D66AFF"/>
    <w:rsid w:val="00D66BE0"/>
    <w:rsid w:val="00D66EE0"/>
    <w:rsid w:val="00D706C9"/>
    <w:rsid w:val="00D722C8"/>
    <w:rsid w:val="00D72CFA"/>
    <w:rsid w:val="00D72DD2"/>
    <w:rsid w:val="00D73B31"/>
    <w:rsid w:val="00D741FE"/>
    <w:rsid w:val="00D74C71"/>
    <w:rsid w:val="00D75059"/>
    <w:rsid w:val="00D7596B"/>
    <w:rsid w:val="00D759C3"/>
    <w:rsid w:val="00D76751"/>
    <w:rsid w:val="00D76DAE"/>
    <w:rsid w:val="00D76FCE"/>
    <w:rsid w:val="00D7742F"/>
    <w:rsid w:val="00D77E30"/>
    <w:rsid w:val="00D8086E"/>
    <w:rsid w:val="00D80F9F"/>
    <w:rsid w:val="00D8168A"/>
    <w:rsid w:val="00D81DA4"/>
    <w:rsid w:val="00D82E56"/>
    <w:rsid w:val="00D8312C"/>
    <w:rsid w:val="00D847AA"/>
    <w:rsid w:val="00D84BD8"/>
    <w:rsid w:val="00D84C61"/>
    <w:rsid w:val="00D87012"/>
    <w:rsid w:val="00D87B1A"/>
    <w:rsid w:val="00D91022"/>
    <w:rsid w:val="00D91BEA"/>
    <w:rsid w:val="00D92B88"/>
    <w:rsid w:val="00D92BAF"/>
    <w:rsid w:val="00D92D72"/>
    <w:rsid w:val="00D92EE9"/>
    <w:rsid w:val="00D9339E"/>
    <w:rsid w:val="00D93890"/>
    <w:rsid w:val="00D938FE"/>
    <w:rsid w:val="00D939CD"/>
    <w:rsid w:val="00D93CD9"/>
    <w:rsid w:val="00D94797"/>
    <w:rsid w:val="00D95893"/>
    <w:rsid w:val="00D9596E"/>
    <w:rsid w:val="00D95CA7"/>
    <w:rsid w:val="00D960D4"/>
    <w:rsid w:val="00DA06A6"/>
    <w:rsid w:val="00DA0742"/>
    <w:rsid w:val="00DA11C5"/>
    <w:rsid w:val="00DA2B5F"/>
    <w:rsid w:val="00DA2C59"/>
    <w:rsid w:val="00DA32B5"/>
    <w:rsid w:val="00DA3304"/>
    <w:rsid w:val="00DA36EF"/>
    <w:rsid w:val="00DA3820"/>
    <w:rsid w:val="00DA4004"/>
    <w:rsid w:val="00DA4907"/>
    <w:rsid w:val="00DA4A44"/>
    <w:rsid w:val="00DA4B33"/>
    <w:rsid w:val="00DA5199"/>
    <w:rsid w:val="00DA7887"/>
    <w:rsid w:val="00DA7CE2"/>
    <w:rsid w:val="00DA7DAF"/>
    <w:rsid w:val="00DB0E73"/>
    <w:rsid w:val="00DB0EEB"/>
    <w:rsid w:val="00DB0F0B"/>
    <w:rsid w:val="00DB2438"/>
    <w:rsid w:val="00DB2FD2"/>
    <w:rsid w:val="00DB31EC"/>
    <w:rsid w:val="00DB4468"/>
    <w:rsid w:val="00DB6C85"/>
    <w:rsid w:val="00DB77D9"/>
    <w:rsid w:val="00DB798C"/>
    <w:rsid w:val="00DB7B48"/>
    <w:rsid w:val="00DC144E"/>
    <w:rsid w:val="00DC14AD"/>
    <w:rsid w:val="00DC1607"/>
    <w:rsid w:val="00DC1B21"/>
    <w:rsid w:val="00DC29A9"/>
    <w:rsid w:val="00DC2F14"/>
    <w:rsid w:val="00DC32C9"/>
    <w:rsid w:val="00DC3902"/>
    <w:rsid w:val="00DC4AF0"/>
    <w:rsid w:val="00DC5324"/>
    <w:rsid w:val="00DC619F"/>
    <w:rsid w:val="00DC71A5"/>
    <w:rsid w:val="00DD0DDB"/>
    <w:rsid w:val="00DD0EE4"/>
    <w:rsid w:val="00DD15F9"/>
    <w:rsid w:val="00DD1CD1"/>
    <w:rsid w:val="00DD3519"/>
    <w:rsid w:val="00DD456F"/>
    <w:rsid w:val="00DD4E98"/>
    <w:rsid w:val="00DD55EA"/>
    <w:rsid w:val="00DD6418"/>
    <w:rsid w:val="00DD64D3"/>
    <w:rsid w:val="00DD6A02"/>
    <w:rsid w:val="00DD6B0F"/>
    <w:rsid w:val="00DD6F6B"/>
    <w:rsid w:val="00DE16F7"/>
    <w:rsid w:val="00DE2B5A"/>
    <w:rsid w:val="00DE2BA7"/>
    <w:rsid w:val="00DE3C32"/>
    <w:rsid w:val="00DE3C5A"/>
    <w:rsid w:val="00DE651F"/>
    <w:rsid w:val="00DE6703"/>
    <w:rsid w:val="00DE7098"/>
    <w:rsid w:val="00DF30B7"/>
    <w:rsid w:val="00DF326B"/>
    <w:rsid w:val="00DF38C4"/>
    <w:rsid w:val="00DF3953"/>
    <w:rsid w:val="00DF3F4C"/>
    <w:rsid w:val="00DF4397"/>
    <w:rsid w:val="00DF5604"/>
    <w:rsid w:val="00DF5CCC"/>
    <w:rsid w:val="00DF61A2"/>
    <w:rsid w:val="00DF63BF"/>
    <w:rsid w:val="00DF6A89"/>
    <w:rsid w:val="00DF7B93"/>
    <w:rsid w:val="00DF7F5C"/>
    <w:rsid w:val="00E00037"/>
    <w:rsid w:val="00E00E9E"/>
    <w:rsid w:val="00E01433"/>
    <w:rsid w:val="00E016BF"/>
    <w:rsid w:val="00E01CCE"/>
    <w:rsid w:val="00E0231F"/>
    <w:rsid w:val="00E0310E"/>
    <w:rsid w:val="00E033B8"/>
    <w:rsid w:val="00E034C1"/>
    <w:rsid w:val="00E039B4"/>
    <w:rsid w:val="00E03E87"/>
    <w:rsid w:val="00E04D79"/>
    <w:rsid w:val="00E05560"/>
    <w:rsid w:val="00E056FC"/>
    <w:rsid w:val="00E05FD7"/>
    <w:rsid w:val="00E06675"/>
    <w:rsid w:val="00E06980"/>
    <w:rsid w:val="00E06B67"/>
    <w:rsid w:val="00E06EFF"/>
    <w:rsid w:val="00E10A4F"/>
    <w:rsid w:val="00E10B7D"/>
    <w:rsid w:val="00E11814"/>
    <w:rsid w:val="00E12241"/>
    <w:rsid w:val="00E1227E"/>
    <w:rsid w:val="00E12EDA"/>
    <w:rsid w:val="00E13E25"/>
    <w:rsid w:val="00E147DE"/>
    <w:rsid w:val="00E1514D"/>
    <w:rsid w:val="00E163F9"/>
    <w:rsid w:val="00E164C0"/>
    <w:rsid w:val="00E165D5"/>
    <w:rsid w:val="00E17AC7"/>
    <w:rsid w:val="00E20FCA"/>
    <w:rsid w:val="00E2215D"/>
    <w:rsid w:val="00E22227"/>
    <w:rsid w:val="00E23288"/>
    <w:rsid w:val="00E2412A"/>
    <w:rsid w:val="00E24DF0"/>
    <w:rsid w:val="00E2520F"/>
    <w:rsid w:val="00E258D2"/>
    <w:rsid w:val="00E25976"/>
    <w:rsid w:val="00E25BAC"/>
    <w:rsid w:val="00E26AC7"/>
    <w:rsid w:val="00E27E87"/>
    <w:rsid w:val="00E30072"/>
    <w:rsid w:val="00E3019D"/>
    <w:rsid w:val="00E3157E"/>
    <w:rsid w:val="00E316DD"/>
    <w:rsid w:val="00E31C11"/>
    <w:rsid w:val="00E31EBA"/>
    <w:rsid w:val="00E3221D"/>
    <w:rsid w:val="00E32702"/>
    <w:rsid w:val="00E32EDA"/>
    <w:rsid w:val="00E348D7"/>
    <w:rsid w:val="00E34F68"/>
    <w:rsid w:val="00E35B3D"/>
    <w:rsid w:val="00E36458"/>
    <w:rsid w:val="00E373E8"/>
    <w:rsid w:val="00E40621"/>
    <w:rsid w:val="00E406A3"/>
    <w:rsid w:val="00E41184"/>
    <w:rsid w:val="00E42CA3"/>
    <w:rsid w:val="00E42CEF"/>
    <w:rsid w:val="00E43E64"/>
    <w:rsid w:val="00E43E96"/>
    <w:rsid w:val="00E4425E"/>
    <w:rsid w:val="00E44369"/>
    <w:rsid w:val="00E447D2"/>
    <w:rsid w:val="00E44C86"/>
    <w:rsid w:val="00E44CA9"/>
    <w:rsid w:val="00E45B82"/>
    <w:rsid w:val="00E45E9B"/>
    <w:rsid w:val="00E46715"/>
    <w:rsid w:val="00E4739A"/>
    <w:rsid w:val="00E47CA0"/>
    <w:rsid w:val="00E47E06"/>
    <w:rsid w:val="00E5190A"/>
    <w:rsid w:val="00E52B25"/>
    <w:rsid w:val="00E52E13"/>
    <w:rsid w:val="00E549C6"/>
    <w:rsid w:val="00E54BDF"/>
    <w:rsid w:val="00E55E83"/>
    <w:rsid w:val="00E5626F"/>
    <w:rsid w:val="00E56C07"/>
    <w:rsid w:val="00E579C1"/>
    <w:rsid w:val="00E60CB4"/>
    <w:rsid w:val="00E6127F"/>
    <w:rsid w:val="00E61C2D"/>
    <w:rsid w:val="00E61D0A"/>
    <w:rsid w:val="00E620E4"/>
    <w:rsid w:val="00E62788"/>
    <w:rsid w:val="00E63C19"/>
    <w:rsid w:val="00E6574E"/>
    <w:rsid w:val="00E658AA"/>
    <w:rsid w:val="00E65EB7"/>
    <w:rsid w:val="00E6682D"/>
    <w:rsid w:val="00E670C6"/>
    <w:rsid w:val="00E6765D"/>
    <w:rsid w:val="00E70045"/>
    <w:rsid w:val="00E70826"/>
    <w:rsid w:val="00E72224"/>
    <w:rsid w:val="00E728FA"/>
    <w:rsid w:val="00E72C65"/>
    <w:rsid w:val="00E7306C"/>
    <w:rsid w:val="00E7367A"/>
    <w:rsid w:val="00E74960"/>
    <w:rsid w:val="00E75372"/>
    <w:rsid w:val="00E7538A"/>
    <w:rsid w:val="00E76080"/>
    <w:rsid w:val="00E768D8"/>
    <w:rsid w:val="00E77290"/>
    <w:rsid w:val="00E7778C"/>
    <w:rsid w:val="00E77923"/>
    <w:rsid w:val="00E77ADA"/>
    <w:rsid w:val="00E77EE2"/>
    <w:rsid w:val="00E80701"/>
    <w:rsid w:val="00E808C3"/>
    <w:rsid w:val="00E80BF5"/>
    <w:rsid w:val="00E80C40"/>
    <w:rsid w:val="00E80C91"/>
    <w:rsid w:val="00E80CAA"/>
    <w:rsid w:val="00E81C84"/>
    <w:rsid w:val="00E821F7"/>
    <w:rsid w:val="00E83B14"/>
    <w:rsid w:val="00E83F46"/>
    <w:rsid w:val="00E840DE"/>
    <w:rsid w:val="00E84296"/>
    <w:rsid w:val="00E84409"/>
    <w:rsid w:val="00E8521C"/>
    <w:rsid w:val="00E85916"/>
    <w:rsid w:val="00E85FBB"/>
    <w:rsid w:val="00E8602D"/>
    <w:rsid w:val="00E863FB"/>
    <w:rsid w:val="00E86EAE"/>
    <w:rsid w:val="00E873EC"/>
    <w:rsid w:val="00E877A0"/>
    <w:rsid w:val="00E9252A"/>
    <w:rsid w:val="00E9271F"/>
    <w:rsid w:val="00E92C4F"/>
    <w:rsid w:val="00E92D30"/>
    <w:rsid w:val="00E935BA"/>
    <w:rsid w:val="00E9372D"/>
    <w:rsid w:val="00E93ED0"/>
    <w:rsid w:val="00E94ABD"/>
    <w:rsid w:val="00E95C70"/>
    <w:rsid w:val="00E961E6"/>
    <w:rsid w:val="00E969DA"/>
    <w:rsid w:val="00E97550"/>
    <w:rsid w:val="00E97E75"/>
    <w:rsid w:val="00EA1C98"/>
    <w:rsid w:val="00EA1EDE"/>
    <w:rsid w:val="00EA21F0"/>
    <w:rsid w:val="00EA281D"/>
    <w:rsid w:val="00EA2D4A"/>
    <w:rsid w:val="00EA3D8B"/>
    <w:rsid w:val="00EA4C19"/>
    <w:rsid w:val="00EA5970"/>
    <w:rsid w:val="00EA6EE0"/>
    <w:rsid w:val="00EA6F6B"/>
    <w:rsid w:val="00EA79EF"/>
    <w:rsid w:val="00EB01C5"/>
    <w:rsid w:val="00EB0F38"/>
    <w:rsid w:val="00EB1697"/>
    <w:rsid w:val="00EB2F3F"/>
    <w:rsid w:val="00EB428F"/>
    <w:rsid w:val="00EB682C"/>
    <w:rsid w:val="00EB7377"/>
    <w:rsid w:val="00EC0814"/>
    <w:rsid w:val="00EC136C"/>
    <w:rsid w:val="00EC1FE8"/>
    <w:rsid w:val="00EC3FD5"/>
    <w:rsid w:val="00EC4883"/>
    <w:rsid w:val="00EC4B13"/>
    <w:rsid w:val="00EC4FC4"/>
    <w:rsid w:val="00EC59AF"/>
    <w:rsid w:val="00EC5E67"/>
    <w:rsid w:val="00EC5EF8"/>
    <w:rsid w:val="00EC6071"/>
    <w:rsid w:val="00EC6572"/>
    <w:rsid w:val="00EC6A7C"/>
    <w:rsid w:val="00ED027C"/>
    <w:rsid w:val="00ED1559"/>
    <w:rsid w:val="00ED2471"/>
    <w:rsid w:val="00ED26DC"/>
    <w:rsid w:val="00ED296E"/>
    <w:rsid w:val="00ED4064"/>
    <w:rsid w:val="00ED48B4"/>
    <w:rsid w:val="00ED5D4C"/>
    <w:rsid w:val="00ED60D8"/>
    <w:rsid w:val="00ED6178"/>
    <w:rsid w:val="00ED634F"/>
    <w:rsid w:val="00ED65D1"/>
    <w:rsid w:val="00ED66CF"/>
    <w:rsid w:val="00ED6FCC"/>
    <w:rsid w:val="00ED726A"/>
    <w:rsid w:val="00EE0879"/>
    <w:rsid w:val="00EE193F"/>
    <w:rsid w:val="00EE1942"/>
    <w:rsid w:val="00EE2C9F"/>
    <w:rsid w:val="00EE326C"/>
    <w:rsid w:val="00EE3924"/>
    <w:rsid w:val="00EE4A66"/>
    <w:rsid w:val="00EE4AC3"/>
    <w:rsid w:val="00EE4B94"/>
    <w:rsid w:val="00EE5403"/>
    <w:rsid w:val="00EE666E"/>
    <w:rsid w:val="00EE686B"/>
    <w:rsid w:val="00EE7753"/>
    <w:rsid w:val="00EE7EE4"/>
    <w:rsid w:val="00EF04C8"/>
    <w:rsid w:val="00EF04F0"/>
    <w:rsid w:val="00EF050E"/>
    <w:rsid w:val="00EF0625"/>
    <w:rsid w:val="00EF0B1B"/>
    <w:rsid w:val="00EF0B33"/>
    <w:rsid w:val="00EF0D4F"/>
    <w:rsid w:val="00EF21D3"/>
    <w:rsid w:val="00EF3D42"/>
    <w:rsid w:val="00EF426E"/>
    <w:rsid w:val="00EF4319"/>
    <w:rsid w:val="00EF44B8"/>
    <w:rsid w:val="00EF4DF5"/>
    <w:rsid w:val="00EF5745"/>
    <w:rsid w:val="00EF592A"/>
    <w:rsid w:val="00EF673F"/>
    <w:rsid w:val="00EF7C81"/>
    <w:rsid w:val="00F005C8"/>
    <w:rsid w:val="00F00F8E"/>
    <w:rsid w:val="00F016D2"/>
    <w:rsid w:val="00F02984"/>
    <w:rsid w:val="00F03A1D"/>
    <w:rsid w:val="00F050A1"/>
    <w:rsid w:val="00F05A0C"/>
    <w:rsid w:val="00F05BC4"/>
    <w:rsid w:val="00F05E10"/>
    <w:rsid w:val="00F05F25"/>
    <w:rsid w:val="00F05FBC"/>
    <w:rsid w:val="00F0675D"/>
    <w:rsid w:val="00F06D68"/>
    <w:rsid w:val="00F0714E"/>
    <w:rsid w:val="00F07FF6"/>
    <w:rsid w:val="00F13A10"/>
    <w:rsid w:val="00F145FD"/>
    <w:rsid w:val="00F147DC"/>
    <w:rsid w:val="00F14B26"/>
    <w:rsid w:val="00F15192"/>
    <w:rsid w:val="00F157C8"/>
    <w:rsid w:val="00F1650F"/>
    <w:rsid w:val="00F17E7D"/>
    <w:rsid w:val="00F2088B"/>
    <w:rsid w:val="00F21685"/>
    <w:rsid w:val="00F22089"/>
    <w:rsid w:val="00F22BDC"/>
    <w:rsid w:val="00F23FCE"/>
    <w:rsid w:val="00F242C6"/>
    <w:rsid w:val="00F250F9"/>
    <w:rsid w:val="00F25681"/>
    <w:rsid w:val="00F2619B"/>
    <w:rsid w:val="00F262D1"/>
    <w:rsid w:val="00F26887"/>
    <w:rsid w:val="00F26B5C"/>
    <w:rsid w:val="00F31DD8"/>
    <w:rsid w:val="00F32778"/>
    <w:rsid w:val="00F332A3"/>
    <w:rsid w:val="00F3472A"/>
    <w:rsid w:val="00F36372"/>
    <w:rsid w:val="00F36F23"/>
    <w:rsid w:val="00F379E8"/>
    <w:rsid w:val="00F4018B"/>
    <w:rsid w:val="00F4061F"/>
    <w:rsid w:val="00F4131E"/>
    <w:rsid w:val="00F41FF3"/>
    <w:rsid w:val="00F42B55"/>
    <w:rsid w:val="00F43074"/>
    <w:rsid w:val="00F43717"/>
    <w:rsid w:val="00F43A36"/>
    <w:rsid w:val="00F43D47"/>
    <w:rsid w:val="00F441CD"/>
    <w:rsid w:val="00F45769"/>
    <w:rsid w:val="00F45933"/>
    <w:rsid w:val="00F46774"/>
    <w:rsid w:val="00F46A63"/>
    <w:rsid w:val="00F46D78"/>
    <w:rsid w:val="00F474AB"/>
    <w:rsid w:val="00F475D8"/>
    <w:rsid w:val="00F47F10"/>
    <w:rsid w:val="00F50C11"/>
    <w:rsid w:val="00F541EB"/>
    <w:rsid w:val="00F54F02"/>
    <w:rsid w:val="00F55F48"/>
    <w:rsid w:val="00F566DD"/>
    <w:rsid w:val="00F56C86"/>
    <w:rsid w:val="00F60AF1"/>
    <w:rsid w:val="00F6210C"/>
    <w:rsid w:val="00F62268"/>
    <w:rsid w:val="00F63E19"/>
    <w:rsid w:val="00F6605D"/>
    <w:rsid w:val="00F663C5"/>
    <w:rsid w:val="00F66EC4"/>
    <w:rsid w:val="00F67F5F"/>
    <w:rsid w:val="00F714D5"/>
    <w:rsid w:val="00F71642"/>
    <w:rsid w:val="00F71859"/>
    <w:rsid w:val="00F718CA"/>
    <w:rsid w:val="00F71BFF"/>
    <w:rsid w:val="00F725E1"/>
    <w:rsid w:val="00F726CD"/>
    <w:rsid w:val="00F72A2F"/>
    <w:rsid w:val="00F735C5"/>
    <w:rsid w:val="00F73A28"/>
    <w:rsid w:val="00F73B6C"/>
    <w:rsid w:val="00F74134"/>
    <w:rsid w:val="00F74223"/>
    <w:rsid w:val="00F749BD"/>
    <w:rsid w:val="00F74EF6"/>
    <w:rsid w:val="00F75A0E"/>
    <w:rsid w:val="00F77387"/>
    <w:rsid w:val="00F77A26"/>
    <w:rsid w:val="00F81191"/>
    <w:rsid w:val="00F82878"/>
    <w:rsid w:val="00F8393F"/>
    <w:rsid w:val="00F8556C"/>
    <w:rsid w:val="00F85CFA"/>
    <w:rsid w:val="00F86A55"/>
    <w:rsid w:val="00F86AC7"/>
    <w:rsid w:val="00F87309"/>
    <w:rsid w:val="00F9220F"/>
    <w:rsid w:val="00F92986"/>
    <w:rsid w:val="00F93170"/>
    <w:rsid w:val="00F931BD"/>
    <w:rsid w:val="00F93984"/>
    <w:rsid w:val="00F94ED9"/>
    <w:rsid w:val="00F95E1E"/>
    <w:rsid w:val="00F96208"/>
    <w:rsid w:val="00F9665E"/>
    <w:rsid w:val="00F97FA7"/>
    <w:rsid w:val="00FA05CA"/>
    <w:rsid w:val="00FA07DE"/>
    <w:rsid w:val="00FA0ABB"/>
    <w:rsid w:val="00FA0BAC"/>
    <w:rsid w:val="00FA1E27"/>
    <w:rsid w:val="00FA255C"/>
    <w:rsid w:val="00FA3850"/>
    <w:rsid w:val="00FA43D1"/>
    <w:rsid w:val="00FA4A1E"/>
    <w:rsid w:val="00FA4BE1"/>
    <w:rsid w:val="00FA4CE9"/>
    <w:rsid w:val="00FA6DEC"/>
    <w:rsid w:val="00FB0155"/>
    <w:rsid w:val="00FB0485"/>
    <w:rsid w:val="00FB065F"/>
    <w:rsid w:val="00FB0920"/>
    <w:rsid w:val="00FB0BD4"/>
    <w:rsid w:val="00FB0E05"/>
    <w:rsid w:val="00FB137F"/>
    <w:rsid w:val="00FB1615"/>
    <w:rsid w:val="00FB1CE5"/>
    <w:rsid w:val="00FB1F9D"/>
    <w:rsid w:val="00FB3FB5"/>
    <w:rsid w:val="00FB5179"/>
    <w:rsid w:val="00FB594E"/>
    <w:rsid w:val="00FB64EA"/>
    <w:rsid w:val="00FB738F"/>
    <w:rsid w:val="00FB73A8"/>
    <w:rsid w:val="00FB7A39"/>
    <w:rsid w:val="00FC3FED"/>
    <w:rsid w:val="00FC416A"/>
    <w:rsid w:val="00FC4AC4"/>
    <w:rsid w:val="00FC5200"/>
    <w:rsid w:val="00FC5558"/>
    <w:rsid w:val="00FC5F11"/>
    <w:rsid w:val="00FC6081"/>
    <w:rsid w:val="00FC6916"/>
    <w:rsid w:val="00FC6B43"/>
    <w:rsid w:val="00FC75E7"/>
    <w:rsid w:val="00FC7930"/>
    <w:rsid w:val="00FC7DEE"/>
    <w:rsid w:val="00FD0041"/>
    <w:rsid w:val="00FD0228"/>
    <w:rsid w:val="00FD1870"/>
    <w:rsid w:val="00FD27AE"/>
    <w:rsid w:val="00FD35C8"/>
    <w:rsid w:val="00FD381C"/>
    <w:rsid w:val="00FD561A"/>
    <w:rsid w:val="00FD5F81"/>
    <w:rsid w:val="00FD6F54"/>
    <w:rsid w:val="00FD7262"/>
    <w:rsid w:val="00FE0059"/>
    <w:rsid w:val="00FE1225"/>
    <w:rsid w:val="00FE14A7"/>
    <w:rsid w:val="00FE2EA4"/>
    <w:rsid w:val="00FE3210"/>
    <w:rsid w:val="00FE3446"/>
    <w:rsid w:val="00FE37F4"/>
    <w:rsid w:val="00FE3AA1"/>
    <w:rsid w:val="00FE3DDC"/>
    <w:rsid w:val="00FE5D3F"/>
    <w:rsid w:val="00FE5DF4"/>
    <w:rsid w:val="00FE7B05"/>
    <w:rsid w:val="00FF02DB"/>
    <w:rsid w:val="00FF111E"/>
    <w:rsid w:val="00FF29A1"/>
    <w:rsid w:val="00FF3331"/>
    <w:rsid w:val="00FF40CE"/>
    <w:rsid w:val="00FF6137"/>
    <w:rsid w:val="00FF7DBF"/>
    <w:rsid w:val="051A87B7"/>
    <w:rsid w:val="05FD43DC"/>
    <w:rsid w:val="06E19165"/>
    <w:rsid w:val="0837105B"/>
    <w:rsid w:val="0C9CDD81"/>
    <w:rsid w:val="1103E939"/>
    <w:rsid w:val="12642182"/>
    <w:rsid w:val="14580941"/>
    <w:rsid w:val="14950BEB"/>
    <w:rsid w:val="1DE8F0F1"/>
    <w:rsid w:val="23D50996"/>
    <w:rsid w:val="34BD1A80"/>
    <w:rsid w:val="35DFD462"/>
    <w:rsid w:val="3B5CDCD3"/>
    <w:rsid w:val="3D88280B"/>
    <w:rsid w:val="442100A2"/>
    <w:rsid w:val="4C0599E7"/>
    <w:rsid w:val="4C3CD879"/>
    <w:rsid w:val="4FB9947F"/>
    <w:rsid w:val="5163002F"/>
    <w:rsid w:val="53E70984"/>
    <w:rsid w:val="559AA6C0"/>
    <w:rsid w:val="59333EB0"/>
    <w:rsid w:val="5DED30BC"/>
    <w:rsid w:val="5F478BAF"/>
    <w:rsid w:val="63331B38"/>
    <w:rsid w:val="65995659"/>
    <w:rsid w:val="66444290"/>
    <w:rsid w:val="6927CC58"/>
    <w:rsid w:val="6AB01492"/>
    <w:rsid w:val="701C9937"/>
    <w:rsid w:val="706FAF72"/>
    <w:rsid w:val="7446A673"/>
    <w:rsid w:val="7462BF0E"/>
    <w:rsid w:val="784062C6"/>
    <w:rsid w:val="7B22C4D5"/>
    <w:rsid w:val="7BF815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8486"/>
  <w15:chartTrackingRefBased/>
  <w15:docId w15:val="{AAAF29E3-4AA7-49E3-A743-973A274C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gnature Heading"/>
    <w:qFormat/>
    <w:rsid w:val="00166C90"/>
    <w:rPr>
      <w:kern w:val="2"/>
      <w14:ligatures w14:val="standardContextual"/>
    </w:rPr>
  </w:style>
  <w:style w:type="paragraph" w:styleId="Heading1">
    <w:name w:val="heading 1"/>
    <w:basedOn w:val="Normal"/>
    <w:next w:val="Normal"/>
    <w:link w:val="Heading1Char"/>
    <w:uiPriority w:val="9"/>
    <w:qFormat/>
    <w:rsid w:val="00565F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DB0F0B"/>
    <w:pPr>
      <w:keepNext/>
      <w:keepLines/>
      <w:spacing w:before="120" w:after="120"/>
      <w:contextualSpacing/>
      <w:outlineLvl w:val="1"/>
    </w:pPr>
    <w:rPr>
      <w:rFonts w:eastAsiaTheme="majorEastAsia" w:cstheme="minorHAnsi"/>
      <w:b/>
      <w:color w:val="385623" w:themeColor="accent6" w:themeShade="80"/>
      <w:lang w:eastAsia="en-AU"/>
    </w:rPr>
  </w:style>
  <w:style w:type="paragraph" w:styleId="Heading3">
    <w:name w:val="heading 3"/>
    <w:basedOn w:val="Normal"/>
    <w:next w:val="Normal"/>
    <w:link w:val="Heading3Char"/>
    <w:autoRedefine/>
    <w:unhideWhenUsed/>
    <w:qFormat/>
    <w:rsid w:val="006B1066"/>
    <w:pPr>
      <w:keepNext/>
      <w:keepLines/>
      <w:outlineLvl w:val="2"/>
    </w:pPr>
    <w:rPr>
      <w:rFonts w:eastAsiaTheme="majorEastAsia" w:cstheme="majorBidi"/>
      <w:b/>
      <w:color w:val="385623" w:themeColor="accent6" w:themeShade="80"/>
      <w:sz w:val="20"/>
      <w:szCs w:val="20"/>
    </w:rPr>
  </w:style>
  <w:style w:type="paragraph" w:styleId="Heading4">
    <w:name w:val="heading 4"/>
    <w:basedOn w:val="Normal"/>
    <w:next w:val="Normal"/>
    <w:link w:val="Heading4Char"/>
    <w:uiPriority w:val="9"/>
    <w:unhideWhenUsed/>
    <w:qFormat/>
    <w:rsid w:val="000707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C3B1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C3B1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166C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6C90"/>
  </w:style>
  <w:style w:type="paragraph" w:styleId="Header">
    <w:name w:val="header"/>
    <w:basedOn w:val="Normal"/>
    <w:link w:val="HeaderChar"/>
    <w:unhideWhenUsed/>
    <w:rsid w:val="003C3B18"/>
    <w:pPr>
      <w:tabs>
        <w:tab w:val="center" w:pos="4513"/>
        <w:tab w:val="right" w:pos="9026"/>
      </w:tabs>
    </w:pPr>
  </w:style>
  <w:style w:type="character" w:customStyle="1" w:styleId="HeaderChar">
    <w:name w:val="Header Char"/>
    <w:basedOn w:val="DefaultParagraphFont"/>
    <w:link w:val="Header"/>
    <w:rsid w:val="003C3B18"/>
    <w:rPr>
      <w:rFonts w:ascii="Arial" w:eastAsia="Times New Roman" w:hAnsi="Arial" w:cs="Times New Roman"/>
      <w:color w:val="5F5F5F"/>
      <w:sz w:val="20"/>
      <w:szCs w:val="24"/>
    </w:rPr>
  </w:style>
  <w:style w:type="paragraph" w:styleId="Footer">
    <w:name w:val="footer"/>
    <w:basedOn w:val="Normal"/>
    <w:link w:val="FooterChar"/>
    <w:unhideWhenUsed/>
    <w:rsid w:val="003C3B18"/>
    <w:pPr>
      <w:tabs>
        <w:tab w:val="center" w:pos="4513"/>
        <w:tab w:val="right" w:pos="9026"/>
      </w:tabs>
    </w:pPr>
  </w:style>
  <w:style w:type="character" w:customStyle="1" w:styleId="FooterChar">
    <w:name w:val="Footer Char"/>
    <w:basedOn w:val="DefaultParagraphFont"/>
    <w:link w:val="Footer"/>
    <w:rsid w:val="003C3B18"/>
    <w:rPr>
      <w:rFonts w:ascii="Arial" w:eastAsia="Times New Roman" w:hAnsi="Arial" w:cs="Times New Roman"/>
      <w:color w:val="5F5F5F"/>
      <w:sz w:val="20"/>
      <w:szCs w:val="24"/>
    </w:rPr>
  </w:style>
  <w:style w:type="character" w:customStyle="1" w:styleId="Heading1Char">
    <w:name w:val="Heading 1 Char"/>
    <w:basedOn w:val="DefaultParagraphFont"/>
    <w:link w:val="Heading1"/>
    <w:uiPriority w:val="9"/>
    <w:rsid w:val="00565F3A"/>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rsid w:val="00DB0F0B"/>
    <w:rPr>
      <w:rFonts w:eastAsiaTheme="majorEastAsia" w:cstheme="minorHAnsi"/>
      <w:b/>
      <w:color w:val="385623" w:themeColor="accent6" w:themeShade="80"/>
      <w:kern w:val="2"/>
      <w:sz w:val="24"/>
      <w:lang w:eastAsia="en-AU"/>
      <w14:ligatures w14:val="standardContextual"/>
    </w:rPr>
  </w:style>
  <w:style w:type="character" w:customStyle="1" w:styleId="Heading3Char">
    <w:name w:val="Heading 3 Char"/>
    <w:basedOn w:val="DefaultParagraphFont"/>
    <w:link w:val="Heading3"/>
    <w:rsid w:val="006B1066"/>
    <w:rPr>
      <w:rFonts w:eastAsiaTheme="majorEastAsia" w:cstheme="majorBidi"/>
      <w:b/>
      <w:color w:val="385623" w:themeColor="accent6" w:themeShade="80"/>
      <w:kern w:val="2"/>
      <w:sz w:val="20"/>
      <w:szCs w:val="20"/>
      <w14:ligatures w14:val="standardContextual"/>
    </w:rPr>
  </w:style>
  <w:style w:type="paragraph" w:customStyle="1" w:styleId="Bullets">
    <w:name w:val="Bullets"/>
    <w:basedOn w:val="ListBullet"/>
    <w:link w:val="BulletsChar"/>
    <w:rsid w:val="00E92C4F"/>
    <w:pPr>
      <w:numPr>
        <w:numId w:val="1"/>
      </w:numPr>
      <w:tabs>
        <w:tab w:val="clear" w:pos="680"/>
        <w:tab w:val="left" w:pos="340"/>
      </w:tabs>
      <w:ind w:left="340" w:hanging="340"/>
      <w:contextualSpacing w:val="0"/>
    </w:pPr>
  </w:style>
  <w:style w:type="table" w:styleId="GridTable1Light">
    <w:name w:val="Grid Table 1 Light"/>
    <w:basedOn w:val="TableNormal"/>
    <w:uiPriority w:val="46"/>
    <w:rsid w:val="003C3B1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C3B18"/>
    <w:rPr>
      <w:color w:val="0563C1" w:themeColor="hyperlink"/>
      <w:u w:val="single"/>
    </w:rPr>
  </w:style>
  <w:style w:type="paragraph" w:styleId="NoSpacing">
    <w:name w:val="No Spacing"/>
    <w:basedOn w:val="Normal"/>
    <w:autoRedefine/>
    <w:uiPriority w:val="1"/>
    <w:qFormat/>
    <w:rsid w:val="001F326B"/>
    <w:pPr>
      <w:spacing w:after="120"/>
    </w:pPr>
    <w:rPr>
      <w:color w:val="5F5F5F"/>
      <w:sz w:val="20"/>
      <w:szCs w:val="20"/>
      <w:lang w:val="en-US" w:eastAsia="en-AU"/>
    </w:rPr>
  </w:style>
  <w:style w:type="character" w:customStyle="1" w:styleId="Heading4Char">
    <w:name w:val="Heading 4 Char"/>
    <w:basedOn w:val="DefaultParagraphFont"/>
    <w:link w:val="Heading4"/>
    <w:uiPriority w:val="9"/>
    <w:rsid w:val="000707DC"/>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rsid w:val="003C3B18"/>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3C3B18"/>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3C3B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B1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C3B18"/>
    <w:rPr>
      <w:i/>
      <w:iCs/>
    </w:rPr>
  </w:style>
  <w:style w:type="character" w:styleId="IntenseEmphasis">
    <w:name w:val="Intense Emphasis"/>
    <w:basedOn w:val="DefaultParagraphFont"/>
    <w:uiPriority w:val="21"/>
    <w:qFormat/>
    <w:rsid w:val="003C3B18"/>
    <w:rPr>
      <w:i/>
      <w:iCs/>
      <w:color w:val="5B9BD5" w:themeColor="accent1"/>
    </w:rPr>
  </w:style>
  <w:style w:type="character" w:styleId="SubtleEmphasis">
    <w:name w:val="Subtle Emphasis"/>
    <w:basedOn w:val="DefaultParagraphFont"/>
    <w:uiPriority w:val="19"/>
    <w:qFormat/>
    <w:rsid w:val="003C3B18"/>
    <w:rPr>
      <w:i/>
      <w:iCs/>
      <w:color w:val="404040" w:themeColor="text1" w:themeTint="BF"/>
    </w:rPr>
  </w:style>
  <w:style w:type="character" w:customStyle="1" w:styleId="ListChar">
    <w:name w:val="List Char"/>
    <w:basedOn w:val="DefaultParagraphFont"/>
    <w:link w:val="List"/>
    <w:uiPriority w:val="99"/>
    <w:semiHidden/>
    <w:rsid w:val="003C3B18"/>
    <w:rPr>
      <w:rFonts w:ascii="Arial" w:eastAsia="Times New Roman" w:hAnsi="Arial" w:cs="Times New Roman"/>
      <w:color w:val="5F5F5F"/>
      <w:sz w:val="20"/>
      <w:szCs w:val="24"/>
    </w:rPr>
  </w:style>
  <w:style w:type="paragraph" w:styleId="ListBullet">
    <w:name w:val="List Bullet"/>
    <w:basedOn w:val="Normal"/>
    <w:uiPriority w:val="99"/>
    <w:semiHidden/>
    <w:unhideWhenUsed/>
    <w:rsid w:val="003C3B18"/>
    <w:pPr>
      <w:numPr>
        <w:numId w:val="2"/>
      </w:numPr>
      <w:contextualSpacing/>
    </w:pPr>
  </w:style>
  <w:style w:type="paragraph" w:styleId="List">
    <w:name w:val="List"/>
    <w:basedOn w:val="Normal"/>
    <w:link w:val="ListChar"/>
    <w:uiPriority w:val="99"/>
    <w:semiHidden/>
    <w:unhideWhenUsed/>
    <w:rsid w:val="003C3B18"/>
    <w:pPr>
      <w:ind w:left="283" w:hanging="283"/>
      <w:contextualSpacing/>
    </w:pPr>
  </w:style>
  <w:style w:type="character" w:customStyle="1" w:styleId="BulletsChar">
    <w:name w:val="Bullets Char"/>
    <w:basedOn w:val="ListChar"/>
    <w:link w:val="Bullets"/>
    <w:rsid w:val="00E92C4F"/>
    <w:rPr>
      <w:rFonts w:ascii="Arial" w:eastAsia="Times New Roman" w:hAnsi="Arial" w:cs="Times New Roman"/>
      <w:color w:val="5F5F5F"/>
      <w:sz w:val="20"/>
      <w:szCs w:val="24"/>
    </w:rPr>
  </w:style>
  <w:style w:type="paragraph" w:styleId="BalloonText">
    <w:name w:val="Balloon Text"/>
    <w:basedOn w:val="Normal"/>
    <w:link w:val="BalloonTextChar"/>
    <w:uiPriority w:val="99"/>
    <w:semiHidden/>
    <w:unhideWhenUsed/>
    <w:rsid w:val="003C3B18"/>
    <w:rPr>
      <w:rFonts w:ascii="Segoe UI" w:hAnsi="Segoe UI" w:cs="Segoe UI"/>
      <w:szCs w:val="18"/>
    </w:rPr>
  </w:style>
  <w:style w:type="character" w:customStyle="1" w:styleId="BalloonTextChar">
    <w:name w:val="Balloon Text Char"/>
    <w:basedOn w:val="DefaultParagraphFont"/>
    <w:link w:val="BalloonText"/>
    <w:uiPriority w:val="99"/>
    <w:semiHidden/>
    <w:rsid w:val="003C3B18"/>
    <w:rPr>
      <w:rFonts w:ascii="Segoe UI" w:eastAsia="Times New Roman" w:hAnsi="Segoe UI" w:cs="Segoe UI"/>
      <w:color w:val="5F5F5F"/>
      <w:sz w:val="18"/>
      <w:szCs w:val="18"/>
    </w:rPr>
  </w:style>
  <w:style w:type="character" w:customStyle="1" w:styleId="apple-converted-space">
    <w:name w:val="apple-converted-space"/>
    <w:basedOn w:val="DefaultParagraphFont"/>
    <w:rsid w:val="003C3B18"/>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0707DC"/>
    <w:pPr>
      <w:ind w:left="720"/>
      <w:contextualSpacing/>
    </w:pPr>
  </w:style>
  <w:style w:type="paragraph" w:customStyle="1" w:styleId="FactSheettext">
    <w:name w:val="Fact Sheet text"/>
    <w:basedOn w:val="Normal"/>
    <w:link w:val="FactSheettextChar"/>
    <w:rsid w:val="00577B7A"/>
    <w:pPr>
      <w:spacing w:after="120" w:line="240" w:lineRule="atLeast"/>
    </w:pPr>
    <w:rPr>
      <w:rFonts w:ascii="Times New Roman" w:hAnsi="Times New Roman"/>
      <w:color w:val="000000"/>
      <w:szCs w:val="20"/>
      <w:lang w:eastAsia="en-AU"/>
    </w:rPr>
  </w:style>
  <w:style w:type="character" w:customStyle="1" w:styleId="FactSheettextChar">
    <w:name w:val="Fact Sheet text Char"/>
    <w:basedOn w:val="DefaultParagraphFont"/>
    <w:link w:val="FactSheettext"/>
    <w:rsid w:val="00577B7A"/>
    <w:rPr>
      <w:rFonts w:ascii="Times New Roman" w:eastAsia="Times New Roman" w:hAnsi="Times New Roman" w:cs="Times New Roman"/>
      <w:color w:val="000000"/>
      <w:sz w:val="20"/>
      <w:szCs w:val="20"/>
      <w:lang w:eastAsia="en-AU"/>
    </w:rPr>
  </w:style>
  <w:style w:type="character" w:styleId="FollowedHyperlink">
    <w:name w:val="FollowedHyperlink"/>
    <w:basedOn w:val="DefaultParagraphFont"/>
    <w:uiPriority w:val="99"/>
    <w:semiHidden/>
    <w:unhideWhenUsed/>
    <w:rsid w:val="00647237"/>
    <w:rPr>
      <w:color w:val="954F72" w:themeColor="followedHyperlink"/>
      <w:u w:val="single"/>
    </w:rPr>
  </w:style>
  <w:style w:type="character" w:styleId="CommentReference">
    <w:name w:val="annotation reference"/>
    <w:basedOn w:val="DefaultParagraphFont"/>
    <w:uiPriority w:val="99"/>
    <w:semiHidden/>
    <w:unhideWhenUsed/>
    <w:rsid w:val="00896977"/>
    <w:rPr>
      <w:sz w:val="16"/>
      <w:szCs w:val="16"/>
    </w:rPr>
  </w:style>
  <w:style w:type="paragraph" w:styleId="CommentText">
    <w:name w:val="annotation text"/>
    <w:basedOn w:val="Normal"/>
    <w:link w:val="CommentTextChar"/>
    <w:uiPriority w:val="99"/>
    <w:unhideWhenUsed/>
    <w:rsid w:val="00896977"/>
    <w:rPr>
      <w:szCs w:val="20"/>
    </w:rPr>
  </w:style>
  <w:style w:type="character" w:customStyle="1" w:styleId="CommentTextChar">
    <w:name w:val="Comment Text Char"/>
    <w:basedOn w:val="DefaultParagraphFont"/>
    <w:link w:val="CommentText"/>
    <w:uiPriority w:val="99"/>
    <w:rsid w:val="00896977"/>
    <w:rPr>
      <w:sz w:val="20"/>
      <w:szCs w:val="20"/>
    </w:rPr>
  </w:style>
  <w:style w:type="paragraph" w:styleId="CommentSubject">
    <w:name w:val="annotation subject"/>
    <w:basedOn w:val="CommentText"/>
    <w:next w:val="CommentText"/>
    <w:link w:val="CommentSubjectChar"/>
    <w:uiPriority w:val="99"/>
    <w:semiHidden/>
    <w:unhideWhenUsed/>
    <w:rsid w:val="00896977"/>
    <w:rPr>
      <w:b/>
      <w:bCs/>
    </w:rPr>
  </w:style>
  <w:style w:type="character" w:customStyle="1" w:styleId="CommentSubjectChar">
    <w:name w:val="Comment Subject Char"/>
    <w:basedOn w:val="CommentTextChar"/>
    <w:link w:val="CommentSubject"/>
    <w:uiPriority w:val="99"/>
    <w:semiHidden/>
    <w:rsid w:val="00896977"/>
    <w:rPr>
      <w:b/>
      <w:bCs/>
      <w:sz w:val="20"/>
      <w:szCs w:val="20"/>
    </w:rPr>
  </w:style>
  <w:style w:type="paragraph" w:styleId="Revision">
    <w:name w:val="Revision"/>
    <w:hidden/>
    <w:uiPriority w:val="99"/>
    <w:semiHidden/>
    <w:rsid w:val="00896977"/>
    <w:pPr>
      <w:spacing w:after="0" w:line="240" w:lineRule="auto"/>
    </w:pPr>
  </w:style>
  <w:style w:type="table" w:styleId="TableGrid">
    <w:name w:val="Table Grid"/>
    <w:basedOn w:val="TableNormal"/>
    <w:uiPriority w:val="39"/>
    <w:rsid w:val="00F5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2C8"/>
    <w:rPr>
      <w:color w:val="605E5C"/>
      <w:shd w:val="clear" w:color="auto" w:fill="E1DFDD"/>
    </w:rPr>
  </w:style>
  <w:style w:type="paragraph" w:styleId="FootnoteText">
    <w:name w:val="footnote text"/>
    <w:basedOn w:val="Normal"/>
    <w:link w:val="FootnoteTextChar"/>
    <w:uiPriority w:val="99"/>
    <w:semiHidden/>
    <w:unhideWhenUsed/>
    <w:rsid w:val="003009FE"/>
    <w:rPr>
      <w:szCs w:val="20"/>
    </w:rPr>
  </w:style>
  <w:style w:type="character" w:customStyle="1" w:styleId="FootnoteTextChar">
    <w:name w:val="Footnote Text Char"/>
    <w:basedOn w:val="DefaultParagraphFont"/>
    <w:link w:val="FootnoteText"/>
    <w:uiPriority w:val="99"/>
    <w:semiHidden/>
    <w:rsid w:val="003009FE"/>
    <w:rPr>
      <w:sz w:val="20"/>
      <w:szCs w:val="20"/>
    </w:rPr>
  </w:style>
  <w:style w:type="character" w:styleId="FootnoteReference">
    <w:name w:val="footnote reference"/>
    <w:basedOn w:val="DefaultParagraphFont"/>
    <w:uiPriority w:val="99"/>
    <w:semiHidden/>
    <w:unhideWhenUsed/>
    <w:rsid w:val="003009FE"/>
    <w:rPr>
      <w:vertAlign w:val="superscript"/>
    </w:rPr>
  </w:style>
  <w:style w:type="paragraph" w:customStyle="1" w:styleId="Blue12">
    <w:name w:val="Blue 12"/>
    <w:basedOn w:val="Blue22"/>
    <w:autoRedefine/>
    <w:qFormat/>
    <w:rsid w:val="000707DC"/>
    <w:pPr>
      <w:spacing w:after="240"/>
    </w:pPr>
    <w:rPr>
      <w:sz w:val="24"/>
    </w:rPr>
  </w:style>
  <w:style w:type="paragraph" w:customStyle="1" w:styleId="Blue22">
    <w:name w:val="Blue 22"/>
    <w:basedOn w:val="Heading1"/>
    <w:link w:val="Blue22Char"/>
    <w:qFormat/>
    <w:rsid w:val="000707DC"/>
  </w:style>
  <w:style w:type="character" w:customStyle="1" w:styleId="Blue22Char">
    <w:name w:val="Blue 22 Char"/>
    <w:basedOn w:val="Heading1Char"/>
    <w:link w:val="Blue22"/>
    <w:rsid w:val="000707DC"/>
    <w:rPr>
      <w:rFonts w:asciiTheme="majorHAnsi" w:eastAsiaTheme="majorEastAsia" w:hAnsiTheme="majorHAnsi" w:cstheme="majorBidi"/>
      <w:b w:val="0"/>
      <w:color w:val="27639B"/>
      <w:kern w:val="2"/>
      <w:sz w:val="44"/>
      <w:szCs w:val="32"/>
      <w14:ligatures w14:val="standardContextual"/>
    </w:rPr>
  </w:style>
  <w:style w:type="paragraph" w:customStyle="1" w:styleId="Tableheader2">
    <w:name w:val="Table header 2"/>
    <w:basedOn w:val="Normal"/>
    <w:link w:val="Tableheader2Char"/>
    <w:qFormat/>
    <w:rsid w:val="004477DE"/>
    <w:pPr>
      <w:shd w:val="clear" w:color="auto" w:fill="BFBFBF" w:themeFill="background1" w:themeFillShade="BF"/>
      <w:spacing w:before="60" w:after="60"/>
    </w:pPr>
    <w:rPr>
      <w:b/>
    </w:rPr>
  </w:style>
  <w:style w:type="character" w:customStyle="1" w:styleId="Tableheader2Char">
    <w:name w:val="Table header 2 Char"/>
    <w:basedOn w:val="DefaultParagraphFont"/>
    <w:link w:val="Tableheader2"/>
    <w:rsid w:val="004477DE"/>
    <w:rPr>
      <w:b/>
      <w:kern w:val="2"/>
      <w:shd w:val="clear" w:color="auto" w:fill="BFBFBF" w:themeFill="background1" w:themeFillShade="BF"/>
      <w14:ligatures w14:val="standardContextual"/>
    </w:rPr>
  </w:style>
  <w:style w:type="paragraph" w:styleId="TableofFigures">
    <w:name w:val="table of figures"/>
    <w:basedOn w:val="Normal"/>
    <w:next w:val="Normal"/>
    <w:uiPriority w:val="99"/>
    <w:semiHidden/>
    <w:unhideWhenUsed/>
    <w:rsid w:val="000707DC"/>
  </w:style>
  <w:style w:type="paragraph" w:customStyle="1" w:styleId="Blue10">
    <w:name w:val="Blue 10"/>
    <w:basedOn w:val="Heading2"/>
    <w:next w:val="NoSpacing"/>
    <w:autoRedefine/>
    <w:qFormat/>
    <w:rsid w:val="000707DC"/>
    <w:rPr>
      <w:b w:val="0"/>
      <w:sz w:val="20"/>
    </w:rPr>
  </w:style>
  <w:style w:type="paragraph" w:customStyle="1" w:styleId="Style1">
    <w:name w:val="Style1"/>
    <w:basedOn w:val="ListParagraph"/>
    <w:link w:val="Style1Char"/>
    <w:qFormat/>
    <w:rsid w:val="000707DC"/>
    <w:pPr>
      <w:numPr>
        <w:numId w:val="3"/>
      </w:numPr>
      <w:tabs>
        <w:tab w:val="clear" w:pos="720"/>
      </w:tabs>
      <w:ind w:left="459" w:hanging="360"/>
      <w:contextualSpacing w:val="0"/>
    </w:pPr>
    <w:rPr>
      <w:rFonts w:ascii="Calibri" w:hAnsi="Calibri" w:cstheme="minorHAnsi"/>
      <w:spacing w:val="-4"/>
    </w:rPr>
  </w:style>
  <w:style w:type="character" w:customStyle="1" w:styleId="Style1Char">
    <w:name w:val="Style1 Char"/>
    <w:basedOn w:val="DefaultParagraphFont"/>
    <w:link w:val="Style1"/>
    <w:rsid w:val="000707DC"/>
    <w:rPr>
      <w:rFonts w:ascii="Calibri" w:hAnsi="Calibri" w:cstheme="minorHAnsi"/>
      <w:spacing w:val="-4"/>
    </w:rPr>
  </w:style>
  <w:style w:type="paragraph" w:customStyle="1" w:styleId="Style2">
    <w:name w:val="Style2"/>
    <w:basedOn w:val="Normal"/>
    <w:link w:val="Style2Char"/>
    <w:qFormat/>
    <w:rsid w:val="0032295A"/>
    <w:pPr>
      <w:spacing w:before="120" w:after="120"/>
      <w:ind w:right="283"/>
    </w:pPr>
    <w:rPr>
      <w:rFonts w:cstheme="minorHAnsi"/>
      <w:color w:val="5F5F5F"/>
      <w:sz w:val="20"/>
      <w:lang w:val="en-US" w:eastAsia="en-AU"/>
    </w:rPr>
  </w:style>
  <w:style w:type="character" w:customStyle="1" w:styleId="Style2Char">
    <w:name w:val="Style2 Char"/>
    <w:basedOn w:val="DefaultParagraphFont"/>
    <w:link w:val="Style2"/>
    <w:rsid w:val="0032295A"/>
    <w:rPr>
      <w:rFonts w:cstheme="minorHAnsi"/>
      <w:color w:val="5F5F5F"/>
      <w:kern w:val="2"/>
      <w:sz w:val="20"/>
      <w:lang w:val="en-US" w:eastAsia="en-AU"/>
      <w14:ligatures w14:val="standardContextual"/>
    </w:rPr>
  </w:style>
  <w:style w:type="character" w:styleId="Strong">
    <w:name w:val="Strong"/>
    <w:uiPriority w:val="22"/>
    <w:qFormat/>
    <w:rsid w:val="00971F60"/>
    <w:rPr>
      <w:b/>
      <w:bCs/>
    </w:rPr>
  </w:style>
  <w:style w:type="paragraph" w:customStyle="1" w:styleId="Green22">
    <w:name w:val="Green 22"/>
    <w:basedOn w:val="Heading1"/>
    <w:link w:val="Green22Char"/>
    <w:autoRedefine/>
    <w:qFormat/>
    <w:rsid w:val="00565F3A"/>
    <w:pPr>
      <w:spacing w:before="0"/>
    </w:pPr>
    <w:rPr>
      <w:b/>
      <w:color w:val="538135" w:themeColor="accent6" w:themeShade="BF"/>
      <w:sz w:val="44"/>
    </w:rPr>
  </w:style>
  <w:style w:type="character" w:customStyle="1" w:styleId="Green22Char">
    <w:name w:val="Green 22 Char"/>
    <w:basedOn w:val="Heading1Char"/>
    <w:link w:val="Green22"/>
    <w:rsid w:val="00565F3A"/>
    <w:rPr>
      <w:rFonts w:asciiTheme="majorHAnsi" w:eastAsiaTheme="majorEastAsia" w:hAnsiTheme="majorHAnsi" w:cstheme="majorBidi"/>
      <w:b/>
      <w:color w:val="538135" w:themeColor="accent6" w:themeShade="BF"/>
      <w:kern w:val="2"/>
      <w:sz w:val="44"/>
      <w:szCs w:val="32"/>
      <w14:ligatures w14:val="standardContextual"/>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2A6393"/>
    <w:rPr>
      <w:kern w:val="2"/>
      <w14:ligatures w14:val="standardContextual"/>
    </w:rPr>
  </w:style>
  <w:style w:type="character" w:styleId="Mention">
    <w:name w:val="Mention"/>
    <w:basedOn w:val="DefaultParagraphFont"/>
    <w:uiPriority w:val="99"/>
    <w:unhideWhenUsed/>
    <w:rsid w:val="00DC4AF0"/>
    <w:rPr>
      <w:color w:val="2B579A"/>
      <w:shd w:val="clear" w:color="auto" w:fill="E1DFDD"/>
    </w:rPr>
  </w:style>
  <w:style w:type="character" w:customStyle="1" w:styleId="cf01">
    <w:name w:val="cf01"/>
    <w:basedOn w:val="DefaultParagraphFont"/>
    <w:rsid w:val="005354BA"/>
    <w:rPr>
      <w:rFonts w:ascii="Segoe UI" w:hAnsi="Segoe UI" w:cs="Segoe UI" w:hint="default"/>
      <w:i/>
      <w:iCs/>
      <w:sz w:val="18"/>
      <w:szCs w:val="18"/>
    </w:rPr>
  </w:style>
  <w:style w:type="character" w:customStyle="1" w:styleId="ui-provider">
    <w:name w:val="ui-provider"/>
    <w:basedOn w:val="DefaultParagraphFont"/>
    <w:rsid w:val="0061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opsema.gov.au/sites/default/files/documents/2021-03/A336398.8.pdf" TargetMode="External"/><Relationship Id="rId3" Type="http://schemas.openxmlformats.org/officeDocument/2006/relationships/customXml" Target="../customXml/item3.xml"/><Relationship Id="rId21" Type="http://schemas.openxmlformats.org/officeDocument/2006/relationships/hyperlink" Target="https://www.nopta.gov.au/_documents/fact-sheets/Offshore-Carbon-Capture-and-Storage-Regulatory-Approvals-2023.pdf"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nopsema.gov.au/sites/default/files/documents/N-04300-GN0166%20-%20ALARP%20%28A138249%29.pdf"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opta.gov.au/" TargetMode="External"/><Relationship Id="rId29" Type="http://schemas.openxmlformats.org/officeDocument/2006/relationships/hyperlink" Target="https://www.nopsema.gov.au/sites/default/files/documents/2021-03/A1224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opsema.gov.au/sites/default/files/documents/2021-03/A122420.pdf"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opta.gov.au/_documents/guidelines/GHG-Guideline-Declaration-of-Storage-Formation.pdf" TargetMode="External"/><Relationship Id="rId28" Type="http://schemas.openxmlformats.org/officeDocument/2006/relationships/hyperlink" Target="https://www.nopsema.gov.au/sites/default/files/documents/2021-04/A739345.pdf"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comlaw.gov.au/Series/C2006A00014"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legislation.gov.au/F2023L01551" TargetMode="External"/><Relationship Id="rId27" Type="http://schemas.openxmlformats.org/officeDocument/2006/relationships/hyperlink" Target="https://www.nopta.gov.au/_documents/fact-sheets/Offshore-Carbon-Capture-and-Storage-Regulatory-Approvals-2023.pdf" TargetMode="External"/><Relationship Id="rId30" Type="http://schemas.openxmlformats.org/officeDocument/2006/relationships/hyperlink" Target="mailto:ghg@nopta.gov.au" TargetMode="Externa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2C89A8D7623F46F88A15EF133A706EA0" version="1.0.0">
  <systemFields>
    <field name="Objective-Id">
      <value order="0">A1095976</value>
    </field>
    <field name="Objective-Title">
      <value order="0">NOPTA Draft Fact Sheet Risk Assessment for NOPSEMA Review 12 June 24 - CCS Team Review</value>
    </field>
    <field name="Objective-Description">
      <value order="0"/>
    </field>
    <field name="Objective-CreationStamp">
      <value order="0">2024-06-17T05:00:00Z</value>
    </field>
    <field name="Objective-IsApproved">
      <value order="0">false</value>
    </field>
    <field name="Objective-IsPublished">
      <value order="0">true</value>
    </field>
    <field name="Objective-DatePublished">
      <value order="0">2024-06-25T07:56:49Z</value>
    </field>
    <field name="Objective-ModificationStamp">
      <value order="0">2024-06-25T07:56:49Z</value>
    </field>
    <field name="Objective-Owner">
      <value order="0">Geoff Barker</value>
    </field>
    <field name="Objective-Path">
      <value order="0">Objective Global Folder:File Plan:Regulatory Relations:Legislation:Development of Legislative Changes:GHG Injection and Storage Regulations - Review - 2022--2024</value>
    </field>
    <field name="Objective-Parent">
      <value order="0">GHG Injection and Storage Regulations - Review - 2022--2024</value>
    </field>
    <field name="Objective-State">
      <value order="0">Published</value>
    </field>
    <field name="Objective-VersionId">
      <value order="0">vA2136278</value>
    </field>
    <field name="Objective-Version">
      <value order="0">2.0</value>
    </field>
    <field name="Objective-VersionNumber">
      <value order="0">9</value>
    </field>
    <field name="Objective-VersionComment">
      <value order="0"/>
    </field>
    <field name="Objective-FileNumber">
      <value order="0">C26007</value>
    </field>
    <field name="Objective-Classification">
      <value order="0">OFFICIAL: Sensitive</value>
    </field>
    <field name="Objective-Caveats">
      <value order="0"/>
    </field>
  </systemFields>
  <catalogues>
    <catalogue name="Document - Internal Type Catalogue" type="type" ori="id:cA5">
      <field name="Objective-IMM (prev DLM)">
        <value order="0"/>
      </field>
      <field name="Objective-Internal Author">
        <value order="0">Peter Young</value>
      </field>
      <field name="Objective-Date of Document">
        <value order="0">2024-06-14T16:00:00Z</value>
      </field>
      <field name="Objective-Duty Holders and Organisations">
        <value order="0"/>
      </field>
      <field name="Objective-Facility">
        <value order="0"/>
      </field>
      <field name="Objective-RMS ID">
        <value order="0"/>
      </field>
      <field name="Objective-Monthly Injury Summary ID">
        <value order="0"/>
      </field>
      <field name="Objective-Organisation">
        <value order="0"/>
      </field>
      <field name="Objective-Action History">
        <value order="0"/>
      </field>
      <field name="Objective-Approved for External Publication">
        <value order="0">No</value>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012054d-3a07-4b40-940b-a148fc76e5c4">NOPTANET-2013565408-586</_dlc_DocId>
    <_dlc_DocIdUrl xmlns="7012054d-3a07-4b40-940b-a148fc76e5c4">
      <Url>https://nopta.sharepoint.com/team/TT/_layouts/15/DocIdRedir.aspx?ID=NOPTANET-2013565408-586</Url>
      <Description>NOPTANET-2013565408-586</Description>
    </_dlc_DocIdUrl>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Legislation xmlns="e24b6844-fd35-4c7c-a0c3-e85a04fb1d4a" xsi:nil="true"/>
    <Part xmlns="e24b6844-fd35-4c7c-a0c3-e85a04fb1d4a" xsi:nil="true"/>
    <NodCategory xmlns="7012054d-3a07-4b40-940b-a148fc76e5c4">Application</NodCategory>
    <NodDocumentUtility xmlns="7012054d-3a07-4b40-940b-a148fc76e5c4">
      <Value>External</Value>
    </NodDocumentUtility>
    <NodTeamOwner xmlns="7012054d-3a07-4b40-940b-a148fc76e5c4">Titles</NodTeamOwner>
    <Section xmlns="e24b6844-fd35-4c7c-a0c3-e85a04fb1d4a" xsi:nil="true"/>
    <NodReviewDate xmlns="7012054d-3a07-4b40-940b-a148fc76e5c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EDCD-9FC0-4939-A17E-07B1B6267BFD}">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3.xml><?xml version="1.0" encoding="utf-8"?>
<ds:datastoreItem xmlns:ds="http://schemas.openxmlformats.org/officeDocument/2006/customXml" ds:itemID="{1380B22A-9983-4C51-A08C-3127246A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2A61E-AE6E-498D-A86A-845B19933106}">
  <ds:schemaRefs>
    <ds:schemaRef ds:uri="http://schemas.microsoft.com/sharepoint/events"/>
  </ds:schemaRefs>
</ds:datastoreItem>
</file>

<file path=customXml/itemProps5.xml><?xml version="1.0" encoding="utf-8"?>
<ds:datastoreItem xmlns:ds="http://schemas.openxmlformats.org/officeDocument/2006/customXml" ds:itemID="{4527FAEF-1AE3-44E6-A54E-AD1A65DEFC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012054d-3a07-4b40-940b-a148fc76e5c4"/>
    <ds:schemaRef ds:uri="5fca5163-9ce5-48c5-93c4-923f0a25b977"/>
    <ds:schemaRef ds:uri="http://purl.org/dc/terms/"/>
    <ds:schemaRef ds:uri="e24b6844-fd35-4c7c-a0c3-e85a04fb1d4a"/>
    <ds:schemaRef ds:uri="http://www.w3.org/XML/1998/namespace"/>
    <ds:schemaRef ds:uri="http://purl.org/dc/dcmitype/"/>
  </ds:schemaRefs>
</ds:datastoreItem>
</file>

<file path=customXml/itemProps6.xml><?xml version="1.0" encoding="utf-8"?>
<ds:datastoreItem xmlns:ds="http://schemas.openxmlformats.org/officeDocument/2006/customXml" ds:itemID="{414BB7D6-07FF-495E-B954-1C4AC27D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3475</Words>
  <Characters>19812</Characters>
  <Application>Microsoft Office Word</Application>
  <DocSecurity>0</DocSecurity>
  <Lines>165</Lines>
  <Paragraphs>46</Paragraphs>
  <ScaleCrop>false</ScaleCrop>
  <Company/>
  <LinksUpToDate>false</LinksUpToDate>
  <CharactersWithSpaces>23241</CharactersWithSpaces>
  <SharedDoc>false</SharedDoc>
  <HLinks>
    <vt:vector size="84" baseType="variant">
      <vt:variant>
        <vt:i4>7143446</vt:i4>
      </vt:variant>
      <vt:variant>
        <vt:i4>33</vt:i4>
      </vt:variant>
      <vt:variant>
        <vt:i4>0</vt:i4>
      </vt:variant>
      <vt:variant>
        <vt:i4>5</vt:i4>
      </vt:variant>
      <vt:variant>
        <vt:lpwstr>mailto:ghg@nopta.gov.au</vt:lpwstr>
      </vt:variant>
      <vt:variant>
        <vt:lpwstr/>
      </vt:variant>
      <vt:variant>
        <vt:i4>327683</vt:i4>
      </vt:variant>
      <vt:variant>
        <vt:i4>30</vt:i4>
      </vt:variant>
      <vt:variant>
        <vt:i4>0</vt:i4>
      </vt:variant>
      <vt:variant>
        <vt:i4>5</vt:i4>
      </vt:variant>
      <vt:variant>
        <vt:lpwstr>https://www.nopsema.gov.au/sites/default/files/documents/2021-03/A122420.pdf</vt:lpwstr>
      </vt:variant>
      <vt:variant>
        <vt:lpwstr/>
      </vt:variant>
      <vt:variant>
        <vt:i4>65544</vt:i4>
      </vt:variant>
      <vt:variant>
        <vt:i4>27</vt:i4>
      </vt:variant>
      <vt:variant>
        <vt:i4>0</vt:i4>
      </vt:variant>
      <vt:variant>
        <vt:i4>5</vt:i4>
      </vt:variant>
      <vt:variant>
        <vt:lpwstr>https://www.nopsema.gov.au/sites/default/files/documents/2021-04/A739345.pdf</vt:lpwstr>
      </vt:variant>
      <vt:variant>
        <vt:lpwstr/>
      </vt:variant>
      <vt:variant>
        <vt:i4>2228248</vt:i4>
      </vt:variant>
      <vt:variant>
        <vt:i4>24</vt:i4>
      </vt:variant>
      <vt:variant>
        <vt:i4>0</vt:i4>
      </vt:variant>
      <vt:variant>
        <vt:i4>5</vt:i4>
      </vt:variant>
      <vt:variant>
        <vt:lpwstr>https://www.nopta.gov.au/_documents/fact-sheets/Offshore-Carbon-Capture-and-Storage-Regulatory-Approvals-2023.pdf</vt:lpwstr>
      </vt:variant>
      <vt:variant>
        <vt:lpwstr/>
      </vt:variant>
      <vt:variant>
        <vt:i4>3342368</vt:i4>
      </vt:variant>
      <vt:variant>
        <vt:i4>21</vt:i4>
      </vt:variant>
      <vt:variant>
        <vt:i4>0</vt:i4>
      </vt:variant>
      <vt:variant>
        <vt:i4>5</vt:i4>
      </vt:variant>
      <vt:variant>
        <vt:lpwstr>https://www.nopsema.gov.au/sites/default/files/documents/2021-03/A336398.8.pdf</vt:lpwstr>
      </vt:variant>
      <vt:variant>
        <vt:lpwstr/>
      </vt:variant>
      <vt:variant>
        <vt:i4>4915226</vt:i4>
      </vt:variant>
      <vt:variant>
        <vt:i4>18</vt:i4>
      </vt:variant>
      <vt:variant>
        <vt:i4>0</vt:i4>
      </vt:variant>
      <vt:variant>
        <vt:i4>5</vt:i4>
      </vt:variant>
      <vt:variant>
        <vt:lpwstr>https://www.nopsema.gov.au/sites/default/files/documents/N-04300-GN0166 - ALARP %28A138249%29.pdf</vt:lpwstr>
      </vt:variant>
      <vt:variant>
        <vt:lpwstr/>
      </vt:variant>
      <vt:variant>
        <vt:i4>327683</vt:i4>
      </vt:variant>
      <vt:variant>
        <vt:i4>15</vt:i4>
      </vt:variant>
      <vt:variant>
        <vt:i4>0</vt:i4>
      </vt:variant>
      <vt:variant>
        <vt:i4>5</vt:i4>
      </vt:variant>
      <vt:variant>
        <vt:lpwstr>https://www.nopsema.gov.au/sites/default/files/documents/2021-03/A122420.pdf</vt:lpwstr>
      </vt:variant>
      <vt:variant>
        <vt:lpwstr/>
      </vt:variant>
      <vt:variant>
        <vt:i4>6815765</vt:i4>
      </vt:variant>
      <vt:variant>
        <vt:i4>12</vt:i4>
      </vt:variant>
      <vt:variant>
        <vt:i4>0</vt:i4>
      </vt:variant>
      <vt:variant>
        <vt:i4>5</vt:i4>
      </vt:variant>
      <vt:variant>
        <vt:lpwstr>https://www.nopta.gov.au/_documents/guidelines/GHG-Guideline-Declaration-of-Storage-Formation.pdf</vt:lpwstr>
      </vt:variant>
      <vt:variant>
        <vt:lpwstr/>
      </vt:variant>
      <vt:variant>
        <vt:i4>7864425</vt:i4>
      </vt:variant>
      <vt:variant>
        <vt:i4>9</vt:i4>
      </vt:variant>
      <vt:variant>
        <vt:i4>0</vt:i4>
      </vt:variant>
      <vt:variant>
        <vt:i4>5</vt:i4>
      </vt:variant>
      <vt:variant>
        <vt:lpwstr>https://www.legislation.gov.au/F2023L01551</vt:lpwstr>
      </vt:variant>
      <vt:variant>
        <vt:lpwstr/>
      </vt:variant>
      <vt:variant>
        <vt:i4>2228248</vt:i4>
      </vt:variant>
      <vt:variant>
        <vt:i4>6</vt:i4>
      </vt:variant>
      <vt:variant>
        <vt:i4>0</vt:i4>
      </vt:variant>
      <vt:variant>
        <vt:i4>5</vt:i4>
      </vt:variant>
      <vt:variant>
        <vt:lpwstr>https://www.nopta.gov.au/_documents/fact-sheets/Offshore-Carbon-Capture-and-Storage-Regulatory-Approvals-2023.pdf</vt:lpwstr>
      </vt:variant>
      <vt:variant>
        <vt:lpwstr/>
      </vt:variant>
      <vt:variant>
        <vt:i4>4784207</vt:i4>
      </vt:variant>
      <vt:variant>
        <vt:i4>3</vt:i4>
      </vt:variant>
      <vt:variant>
        <vt:i4>0</vt:i4>
      </vt:variant>
      <vt:variant>
        <vt:i4>5</vt:i4>
      </vt:variant>
      <vt:variant>
        <vt:lpwstr>https://www.nopta.gov.au/</vt:lpwstr>
      </vt:variant>
      <vt:variant>
        <vt:lpwstr/>
      </vt:variant>
      <vt:variant>
        <vt:i4>7798881</vt:i4>
      </vt:variant>
      <vt:variant>
        <vt:i4>0</vt:i4>
      </vt:variant>
      <vt:variant>
        <vt:i4>0</vt:i4>
      </vt:variant>
      <vt:variant>
        <vt:i4>5</vt:i4>
      </vt:variant>
      <vt:variant>
        <vt:lpwstr>http://www.comlaw.gov.au/Series/C2006A00014</vt:lpwstr>
      </vt:variant>
      <vt:variant>
        <vt:lpwstr/>
      </vt:variant>
      <vt:variant>
        <vt:i4>720977</vt:i4>
      </vt:variant>
      <vt:variant>
        <vt:i4>0</vt:i4>
      </vt:variant>
      <vt:variant>
        <vt:i4>0</vt:i4>
      </vt:variant>
      <vt:variant>
        <vt:i4>5</vt:i4>
      </vt:variant>
      <vt:variant>
        <vt:lpwstr>http://www.nopta.gov.au/</vt:lpwstr>
      </vt:variant>
      <vt:variant>
        <vt:lpwstr/>
      </vt:variant>
      <vt:variant>
        <vt:i4>7405669</vt:i4>
      </vt:variant>
      <vt:variant>
        <vt:i4>0</vt:i4>
      </vt:variant>
      <vt:variant>
        <vt:i4>0</vt:i4>
      </vt:variant>
      <vt:variant>
        <vt:i4>5</vt:i4>
      </vt:variant>
      <vt:variant>
        <vt:lpwstr>https://www.stylemanual.gov.au/referencing-and-attribution/legal-material/schedules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Signatures - NOTIFICATION AND NOMINATION</dc:title>
  <dc:subject/>
  <dc:creator>Erebi Cocodia</dc:creator>
  <cp:keywords>Expiry; Fact Sheet; Update; 2019</cp:keywords>
  <dc:description/>
  <cp:lastModifiedBy>Anita Cloherty</cp:lastModifiedBy>
  <cp:revision>2</cp:revision>
  <cp:lastPrinted>2024-12-23T07:49:00Z</cp:lastPrinted>
  <dcterms:created xsi:type="dcterms:W3CDTF">2025-01-09T03:37:00Z</dcterms:created>
  <dcterms:modified xsi:type="dcterms:W3CDTF">2025-01-09T03:37:00Z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0x010100F8645BF632A9D54BB9622FA6FB859D2F001D957317C476814FAAB44FC1E0C5D83B</vt:lpwstr>
  </property>
  <property fmtid="{D5CDD505-2E9C-101B-9397-08002B2CF9AE}" pid="3" name="TaxKeyword">
    <vt:lpwstr>6404;#2019|0d4b2025-f4d9-4859-ae2f-d0ddac03352a;#2945;#Expiry|300d2a10-54c8-47ff-95c8-7042523cd3cb;#4743;#Fact Sheet|c8106091-7e43-4935-8b69-58d4615415a2;#2566;#Update|ac07edfc-18f8-47a4-8e88-0956e4d44938</vt:lpwstr>
  </property>
  <property fmtid="{D5CDD505-2E9C-101B-9397-08002B2CF9AE}" pid="4" name="BusinessFunction">
    <vt:lpwstr>573</vt:lpwstr>
  </property>
  <property fmtid="{D5CDD505-2E9C-101B-9397-08002B2CF9AE}" pid="5" name="_dlc_DocIdItemGuid">
    <vt:lpwstr>ca86d564-0dec-4897-b78e-78d2ab939fd9</vt:lpwstr>
  </property>
  <property fmtid="{D5CDD505-2E9C-101B-9397-08002B2CF9AE}" pid="6" name="Team">
    <vt:lpwstr>424;#Legislative Compliance|cb4b5b1d-0a66-42b0-ad54-d9e1e7b82ef0</vt:lpwstr>
  </property>
  <property fmtid="{D5CDD505-2E9C-101B-9397-08002B2CF9AE}" pid="7" name="Titles">
    <vt:lpwstr/>
  </property>
  <property fmtid="{D5CDD505-2E9C-101B-9397-08002B2CF9AE}" pid="8" name="Title Type">
    <vt:lpwstr/>
  </property>
  <property fmtid="{D5CDD505-2E9C-101B-9397-08002B2CF9AE}" pid="9" name="DocumentType">
    <vt:lpwstr>125;#Fact Sheet|d3f18156-6d06-4b36-b33d-bc546f991cd2</vt:lpwstr>
  </property>
  <property fmtid="{D5CDD505-2E9C-101B-9397-08002B2CF9AE}" pid="10" name="Comments">
    <vt:lpwstr/>
  </property>
  <property fmtid="{D5CDD505-2E9C-101B-9397-08002B2CF9AE}" pid="11" name="Offshore Region">
    <vt:lpwstr/>
  </property>
  <property fmtid="{D5CDD505-2E9C-101B-9397-08002B2CF9AE}" pid="12" name="Application Library">
    <vt:lpwstr/>
  </property>
  <property fmtid="{D5CDD505-2E9C-101B-9397-08002B2CF9AE}" pid="13" name="RecordPoint_WorkflowType">
    <vt:lpwstr>ActiveSubmitStub</vt:lpwstr>
  </property>
  <property fmtid="{D5CDD505-2E9C-101B-9397-08002B2CF9AE}" pid="14" name="RecordPoint_ActiveItemWebId">
    <vt:lpwstr>{534ecb78-ceec-4263-97fc-d32ad715d31f}</vt:lpwstr>
  </property>
  <property fmtid="{D5CDD505-2E9C-101B-9397-08002B2CF9AE}" pid="15" name="RecordPoint_ActiveItemSiteId">
    <vt:lpwstr>{d02ec70a-6101-41fa-8072-ecbec6fd4fd8}</vt:lpwstr>
  </property>
  <property fmtid="{D5CDD505-2E9C-101B-9397-08002B2CF9AE}" pid="16" name="RecordPoint_ActiveItemListId">
    <vt:lpwstr>{478775bc-9c4f-4f34-ba66-087519ae94a1}</vt:lpwstr>
  </property>
  <property fmtid="{D5CDD505-2E9C-101B-9397-08002B2CF9AE}" pid="17" name="RecordPoint_ActiveItemUniqueId">
    <vt:lpwstr>{d5b71334-00e2-487a-aefc-84304204e32c}</vt:lpwstr>
  </property>
  <property fmtid="{D5CDD505-2E9C-101B-9397-08002B2CF9AE}" pid="18" name="RecordPoint_RecordNumberSubmitted">
    <vt:lpwstr>R0000164496</vt:lpwstr>
  </property>
  <property fmtid="{D5CDD505-2E9C-101B-9397-08002B2CF9AE}" pid="19" name="RecordPoint_SubmissionCompleted">
    <vt:lpwstr>2018-10-04T13:09:04.9781436+08:00</vt:lpwstr>
  </property>
  <property fmtid="{D5CDD505-2E9C-101B-9397-08002B2CF9AE}" pid="20" name="URL">
    <vt:lpwstr/>
  </property>
  <property fmtid="{D5CDD505-2E9C-101B-9397-08002B2CF9AE}" pid="21" name="_docset_NoMedatataSyncRequired">
    <vt:lpwstr>False</vt:lpwstr>
  </property>
  <property fmtid="{D5CDD505-2E9C-101B-9397-08002B2CF9AE}" pid="22" name="Business Function">
    <vt:lpwstr>573;#External Guidance|b09c6caf-08fd-461c-b4ef-37c1e36f5aed</vt:lpwstr>
  </property>
  <property fmtid="{D5CDD505-2E9C-101B-9397-08002B2CF9AE}" pid="23" name="ClassificationContentMarkingHeaderShapeIds">
    <vt:lpwstr>3,4,5,6,8,9</vt:lpwstr>
  </property>
  <property fmtid="{D5CDD505-2E9C-101B-9397-08002B2CF9AE}" pid="24" name="ClassificationContentMarkingHeaderFontProps">
    <vt:lpwstr>#ff0000,11,Arial</vt:lpwstr>
  </property>
  <property fmtid="{D5CDD505-2E9C-101B-9397-08002B2CF9AE}" pid="25" name="ClassificationContentMarkingHeaderText">
    <vt:lpwstr>OFFICIAL</vt:lpwstr>
  </property>
  <property fmtid="{D5CDD505-2E9C-101B-9397-08002B2CF9AE}" pid="26" name="ClassificationContentMarkingFooterShapeIds">
    <vt:lpwstr>a,b,c,d,e,f</vt:lpwstr>
  </property>
  <property fmtid="{D5CDD505-2E9C-101B-9397-08002B2CF9AE}" pid="27" name="ClassificationContentMarkingFooterFontProps">
    <vt:lpwstr>#ff0000,11,Arial</vt:lpwstr>
  </property>
  <property fmtid="{D5CDD505-2E9C-101B-9397-08002B2CF9AE}" pid="28" name="ClassificationContentMarkingFooterText">
    <vt:lpwstr>OFFICIAL</vt:lpwstr>
  </property>
  <property fmtid="{D5CDD505-2E9C-101B-9397-08002B2CF9AE}" pid="29" name="MSIP_Label_e1435138-3fd2-487f-a40f-8ee2b61234c9_Enabled">
    <vt:lpwstr>true</vt:lpwstr>
  </property>
  <property fmtid="{D5CDD505-2E9C-101B-9397-08002B2CF9AE}" pid="30" name="MSIP_Label_e1435138-3fd2-487f-a40f-8ee2b61234c9_SetDate">
    <vt:lpwstr>2022-01-20T02:50:37Z</vt:lpwstr>
  </property>
  <property fmtid="{D5CDD505-2E9C-101B-9397-08002B2CF9AE}" pid="31" name="MSIP_Label_e1435138-3fd2-487f-a40f-8ee2b61234c9_Method">
    <vt:lpwstr>Privileged</vt:lpwstr>
  </property>
  <property fmtid="{D5CDD505-2E9C-101B-9397-08002B2CF9AE}" pid="32" name="MSIP_Label_e1435138-3fd2-487f-a40f-8ee2b61234c9_Name">
    <vt:lpwstr>e1435138-3fd2-487f-a40f-8ee2b61234c9</vt:lpwstr>
  </property>
  <property fmtid="{D5CDD505-2E9C-101B-9397-08002B2CF9AE}" pid="33" name="MSIP_Label_e1435138-3fd2-487f-a40f-8ee2b61234c9_SiteId">
    <vt:lpwstr>2940859f-ee86-4ee3-848f-02ac9eba62b2</vt:lpwstr>
  </property>
  <property fmtid="{D5CDD505-2E9C-101B-9397-08002B2CF9AE}" pid="34" name="MSIP_Label_e1435138-3fd2-487f-a40f-8ee2b61234c9_ActionId">
    <vt:lpwstr>2da62e61-79ba-437f-965b-9cc561a6b67d</vt:lpwstr>
  </property>
  <property fmtid="{D5CDD505-2E9C-101B-9397-08002B2CF9AE}" pid="35" name="MSIP_Label_e1435138-3fd2-487f-a40f-8ee2b61234c9_ContentBits">
    <vt:lpwstr>3</vt:lpwstr>
  </property>
  <property fmtid="{D5CDD505-2E9C-101B-9397-08002B2CF9AE}" pid="36" name="Team_Note">
    <vt:lpwstr>Legislative Compliance|cb4b5b1d-0a66-42b0-ad54-d9e1e7b82ef0</vt:lpwstr>
  </property>
  <property fmtid="{D5CDD505-2E9C-101B-9397-08002B2CF9AE}" pid="37" name="DocumentType_Note">
    <vt:lpwstr>Fact Sheet|d3f18156-6d06-4b36-b33d-bc546f991cd2</vt:lpwstr>
  </property>
  <property fmtid="{D5CDD505-2E9C-101B-9397-08002B2CF9AE}" pid="38" name="Jurisdiction">
    <vt:lpwstr>;#AU;#</vt:lpwstr>
  </property>
  <property fmtid="{D5CDD505-2E9C-101B-9397-08002B2CF9AE}" pid="39" name="CaveatCategory">
    <vt:lpwstr>DLM: For Official Use Only</vt:lpwstr>
  </property>
  <property fmtid="{D5CDD505-2E9C-101B-9397-08002B2CF9AE}" pid="40" name="SecurityClassification">
    <vt:lpwstr>OFFICIAL: Sensitive</vt:lpwstr>
  </property>
  <property fmtid="{D5CDD505-2E9C-101B-9397-08002B2CF9AE}" pid="41" name="RightsStatus">
    <vt:lpwstr>Open</vt:lpwstr>
  </property>
  <property fmtid="{D5CDD505-2E9C-101B-9397-08002B2CF9AE}" pid="42" name="TaxKeywordTaxHTField">
    <vt:lpwstr>2019|0d4b2025-f4d9-4859-ae2f-d0ddac03352a;Expiry|300d2a10-54c8-47ff-95c8-7042523cd3cb;Fact Sheet|c8106091-7e43-4935-8b69-58d4615415a2;Update|ac07edfc-18f8-47a4-8e88-0956e4d44938</vt:lpwstr>
  </property>
  <property fmtid="{D5CDD505-2E9C-101B-9397-08002B2CF9AE}" pid="43" name="FormatName">
    <vt:lpwstr>Word</vt:lpwstr>
  </property>
  <property fmtid="{D5CDD505-2E9C-101B-9397-08002B2CF9AE}" pid="44" name="JurisdictionalCoverage">
    <vt:lpwstr>;#Commonwealth of Australia (AU);#</vt:lpwstr>
  </property>
  <property fmtid="{D5CDD505-2E9C-101B-9397-08002B2CF9AE}" pid="45" name="CaveatText">
    <vt:lpwstr>PSPF</vt:lpwstr>
  </property>
  <property fmtid="{D5CDD505-2E9C-101B-9397-08002B2CF9AE}" pid="46" name="FormatVersion">
    <vt:lpwstr>2013</vt:lpwstr>
  </property>
  <property fmtid="{D5CDD505-2E9C-101B-9397-08002B2CF9AE}" pid="47" name="CreatingApplicationVersion">
    <vt:lpwstr>2013</vt:lpwstr>
  </property>
  <property fmtid="{D5CDD505-2E9C-101B-9397-08002B2CF9AE}" pid="48" name="RightsStatement">
    <vt:lpwstr>NOPTA Members Only</vt:lpwstr>
  </property>
  <property fmtid="{D5CDD505-2E9C-101B-9397-08002B2CF9AE}" pid="49" name="AssignedTo">
    <vt:lpwstr/>
  </property>
  <property fmtid="{D5CDD505-2E9C-101B-9397-08002B2CF9AE}" pid="50" name="IdentifierScheme">
    <vt:lpwstr>RecordPoint</vt:lpwstr>
  </property>
  <property fmtid="{D5CDD505-2E9C-101B-9397-08002B2CF9AE}" pid="51" name="HashFunctionName">
    <vt:lpwstr>MD5</vt:lpwstr>
  </property>
  <property fmtid="{D5CDD505-2E9C-101B-9397-08002B2CF9AE}" pid="52" name="TaxCatchAll">
    <vt:lpwstr>2566;#;#573;#;#6404;#;#424;#;#125;#;#2945;#;#4743;#</vt:lpwstr>
  </property>
  <property fmtid="{D5CDD505-2E9C-101B-9397-08002B2CF9AE}" pid="53" name="SpatialCoverage">
    <vt:lpwstr>Commonwealth of Australia</vt:lpwstr>
  </property>
  <property fmtid="{D5CDD505-2E9C-101B-9397-08002B2CF9AE}" pid="54" name="RecordContact">
    <vt:lpwstr/>
  </property>
  <property fmtid="{D5CDD505-2E9C-101B-9397-08002B2CF9AE}" pid="55" name="Medium">
    <vt:lpwstr>Digital File</vt:lpwstr>
  </property>
  <property fmtid="{D5CDD505-2E9C-101B-9397-08002B2CF9AE}" pid="56" name="RightsType">
    <vt:lpwstr>Use Permission</vt:lpwstr>
  </property>
  <property fmtid="{D5CDD505-2E9C-101B-9397-08002B2CF9AE}" pid="57" name="FormatRegistry">
    <vt:lpwstr>System generated</vt:lpwstr>
  </property>
  <property fmtid="{D5CDD505-2E9C-101B-9397-08002B2CF9AE}" pid="58" name="Identifier">
    <vt:r8>0</vt:r8>
  </property>
  <property fmtid="{D5CDD505-2E9C-101B-9397-08002B2CF9AE}" pid="59" name="BusinessFunction_Note">
    <vt:lpwstr>External Guidance|b09c6caf-08fd-461c-b4ef-37c1e36f5aed</vt:lpwstr>
  </property>
  <property fmtid="{D5CDD505-2E9C-101B-9397-08002B2CF9AE}" pid="60" name="AGRkMSCategory">
    <vt:lpwstr>Item</vt:lpwstr>
  </property>
  <property fmtid="{D5CDD505-2E9C-101B-9397-08002B2CF9AE}" pid="61" name="CreatingApplicationName">
    <vt:lpwstr>Microsoft Word</vt:lpwstr>
  </property>
  <property fmtid="{D5CDD505-2E9C-101B-9397-08002B2CF9AE}" pid="62" name="AGRkMSLanguage">
    <vt:lpwstr>en-au</vt:lpwstr>
  </property>
  <property fmtid="{D5CDD505-2E9C-101B-9397-08002B2CF9AE}" pid="63" name="Units">
    <vt:lpwstr>KB</vt:lpwstr>
  </property>
  <property fmtid="{D5CDD505-2E9C-101B-9397-08002B2CF9AE}" pid="64" name="OfNationalSignificance">
    <vt:lpwstr>No</vt:lpwstr>
  </property>
  <property fmtid="{D5CDD505-2E9C-101B-9397-08002B2CF9AE}" pid="65" name="xd_ProgID">
    <vt:lpwstr/>
  </property>
  <property fmtid="{D5CDD505-2E9C-101B-9397-08002B2CF9AE}" pid="66" name="ComplianceAssetId">
    <vt:lpwstr/>
  </property>
  <property fmtid="{D5CDD505-2E9C-101B-9397-08002B2CF9AE}" pid="67" name="TemplateUrl">
    <vt:lpwstr/>
  </property>
  <property fmtid="{D5CDD505-2E9C-101B-9397-08002B2CF9AE}" pid="68" name="TriggerFlowInfo">
    <vt:lpwstr/>
  </property>
  <property fmtid="{D5CDD505-2E9C-101B-9397-08002B2CF9AE}" pid="69" name="xd_Signature">
    <vt:bool>false</vt:bool>
  </property>
  <property fmtid="{D5CDD505-2E9C-101B-9397-08002B2CF9AE}" pid="70" name="Order">
    <vt:r8>473900</vt:r8>
  </property>
  <property fmtid="{D5CDD505-2E9C-101B-9397-08002B2CF9AE}" pid="71" name="NodRecalculate">
    <vt:bool>false</vt:bool>
  </property>
  <property fmtid="{D5CDD505-2E9C-101B-9397-08002B2CF9AE}" pid="72" name="Of National Significance">
    <vt:lpwstr>No</vt:lpwstr>
  </property>
  <property fmtid="{D5CDD505-2E9C-101B-9397-08002B2CF9AE}" pid="73" name="Objective-Id">
    <vt:lpwstr>A1095976</vt:lpwstr>
  </property>
  <property fmtid="{D5CDD505-2E9C-101B-9397-08002B2CF9AE}" pid="74" name="Objective-Title">
    <vt:lpwstr>NOPTA Draft Fact Sheet Risk Assessment for NOPSEMA Review 12 June 24 - CCS Team Review</vt:lpwstr>
  </property>
  <property fmtid="{D5CDD505-2E9C-101B-9397-08002B2CF9AE}" pid="75" name="Objective-Description">
    <vt:lpwstr/>
  </property>
  <property fmtid="{D5CDD505-2E9C-101B-9397-08002B2CF9AE}" pid="76" name="Objective-CreationStamp">
    <vt:filetime>2024-06-17T05:00:00Z</vt:filetime>
  </property>
  <property fmtid="{D5CDD505-2E9C-101B-9397-08002B2CF9AE}" pid="77" name="Objective-IsApproved">
    <vt:bool>false</vt:bool>
  </property>
  <property fmtid="{D5CDD505-2E9C-101B-9397-08002B2CF9AE}" pid="78" name="Objective-IsPublished">
    <vt:bool>true</vt:bool>
  </property>
  <property fmtid="{D5CDD505-2E9C-101B-9397-08002B2CF9AE}" pid="79" name="Objective-DatePublished">
    <vt:filetime>2024-06-25T07:56:49Z</vt:filetime>
  </property>
  <property fmtid="{D5CDD505-2E9C-101B-9397-08002B2CF9AE}" pid="80" name="Objective-ModificationStamp">
    <vt:filetime>2024-06-25T07:56:49Z</vt:filetime>
  </property>
  <property fmtid="{D5CDD505-2E9C-101B-9397-08002B2CF9AE}" pid="81" name="Objective-Owner">
    <vt:lpwstr>Geoff Barker</vt:lpwstr>
  </property>
  <property fmtid="{D5CDD505-2E9C-101B-9397-08002B2CF9AE}" pid="82" name="Objective-Path">
    <vt:lpwstr>Objective Global Folder:File Plan:Regulatory Relations:Legislation:Development of Legislative Changes:GHG Injection and Storage Regulations - Review - 2022--2024:</vt:lpwstr>
  </property>
  <property fmtid="{D5CDD505-2E9C-101B-9397-08002B2CF9AE}" pid="83" name="Objective-Parent">
    <vt:lpwstr>GHG Injection and Storage Regulations - Review - 2022--2024</vt:lpwstr>
  </property>
  <property fmtid="{D5CDD505-2E9C-101B-9397-08002B2CF9AE}" pid="84" name="Objective-State">
    <vt:lpwstr>Published</vt:lpwstr>
  </property>
  <property fmtid="{D5CDD505-2E9C-101B-9397-08002B2CF9AE}" pid="85" name="Objective-VersionId">
    <vt:lpwstr>vA2136278</vt:lpwstr>
  </property>
  <property fmtid="{D5CDD505-2E9C-101B-9397-08002B2CF9AE}" pid="86" name="Objective-Version">
    <vt:lpwstr>2.0</vt:lpwstr>
  </property>
  <property fmtid="{D5CDD505-2E9C-101B-9397-08002B2CF9AE}" pid="87" name="Objective-VersionNumber">
    <vt:r8>9</vt:r8>
  </property>
  <property fmtid="{D5CDD505-2E9C-101B-9397-08002B2CF9AE}" pid="88" name="Objective-VersionComment">
    <vt:lpwstr/>
  </property>
  <property fmtid="{D5CDD505-2E9C-101B-9397-08002B2CF9AE}" pid="89" name="Objective-FileNumber">
    <vt:lpwstr>C26007</vt:lpwstr>
  </property>
  <property fmtid="{D5CDD505-2E9C-101B-9397-08002B2CF9AE}" pid="90" name="Objective-Classification">
    <vt:lpwstr>[Inherited - OFFICIAL: Sensitive]</vt:lpwstr>
  </property>
  <property fmtid="{D5CDD505-2E9C-101B-9397-08002B2CF9AE}" pid="91" name="Objective-Caveats">
    <vt:lpwstr/>
  </property>
  <property fmtid="{D5CDD505-2E9C-101B-9397-08002B2CF9AE}" pid="92" name="Objective-IMM (prev DLM)">
    <vt:lpwstr/>
  </property>
  <property fmtid="{D5CDD505-2E9C-101B-9397-08002B2CF9AE}" pid="93" name="Objective-Internal Author">
    <vt:lpwstr>Peter Young</vt:lpwstr>
  </property>
  <property fmtid="{D5CDD505-2E9C-101B-9397-08002B2CF9AE}" pid="94" name="Objective-Date of Document">
    <vt:filetime>2024-06-14T16:00:00Z</vt:filetime>
  </property>
  <property fmtid="{D5CDD505-2E9C-101B-9397-08002B2CF9AE}" pid="95" name="Objective-Duty Holders and Organisations">
    <vt:lpwstr/>
  </property>
  <property fmtid="{D5CDD505-2E9C-101B-9397-08002B2CF9AE}" pid="96" name="Objective-Facility">
    <vt:lpwstr/>
  </property>
  <property fmtid="{D5CDD505-2E9C-101B-9397-08002B2CF9AE}" pid="97" name="Objective-RMS ID">
    <vt:lpwstr/>
  </property>
  <property fmtid="{D5CDD505-2E9C-101B-9397-08002B2CF9AE}" pid="98" name="Objective-Monthly Injury Summary ID">
    <vt:lpwstr/>
  </property>
  <property fmtid="{D5CDD505-2E9C-101B-9397-08002B2CF9AE}" pid="99" name="Objective-Organisation">
    <vt:lpwstr/>
  </property>
  <property fmtid="{D5CDD505-2E9C-101B-9397-08002B2CF9AE}" pid="100" name="Objective-Action History">
    <vt:lpwstr/>
  </property>
  <property fmtid="{D5CDD505-2E9C-101B-9397-08002B2CF9AE}" pid="101" name="Objective-Approved for External Publication">
    <vt:lpwstr>No</vt:lpwstr>
  </property>
  <property fmtid="{D5CDD505-2E9C-101B-9397-08002B2CF9AE}" pid="102" name="Objective-Connect Creator">
    <vt:lpwstr/>
  </property>
  <property fmtid="{D5CDD505-2E9C-101B-9397-08002B2CF9AE}" pid="103" name="Objective-Comment">
    <vt:lpwstr/>
  </property>
</Properties>
</file>