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1CC7" w14:textId="77777777" w:rsidR="003D220F" w:rsidRDefault="003D220F" w:rsidP="003D220F">
      <w:pPr>
        <w:pBdr>
          <w:bottom w:val="single" w:sz="4" w:space="1" w:color="auto"/>
        </w:pBdr>
        <w:spacing w:before="120" w:beforeAutospacing="0" w:after="0" w:afterAutospacing="0"/>
        <w:rPr>
          <w:rFonts w:ascii="Aptos Display" w:eastAsiaTheme="majorEastAsia" w:hAnsi="Aptos Display" w:cstheme="majorBidi"/>
          <w:b/>
          <w:color w:val="385623"/>
          <w:spacing w:val="-10"/>
          <w:kern w:val="28"/>
          <w:sz w:val="44"/>
          <w:szCs w:val="56"/>
        </w:rPr>
      </w:pPr>
      <w:r w:rsidRPr="003D220F">
        <w:rPr>
          <w:rFonts w:ascii="Aptos Display" w:eastAsiaTheme="majorEastAsia" w:hAnsi="Aptos Display" w:cstheme="majorBidi"/>
          <w:b/>
          <w:color w:val="385623"/>
          <w:spacing w:val="-10"/>
          <w:kern w:val="28"/>
          <w:sz w:val="44"/>
          <w:szCs w:val="56"/>
        </w:rPr>
        <w:t>Cancellation of Offshore Greenhouse Gas Titles</w:t>
      </w:r>
    </w:p>
    <w:p w14:paraId="11E96AC0" w14:textId="6208693C" w:rsidR="00760394" w:rsidRPr="0003631B" w:rsidRDefault="00760394" w:rsidP="00AE2B45">
      <w:pPr>
        <w:pBdr>
          <w:bottom w:val="single" w:sz="4" w:space="1" w:color="auto"/>
        </w:pBdr>
        <w:spacing w:before="120" w:beforeAutospacing="0"/>
        <w:rPr>
          <w:rFonts w:ascii="Aptos" w:hAnsi="Aptos"/>
          <w:szCs w:val="20"/>
        </w:rPr>
      </w:pPr>
      <w:r w:rsidRPr="0003631B">
        <w:rPr>
          <w:rFonts w:ascii="Aptos" w:hAnsi="Aptos"/>
          <w:szCs w:val="20"/>
          <w:lang w:val="en-US" w:eastAsia="en-AU"/>
        </w:rPr>
        <w:t xml:space="preserve">All fact sheets </w:t>
      </w:r>
      <w:r w:rsidRPr="0003631B">
        <w:rPr>
          <w:rFonts w:ascii="Aptos" w:hAnsi="Aptos"/>
          <w:szCs w:val="20"/>
        </w:rPr>
        <w:t xml:space="preserve">should be read in conjunction with the </w:t>
      </w:r>
      <w:hyperlink r:id="rId11">
        <w:r w:rsidRPr="0003631B">
          <w:rPr>
            <w:rStyle w:val="Hyperlink"/>
            <w:rFonts w:ascii="Aptos" w:hAnsi="Aptos"/>
            <w:i/>
            <w:iCs/>
            <w:szCs w:val="20"/>
          </w:rPr>
          <w:t>Offshore Petroleum and Greenhouse Gas Storage Act 2006</w:t>
        </w:r>
      </w:hyperlink>
      <w:r w:rsidRPr="0003631B">
        <w:rPr>
          <w:rFonts w:ascii="Aptos" w:hAnsi="Aptos"/>
          <w:i/>
          <w:iCs/>
          <w:szCs w:val="20"/>
        </w:rPr>
        <w:t xml:space="preserve"> </w:t>
      </w:r>
      <w:r w:rsidRPr="0003631B">
        <w:rPr>
          <w:rFonts w:ascii="Aptos" w:hAnsi="Aptos"/>
        </w:rPr>
        <w:t>(</w:t>
      </w:r>
      <w:r w:rsidRPr="0003631B">
        <w:rPr>
          <w:rFonts w:ascii="Aptos" w:hAnsi="Aptos"/>
          <w:b/>
          <w:bCs/>
        </w:rPr>
        <w:t>the OPGGS Act</w:t>
      </w:r>
      <w:r w:rsidRPr="0003631B">
        <w:rPr>
          <w:rFonts w:ascii="Aptos" w:hAnsi="Aptos"/>
        </w:rPr>
        <w:t>), associated regulations, relevant guidelines and policies (available on</w:t>
      </w:r>
      <w:r w:rsidRPr="0003631B">
        <w:rPr>
          <w:rFonts w:ascii="Aptos" w:hAnsi="Aptos"/>
          <w:szCs w:val="20"/>
        </w:rPr>
        <w:t xml:space="preserve"> </w:t>
      </w:r>
      <w:hyperlink r:id="rId12">
        <w:r w:rsidRPr="0003631B">
          <w:rPr>
            <w:rStyle w:val="Hyperlink"/>
            <w:rFonts w:ascii="Aptos" w:hAnsi="Aptos"/>
            <w:szCs w:val="20"/>
          </w:rPr>
          <w:t>NOPTA’s website</w:t>
        </w:r>
      </w:hyperlink>
      <w:r w:rsidRPr="0003631B">
        <w:rPr>
          <w:rFonts w:ascii="Aptos" w:hAnsi="Aptos"/>
          <w:szCs w:val="20"/>
        </w:rPr>
        <w:t>).</w:t>
      </w:r>
    </w:p>
    <w:p w14:paraId="42B0FC46" w14:textId="77777777" w:rsidR="00760394" w:rsidRPr="0003631B" w:rsidRDefault="00760394" w:rsidP="00AE2B45">
      <w:pPr>
        <w:pBdr>
          <w:bottom w:val="single" w:sz="4" w:space="1" w:color="auto"/>
        </w:pBdr>
        <w:rPr>
          <w:rFonts w:ascii="Aptos" w:hAnsi="Aptos"/>
        </w:rPr>
        <w:sectPr w:rsidR="00760394" w:rsidRPr="0003631B" w:rsidSect="00D34E8E">
          <w:headerReference w:type="even" r:id="rId13"/>
          <w:headerReference w:type="default" r:id="rId14"/>
          <w:footerReference w:type="even" r:id="rId15"/>
          <w:footerReference w:type="default" r:id="rId16"/>
          <w:headerReference w:type="first" r:id="rId17"/>
          <w:footerReference w:type="first" r:id="rId18"/>
          <w:pgSz w:w="11906" w:h="16838"/>
          <w:pgMar w:top="2410" w:right="992" w:bottom="851" w:left="993" w:header="709" w:footer="283" w:gutter="0"/>
          <w:cols w:space="708"/>
          <w:docGrid w:linePitch="360"/>
        </w:sectPr>
      </w:pPr>
    </w:p>
    <w:p w14:paraId="7D269B92" w14:textId="77777777" w:rsidR="003D220F" w:rsidRPr="00C326BF" w:rsidRDefault="003D220F" w:rsidP="003D220F">
      <w:pPr>
        <w:rPr>
          <w:rFonts w:ascii="Aptos" w:hAnsi="Aptos" w:cstheme="minorHAnsi"/>
          <w:szCs w:val="20"/>
        </w:rPr>
      </w:pPr>
      <w:r w:rsidRPr="00C326BF">
        <w:rPr>
          <w:rFonts w:ascii="Aptos" w:hAnsi="Aptos" w:cstheme="minorHAnsi"/>
          <w:szCs w:val="20"/>
        </w:rPr>
        <w:t>This fact sheet provides general information about the process followed by NOPTA and the responsible Commonwealth Minister (</w:t>
      </w:r>
      <w:r w:rsidRPr="00C326BF">
        <w:rPr>
          <w:rFonts w:ascii="Aptos" w:hAnsi="Aptos" w:cstheme="minorHAnsi"/>
          <w:b/>
          <w:bCs/>
          <w:szCs w:val="20"/>
        </w:rPr>
        <w:t>RCM</w:t>
      </w:r>
      <w:r w:rsidRPr="00C326BF">
        <w:rPr>
          <w:rFonts w:ascii="Aptos" w:hAnsi="Aptos" w:cstheme="minorHAnsi"/>
          <w:szCs w:val="20"/>
        </w:rPr>
        <w:t>) when there are grounds for cancelling an offshore greenhouse gas (</w:t>
      </w:r>
      <w:r w:rsidRPr="00C326BF">
        <w:rPr>
          <w:rFonts w:ascii="Aptos" w:hAnsi="Aptos" w:cstheme="minorHAnsi"/>
          <w:b/>
          <w:bCs/>
          <w:szCs w:val="20"/>
        </w:rPr>
        <w:t>GHG</w:t>
      </w:r>
      <w:r w:rsidRPr="00C326BF">
        <w:rPr>
          <w:rFonts w:ascii="Aptos" w:hAnsi="Aptos" w:cstheme="minorHAnsi"/>
          <w:szCs w:val="20"/>
        </w:rPr>
        <w:t xml:space="preserve">) title. </w:t>
      </w:r>
    </w:p>
    <w:p w14:paraId="4D2B3616" w14:textId="77777777" w:rsidR="003D220F" w:rsidRPr="00A423B7" w:rsidRDefault="003D220F" w:rsidP="003D220F">
      <w:pPr>
        <w:rPr>
          <w:rFonts w:ascii="Aptos" w:hAnsi="Aptos" w:cstheme="minorHAnsi"/>
          <w:szCs w:val="20"/>
        </w:rPr>
      </w:pPr>
      <w:r w:rsidRPr="00A423B7">
        <w:rPr>
          <w:rFonts w:ascii="Aptos" w:hAnsi="Aptos" w:cstheme="minorHAnsi"/>
          <w:b/>
          <w:bCs/>
          <w:szCs w:val="20"/>
        </w:rPr>
        <w:t>Note:</w:t>
      </w:r>
      <w:r w:rsidRPr="00A423B7">
        <w:rPr>
          <w:rFonts w:ascii="Aptos" w:hAnsi="Aptos" w:cstheme="minorHAnsi"/>
          <w:szCs w:val="20"/>
        </w:rPr>
        <w:t xml:space="preserve"> for information about the cancellation of GHG search authorities or revocation of GHG special authorities or cancellation of cross-boundary GHG titles please contact NOPTA.</w:t>
      </w:r>
    </w:p>
    <w:p w14:paraId="0DC6C230" w14:textId="77777777" w:rsidR="003D220F" w:rsidRPr="00EA3C73" w:rsidRDefault="003D220F" w:rsidP="003D220F">
      <w:pPr>
        <w:pStyle w:val="Heading2"/>
      </w:pPr>
      <w:r w:rsidRPr="00EA3C73">
        <w:t>Overview</w:t>
      </w:r>
    </w:p>
    <w:p w14:paraId="1D1456E6" w14:textId="77777777" w:rsidR="003D220F" w:rsidRPr="00E84271" w:rsidRDefault="003D220F" w:rsidP="003D220F">
      <w:pPr>
        <w:rPr>
          <w:rFonts w:ascii="Aptos" w:hAnsi="Aptos" w:cstheme="minorHAnsi"/>
        </w:rPr>
      </w:pPr>
      <w:r w:rsidRPr="00E84271">
        <w:rPr>
          <w:rFonts w:ascii="Aptos" w:hAnsi="Aptos" w:cstheme="minorHAnsi"/>
        </w:rPr>
        <w:t>Part 3.11 of the OPGGS Act sets out the grounds and process for cancelling a GHG title.</w:t>
      </w:r>
    </w:p>
    <w:p w14:paraId="30567685" w14:textId="77777777" w:rsidR="003D220F" w:rsidRPr="00E84271" w:rsidRDefault="003D220F" w:rsidP="003D220F">
      <w:pPr>
        <w:spacing w:after="0" w:afterAutospacing="0"/>
        <w:rPr>
          <w:rFonts w:ascii="Aptos" w:hAnsi="Aptos" w:cstheme="minorHAnsi"/>
        </w:rPr>
      </w:pPr>
      <w:r w:rsidRPr="00E84271">
        <w:rPr>
          <w:rFonts w:ascii="Aptos" w:hAnsi="Aptos" w:cstheme="minorHAnsi"/>
        </w:rPr>
        <w:t>Under subsection 447(1) of the OPGGS Act the following may be cancelled:</w:t>
      </w:r>
    </w:p>
    <w:p w14:paraId="000D924E"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a GHG assessment permit;</w:t>
      </w:r>
    </w:p>
    <w:p w14:paraId="23B2607A"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a GHG holding lease;</w:t>
      </w:r>
    </w:p>
    <w:p w14:paraId="0D2BED42"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a GHG injection licence.</w:t>
      </w:r>
    </w:p>
    <w:p w14:paraId="6939C248" w14:textId="77777777" w:rsidR="003D220F" w:rsidRPr="001A1748" w:rsidRDefault="003D220F" w:rsidP="003D220F">
      <w:pPr>
        <w:pStyle w:val="Heading2"/>
      </w:pPr>
      <w:bookmarkStart w:id="0" w:name="_Hlk95381482"/>
      <w:r w:rsidRPr="001A1748">
        <w:t>GHG holding lease tied</w:t>
      </w:r>
      <w:r w:rsidRPr="001A1748">
        <w:footnoteReference w:id="2"/>
      </w:r>
      <w:r w:rsidRPr="001A1748">
        <w:t xml:space="preserve"> to a petroleum retention lease</w:t>
      </w:r>
    </w:p>
    <w:p w14:paraId="67DF4508" w14:textId="77777777" w:rsidR="003D220F" w:rsidRPr="00711D97" w:rsidRDefault="003D220F" w:rsidP="003D220F">
      <w:pPr>
        <w:rPr>
          <w:rFonts w:ascii="Aptos" w:hAnsi="Aptos" w:cstheme="minorHAnsi"/>
          <w:szCs w:val="20"/>
        </w:rPr>
      </w:pPr>
      <w:r w:rsidRPr="00711D97">
        <w:rPr>
          <w:rFonts w:ascii="Aptos" w:hAnsi="Aptos" w:cstheme="minorHAnsi"/>
          <w:szCs w:val="20"/>
        </w:rPr>
        <w:t>If a GHG holding lease has been granted to holders of a petroleum retention lease (titles are tied</w:t>
      </w:r>
      <w:proofErr w:type="gramStart"/>
      <w:r w:rsidRPr="00711D97">
        <w:rPr>
          <w:rFonts w:ascii="Aptos" w:hAnsi="Aptos" w:cstheme="minorHAnsi"/>
          <w:szCs w:val="20"/>
        </w:rPr>
        <w:t>):if</w:t>
      </w:r>
      <w:proofErr w:type="gramEnd"/>
      <w:r w:rsidRPr="00711D97">
        <w:rPr>
          <w:rFonts w:ascii="Aptos" w:hAnsi="Aptos" w:cstheme="minorHAnsi"/>
          <w:szCs w:val="20"/>
        </w:rPr>
        <w:t xml:space="preserve"> the petroleum retention lease is </w:t>
      </w:r>
      <w:proofErr w:type="gramStart"/>
      <w:r w:rsidRPr="00711D97">
        <w:rPr>
          <w:rFonts w:ascii="Aptos" w:hAnsi="Aptos" w:cstheme="minorHAnsi"/>
          <w:szCs w:val="20"/>
        </w:rPr>
        <w:t>cancelled, or</w:t>
      </w:r>
      <w:proofErr w:type="gramEnd"/>
      <w:r w:rsidRPr="00711D97">
        <w:rPr>
          <w:rFonts w:ascii="Aptos" w:hAnsi="Aptos" w:cstheme="minorHAnsi"/>
          <w:szCs w:val="20"/>
        </w:rPr>
        <w:t xml:space="preserve"> wholly revoked (subsection 354(1)(b) of the OPGGS Act) the RCM must cancel the GHG holding lease (subsection 354(2) of the OPGGS Act).</w:t>
      </w:r>
    </w:p>
    <w:bookmarkEnd w:id="0"/>
    <w:p w14:paraId="7B682DED" w14:textId="77777777" w:rsidR="003D220F" w:rsidRPr="00711D97" w:rsidRDefault="003D220F" w:rsidP="003D220F">
      <w:pPr>
        <w:rPr>
          <w:rFonts w:ascii="Aptos" w:hAnsi="Aptos" w:cstheme="minorHAnsi"/>
          <w:szCs w:val="20"/>
        </w:rPr>
      </w:pPr>
      <w:r w:rsidRPr="00711D97">
        <w:rPr>
          <w:rFonts w:ascii="Aptos" w:hAnsi="Aptos" w:cstheme="minorHAnsi"/>
          <w:szCs w:val="20"/>
        </w:rPr>
        <w:t>It is the titleholder’s responsibility to ensure that all obligations in respect of the title are met.</w:t>
      </w:r>
    </w:p>
    <w:p w14:paraId="66B6DE1F" w14:textId="77777777" w:rsidR="003D220F" w:rsidRPr="00711D97" w:rsidRDefault="003D220F" w:rsidP="003D220F">
      <w:pPr>
        <w:rPr>
          <w:rFonts w:ascii="Aptos" w:hAnsi="Aptos" w:cstheme="minorHAnsi"/>
          <w:szCs w:val="20"/>
        </w:rPr>
      </w:pPr>
      <w:r w:rsidRPr="00711D97">
        <w:rPr>
          <w:rFonts w:ascii="Aptos" w:hAnsi="Aptos" w:cstheme="minorHAnsi"/>
          <w:szCs w:val="20"/>
        </w:rPr>
        <w:t>Titleholders who are at risk of defaulting on a condition of their title should consider their options to apply to vary, suspend (and extend) or be exempted from a condition of the title (Part 3.9 of the OPGGS Act).</w:t>
      </w:r>
    </w:p>
    <w:p w14:paraId="10744360" w14:textId="77777777" w:rsidR="003D220F" w:rsidRPr="00AA17C7" w:rsidRDefault="003D220F" w:rsidP="003D220F">
      <w:pPr>
        <w:pStyle w:val="Heading2"/>
      </w:pPr>
      <w:r w:rsidRPr="00B26523">
        <w:t>Grounds for cancellation</w:t>
      </w:r>
      <w:r w:rsidRPr="00AA17C7">
        <w:t xml:space="preserve"> </w:t>
      </w:r>
    </w:p>
    <w:p w14:paraId="574973DE" w14:textId="77777777" w:rsidR="003D220F" w:rsidRPr="00711D97" w:rsidRDefault="003D220F" w:rsidP="003D220F">
      <w:pPr>
        <w:spacing w:after="0" w:afterAutospacing="0"/>
        <w:rPr>
          <w:rFonts w:ascii="Aptos" w:hAnsi="Aptos" w:cstheme="minorHAnsi"/>
          <w:szCs w:val="20"/>
        </w:rPr>
      </w:pPr>
      <w:r w:rsidRPr="00711D97">
        <w:rPr>
          <w:rFonts w:ascii="Aptos" w:hAnsi="Aptos" w:cstheme="minorHAnsi"/>
          <w:szCs w:val="20"/>
        </w:rPr>
        <w:t>A title may be cancelled if the titleholders have not:</w:t>
      </w:r>
    </w:p>
    <w:p w14:paraId="37EEFC1E"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complied with a condition of the permit, lease or licence;</w:t>
      </w:r>
    </w:p>
    <w:p w14:paraId="664AD706"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complied with a direction given by the RCM, the National Offshore Petroleum Safety and Environmental Management Authority (NOPSEMA), (see also section 449A of the OPGGS Act)) or the Titles Administrator;</w:t>
      </w:r>
    </w:p>
    <w:p w14:paraId="6027EFFF"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complied with any other provision of chapters 3, 5, 6 and or 8.1 of the OPGGS Act or regulations (including submitting all reports and data due);</w:t>
      </w:r>
    </w:p>
    <w:p w14:paraId="772EFC46"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paid a fee, royalty or the annual titles administration levy within 90 days after the amount became payable</w:t>
      </w:r>
      <w:bookmarkStart w:id="1" w:name="_Hlk526427160"/>
      <w:r w:rsidRPr="001E1BA9">
        <w:rPr>
          <w:rFonts w:ascii="Aptos" w:hAnsi="Aptos" w:cstheme="minorHAnsi"/>
        </w:rPr>
        <w:t>;</w:t>
      </w:r>
    </w:p>
    <w:p w14:paraId="6091062F"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if all of the identified GHG formation in a GHG holding lease or GHG injection licence is revoked under section 314 of the OPGGS Act.</w:t>
      </w:r>
    </w:p>
    <w:p w14:paraId="36A7238C" w14:textId="77777777" w:rsidR="003D220F" w:rsidRPr="00B26523" w:rsidRDefault="003D220F" w:rsidP="003D220F">
      <w:pPr>
        <w:pStyle w:val="Heading2"/>
      </w:pPr>
      <w:r w:rsidRPr="00B26523">
        <w:t>Title obligations – title ‘in force’</w:t>
      </w:r>
    </w:p>
    <w:p w14:paraId="450B8FF8" w14:textId="77777777" w:rsidR="003D220F" w:rsidRPr="00723232" w:rsidRDefault="003D220F" w:rsidP="003D220F">
      <w:pPr>
        <w:rPr>
          <w:szCs w:val="20"/>
          <w:lang w:eastAsia="en-AU"/>
        </w:rPr>
      </w:pPr>
      <w:r w:rsidRPr="00711D97">
        <w:rPr>
          <w:rFonts w:ascii="Aptos" w:hAnsi="Aptos" w:cstheme="minorHAnsi"/>
          <w:szCs w:val="20"/>
        </w:rPr>
        <w:t>The title will remain in force during the cancellation process, with all title obligations still being applicable (for example payment of levies and submission of reports). If a title is subsequently cancelled any levies are not refundable – see</w:t>
      </w:r>
      <w:r w:rsidRPr="5C35059B">
        <w:rPr>
          <w:color w:val="5F5F5F"/>
        </w:rPr>
        <w:t xml:space="preserve"> </w:t>
      </w:r>
      <w:hyperlink r:id="rId19">
        <w:r w:rsidRPr="003F5DA2">
          <w:rPr>
            <w:rStyle w:val="Hyperlink"/>
            <w:rFonts w:ascii="Aptos" w:hAnsi="Aptos"/>
            <w:color w:val="0563C1"/>
            <w:szCs w:val="20"/>
          </w:rPr>
          <w:t>Annual Titles Administration Levy – remittals and refunds policy</w:t>
        </w:r>
      </w:hyperlink>
      <w:r w:rsidRPr="5C35059B">
        <w:rPr>
          <w:szCs w:val="20"/>
          <w:lang w:eastAsia="en-AU"/>
        </w:rPr>
        <w:t>.</w:t>
      </w:r>
    </w:p>
    <w:p w14:paraId="679EFC53" w14:textId="77777777" w:rsidR="003D220F" w:rsidRPr="00B26523" w:rsidRDefault="003D220F" w:rsidP="003D220F">
      <w:pPr>
        <w:pStyle w:val="Heading2"/>
      </w:pPr>
      <w:r w:rsidRPr="00B26523">
        <w:t>Cancellation of title</w:t>
      </w:r>
    </w:p>
    <w:p w14:paraId="5942F72F" w14:textId="77777777" w:rsidR="003D220F" w:rsidRPr="00F84B85" w:rsidRDefault="003D220F" w:rsidP="003D220F">
      <w:pPr>
        <w:pStyle w:val="Heading3"/>
      </w:pPr>
      <w:r w:rsidRPr="00F84B85">
        <w:t xml:space="preserve">Consultation </w:t>
      </w:r>
    </w:p>
    <w:p w14:paraId="7911A9A7" w14:textId="77777777" w:rsidR="003D220F" w:rsidRPr="00711D97" w:rsidRDefault="003D220F" w:rsidP="003D220F">
      <w:pPr>
        <w:spacing w:after="0" w:afterAutospacing="0"/>
        <w:rPr>
          <w:rFonts w:ascii="Aptos" w:hAnsi="Aptos" w:cstheme="minorHAnsi"/>
          <w:szCs w:val="20"/>
        </w:rPr>
      </w:pPr>
      <w:r w:rsidRPr="00711D97">
        <w:rPr>
          <w:rFonts w:ascii="Aptos" w:hAnsi="Aptos" w:cstheme="minorHAnsi"/>
          <w:szCs w:val="20"/>
        </w:rPr>
        <w:t>The titleholders will be given at least 30 days’ written notice of the RCM’s intention to cancel. This notification may also be provided to other persons as the RCM sees fit. The notice will set out the reasons for the proposed cancellation and invite the recipient to make a written submission to the RCM (through NOPTA) (time limit applies) regarding the proposed cancellation.</w:t>
      </w:r>
    </w:p>
    <w:p w14:paraId="35A654DE" w14:textId="77777777" w:rsidR="003D220F" w:rsidRPr="005470E3" w:rsidRDefault="003D220F" w:rsidP="003D220F">
      <w:pPr>
        <w:pStyle w:val="Heading3"/>
      </w:pPr>
      <w:r w:rsidRPr="005470E3">
        <w:lastRenderedPageBreak/>
        <w:t xml:space="preserve">Decision </w:t>
      </w:r>
    </w:p>
    <w:p w14:paraId="4912A363" w14:textId="77777777" w:rsidR="003D220F" w:rsidRPr="00711D97" w:rsidRDefault="003D220F" w:rsidP="003D220F">
      <w:pPr>
        <w:spacing w:after="0" w:afterAutospacing="0"/>
        <w:rPr>
          <w:rFonts w:ascii="Aptos" w:hAnsi="Aptos" w:cstheme="minorHAnsi"/>
          <w:szCs w:val="20"/>
        </w:rPr>
      </w:pPr>
      <w:r w:rsidRPr="00711D97">
        <w:rPr>
          <w:rFonts w:ascii="Aptos" w:hAnsi="Aptos" w:cstheme="minorHAnsi"/>
          <w:szCs w:val="20"/>
        </w:rPr>
        <w:t xml:space="preserve">Before deciding to cancel a title, the RCM must </w:t>
      </w:r>
      <w:bookmarkStart w:id="2" w:name="_Int_P7C87jzY"/>
      <w:proofErr w:type="gramStart"/>
      <w:r w:rsidRPr="00711D97">
        <w:rPr>
          <w:rFonts w:ascii="Aptos" w:hAnsi="Aptos" w:cstheme="minorHAnsi"/>
          <w:szCs w:val="20"/>
        </w:rPr>
        <w:t>take into account</w:t>
      </w:r>
      <w:bookmarkEnd w:id="2"/>
      <w:proofErr w:type="gramEnd"/>
      <w:r w:rsidRPr="00711D97">
        <w:rPr>
          <w:rFonts w:ascii="Aptos" w:hAnsi="Aptos" w:cstheme="minorHAnsi"/>
          <w:szCs w:val="20"/>
        </w:rPr>
        <w:t xml:space="preserve"> any action taken by the titleholders to:</w:t>
      </w:r>
    </w:p>
    <w:p w14:paraId="6B12E587"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remove the ground(s) for cancellation (e.g., by completion of a guaranteed work commitment or rectification of non-compliance with the OPGGS Act, title conditions and regulations);</w:t>
      </w:r>
    </w:p>
    <w:p w14:paraId="4EFC60B5"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prevent the recurrence of similar grounds.</w:t>
      </w:r>
    </w:p>
    <w:p w14:paraId="4316D28D" w14:textId="77777777" w:rsidR="003D220F" w:rsidRPr="00AF2B6E" w:rsidRDefault="003D220F" w:rsidP="003D220F">
      <w:pPr>
        <w:rPr>
          <w:rFonts w:ascii="Aptos" w:hAnsi="Aptos" w:cstheme="minorHAnsi"/>
          <w:szCs w:val="20"/>
        </w:rPr>
      </w:pPr>
      <w:r w:rsidRPr="00AF2B6E">
        <w:rPr>
          <w:rFonts w:ascii="Aptos" w:hAnsi="Aptos" w:cstheme="minorHAnsi"/>
          <w:szCs w:val="20"/>
        </w:rPr>
        <w:t>The RCM must also consider:</w:t>
      </w:r>
    </w:p>
    <w:p w14:paraId="5D983A0C"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any submissions made by the titleholders or other relevant persons;</w:t>
      </w:r>
    </w:p>
    <w:p w14:paraId="33F7BB7F" w14:textId="77777777" w:rsidR="003D220F" w:rsidRPr="001E1BA9" w:rsidRDefault="003D220F" w:rsidP="003D220F">
      <w:pPr>
        <w:pStyle w:val="ListParagraph"/>
        <w:numPr>
          <w:ilvl w:val="0"/>
          <w:numId w:val="1"/>
        </w:numPr>
        <w:spacing w:before="120" w:beforeAutospacing="0" w:after="120" w:afterAutospacing="0"/>
        <w:ind w:left="357" w:hanging="357"/>
        <w:contextualSpacing w:val="0"/>
        <w:rPr>
          <w:rFonts w:ascii="Aptos" w:hAnsi="Aptos" w:cstheme="minorHAnsi"/>
        </w:rPr>
      </w:pPr>
      <w:r w:rsidRPr="001E1BA9">
        <w:rPr>
          <w:rFonts w:ascii="Aptos" w:hAnsi="Aptos" w:cstheme="minorHAnsi"/>
        </w:rPr>
        <w:t xml:space="preserve">any other relevant matters </w:t>
      </w:r>
    </w:p>
    <w:p w14:paraId="41E0C882" w14:textId="77777777" w:rsidR="003D220F" w:rsidRPr="00B26523" w:rsidRDefault="003D220F" w:rsidP="003D220F">
      <w:pPr>
        <w:pStyle w:val="Heading3"/>
      </w:pPr>
      <w:r w:rsidRPr="00B26523">
        <w:t>Notification and effective date of decision (s</w:t>
      </w:r>
      <w:r>
        <w:t xml:space="preserve">ubsection </w:t>
      </w:r>
      <w:r w:rsidRPr="00B26523">
        <w:t>447(3)</w:t>
      </w:r>
      <w:r>
        <w:t xml:space="preserve"> of the OPGGS Act</w:t>
      </w:r>
      <w:r w:rsidRPr="00B26523">
        <w:t>)</w:t>
      </w:r>
    </w:p>
    <w:p w14:paraId="6779071B" w14:textId="77777777" w:rsidR="003D220F" w:rsidRDefault="003D220F" w:rsidP="003D220F">
      <w:pPr>
        <w:pStyle w:val="ListParagraph"/>
        <w:ind w:left="0"/>
        <w:contextualSpacing w:val="0"/>
        <w:rPr>
          <w:szCs w:val="20"/>
        </w:rPr>
      </w:pPr>
      <w:r w:rsidRPr="00AF2B6E">
        <w:rPr>
          <w:rFonts w:ascii="Aptos" w:hAnsi="Aptos" w:cstheme="minorHAnsi"/>
          <w:szCs w:val="20"/>
        </w:rPr>
        <w:t xml:space="preserve">The titleholders will be notified in writing if the RCM cancels the title. Cancellation takes effect on the day the cancellation notice is published in the Australian Government Gazette. The published gazette notice will be entered in the Titles Register and made available on the </w:t>
      </w:r>
      <w:hyperlink r:id="rId20" w:history="1">
        <w:r w:rsidRPr="00CA1234">
          <w:rPr>
            <w:rStyle w:val="Hyperlink"/>
            <w:rFonts w:ascii="Aptos" w:hAnsi="Aptos"/>
            <w:color w:val="0563C1"/>
            <w:szCs w:val="20"/>
          </w:rPr>
          <w:t>NEATS website</w:t>
        </w:r>
      </w:hyperlink>
      <w:r w:rsidRPr="00723232">
        <w:rPr>
          <w:szCs w:val="20"/>
        </w:rPr>
        <w:t>.</w:t>
      </w:r>
    </w:p>
    <w:p w14:paraId="29127585" w14:textId="77777777" w:rsidR="003D220F" w:rsidRPr="00B26523" w:rsidRDefault="003D220F" w:rsidP="003D220F">
      <w:pPr>
        <w:pStyle w:val="Heading3"/>
      </w:pPr>
      <w:r w:rsidRPr="00B26523">
        <w:t>Injection Licence tied to a petroleum retention lease or</w:t>
      </w:r>
      <w:r>
        <w:t xml:space="preserve"> petroleum</w:t>
      </w:r>
      <w:r w:rsidRPr="00B26523">
        <w:t xml:space="preserve"> production licence</w:t>
      </w:r>
    </w:p>
    <w:p w14:paraId="44333992" w14:textId="77777777" w:rsidR="003D220F" w:rsidRPr="00AF2B6E" w:rsidRDefault="003D220F" w:rsidP="003D220F">
      <w:pPr>
        <w:pStyle w:val="ListParagraph"/>
        <w:ind w:left="0"/>
        <w:rPr>
          <w:rFonts w:ascii="Aptos" w:hAnsi="Aptos" w:cstheme="minorHAnsi"/>
          <w:szCs w:val="20"/>
        </w:rPr>
      </w:pPr>
      <w:r w:rsidRPr="00AF2B6E">
        <w:rPr>
          <w:rFonts w:ascii="Aptos" w:hAnsi="Aptos" w:cstheme="minorHAnsi"/>
          <w:szCs w:val="20"/>
        </w:rPr>
        <w:t>If the petroleum retention lease or petroleum production licence ceases to be in force as a result of being cancelled the licensee of the GHG injection licence must, within the application period, make an application for a site closing certificate (subsection 386(13) of the OPGGS Act).</w:t>
      </w:r>
    </w:p>
    <w:p w14:paraId="7C347019" w14:textId="77777777" w:rsidR="003D220F" w:rsidRPr="005470E3" w:rsidRDefault="003D220F" w:rsidP="003D220F">
      <w:pPr>
        <w:pStyle w:val="Heading2"/>
      </w:pPr>
      <w:r w:rsidRPr="005470E3">
        <w:t>More information?</w:t>
      </w:r>
    </w:p>
    <w:p w14:paraId="02BD7C07" w14:textId="77777777" w:rsidR="003D220F" w:rsidRPr="00723232" w:rsidRDefault="003D220F" w:rsidP="003D220F">
      <w:pPr>
        <w:rPr>
          <w:rFonts w:cstheme="minorHAnsi"/>
          <w:iCs/>
          <w:color w:val="595959" w:themeColor="text1" w:themeTint="A6"/>
          <w:szCs w:val="20"/>
          <w:lang w:eastAsia="en-AU"/>
        </w:rPr>
      </w:pPr>
      <w:r w:rsidRPr="00AF2B6E">
        <w:rPr>
          <w:rFonts w:ascii="Aptos" w:hAnsi="Aptos" w:cstheme="minorHAnsi"/>
          <w:szCs w:val="20"/>
        </w:rPr>
        <w:t>If you have any specific questions, please contact NOPTA via</w:t>
      </w:r>
      <w:r>
        <w:rPr>
          <w:rFonts w:cstheme="minorHAnsi"/>
          <w:iCs/>
          <w:color w:val="595959" w:themeColor="text1" w:themeTint="A6"/>
          <w:szCs w:val="20"/>
          <w:lang w:eastAsia="en-AU"/>
        </w:rPr>
        <w:t xml:space="preserve"> </w:t>
      </w:r>
      <w:hyperlink r:id="rId21" w:history="1">
        <w:r w:rsidRPr="00CA1234">
          <w:rPr>
            <w:rStyle w:val="Hyperlink"/>
            <w:rFonts w:ascii="Aptos" w:hAnsi="Aptos"/>
            <w:color w:val="0563C1"/>
            <w:szCs w:val="20"/>
          </w:rPr>
          <w:t>ghg@nopta.gov.au</w:t>
        </w:r>
      </w:hyperlink>
      <w:r w:rsidRPr="00723232">
        <w:rPr>
          <w:rFonts w:cstheme="minorHAnsi"/>
          <w:iCs/>
          <w:color w:val="595959" w:themeColor="text1" w:themeTint="A6"/>
          <w:szCs w:val="20"/>
          <w:lang w:eastAsia="en-AU"/>
        </w:rPr>
        <w:t xml:space="preserve">. </w:t>
      </w:r>
    </w:p>
    <w:p w14:paraId="3A4BBF48" w14:textId="77777777" w:rsidR="003D220F" w:rsidRPr="00AF2B6E" w:rsidRDefault="003D220F" w:rsidP="003D220F">
      <w:pPr>
        <w:rPr>
          <w:rFonts w:ascii="Aptos" w:hAnsi="Aptos" w:cstheme="minorHAnsi"/>
          <w:szCs w:val="20"/>
        </w:rPr>
      </w:pPr>
      <w:r w:rsidRPr="00AF2B6E">
        <w:rPr>
          <w:rFonts w:ascii="Aptos" w:hAnsi="Aptos" w:cstheme="minorHAnsi"/>
          <w:b/>
          <w:bCs/>
          <w:szCs w:val="20"/>
        </w:rPr>
        <w:t>Please note</w:t>
      </w:r>
      <w:r w:rsidRPr="00AF2B6E">
        <w:rPr>
          <w:rFonts w:ascii="Aptos" w:hAnsi="Aptos" w:cstheme="minorHAnsi"/>
          <w:szCs w:val="20"/>
        </w:rPr>
        <w:t>: this document is intended as a guide only and should not be relied on as legal advice or regarded as a substitute for legal advice in individual cases.</w:t>
      </w:r>
      <w:bookmarkEnd w:id="1"/>
    </w:p>
    <w:p w14:paraId="06F6037B" w14:textId="3F1B0F53" w:rsidR="003D220F" w:rsidRPr="00876C74" w:rsidRDefault="003D220F" w:rsidP="003D220F">
      <w:pPr>
        <w:pStyle w:val="Heading2"/>
      </w:pPr>
      <w:r>
        <w:br w:type="column"/>
      </w:r>
      <w:r w:rsidRPr="00876C74">
        <w:t>Version history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Caption w:val="Version History"/>
        <w:tblDescription w:val="Version, date and comments"/>
      </w:tblPr>
      <w:tblGrid>
        <w:gridCol w:w="704"/>
        <w:gridCol w:w="1006"/>
        <w:gridCol w:w="3042"/>
      </w:tblGrid>
      <w:tr w:rsidR="003D220F" w:rsidRPr="003D220F" w14:paraId="505D41CA" w14:textId="77777777" w:rsidTr="004E7B08">
        <w:trPr>
          <w:trHeight w:val="170"/>
        </w:trPr>
        <w:tc>
          <w:tcPr>
            <w:tcW w:w="611" w:type="dxa"/>
          </w:tcPr>
          <w:p w14:paraId="26F03364" w14:textId="77777777" w:rsidR="003D220F" w:rsidRPr="003D220F" w:rsidRDefault="003D220F" w:rsidP="003D220F">
            <w:pPr>
              <w:spacing w:before="40" w:beforeAutospacing="0" w:after="40" w:afterAutospacing="0"/>
              <w:jc w:val="center"/>
              <w:rPr>
                <w:rFonts w:ascii="Aptos" w:hAnsi="Aptos" w:cstheme="minorHAnsi"/>
                <w:sz w:val="18"/>
                <w:szCs w:val="18"/>
              </w:rPr>
            </w:pPr>
            <w:r w:rsidRPr="003D220F">
              <w:rPr>
                <w:rFonts w:ascii="Aptos" w:hAnsi="Aptos" w:cstheme="minorHAnsi"/>
                <w:sz w:val="18"/>
                <w:szCs w:val="18"/>
              </w:rPr>
              <w:t>Version</w:t>
            </w:r>
          </w:p>
        </w:tc>
        <w:tc>
          <w:tcPr>
            <w:tcW w:w="986" w:type="dxa"/>
          </w:tcPr>
          <w:p w14:paraId="67F05586"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Date</w:t>
            </w:r>
          </w:p>
        </w:tc>
        <w:tc>
          <w:tcPr>
            <w:tcW w:w="3155" w:type="dxa"/>
          </w:tcPr>
          <w:p w14:paraId="0A0DD97D"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Comment</w:t>
            </w:r>
          </w:p>
        </w:tc>
      </w:tr>
      <w:tr w:rsidR="003D220F" w:rsidRPr="003D220F" w14:paraId="3F1181B1" w14:textId="77777777" w:rsidTr="004E7B08">
        <w:trPr>
          <w:trHeight w:val="170"/>
        </w:trPr>
        <w:tc>
          <w:tcPr>
            <w:tcW w:w="611" w:type="dxa"/>
          </w:tcPr>
          <w:p w14:paraId="24B1B0C3" w14:textId="77777777" w:rsidR="003D220F" w:rsidRPr="003D220F" w:rsidRDefault="003D220F" w:rsidP="003D220F">
            <w:pPr>
              <w:spacing w:before="40" w:beforeAutospacing="0" w:after="40" w:afterAutospacing="0"/>
              <w:jc w:val="center"/>
              <w:rPr>
                <w:rFonts w:ascii="Aptos" w:hAnsi="Aptos" w:cstheme="minorHAnsi"/>
                <w:sz w:val="18"/>
                <w:szCs w:val="18"/>
              </w:rPr>
            </w:pPr>
            <w:r w:rsidRPr="003D220F">
              <w:rPr>
                <w:rFonts w:ascii="Aptos" w:hAnsi="Aptos" w:cstheme="minorHAnsi"/>
                <w:sz w:val="18"/>
                <w:szCs w:val="18"/>
              </w:rPr>
              <w:t>3.0</w:t>
            </w:r>
          </w:p>
        </w:tc>
        <w:tc>
          <w:tcPr>
            <w:tcW w:w="986" w:type="dxa"/>
          </w:tcPr>
          <w:p w14:paraId="4FD6DC2A"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06/02/2025</w:t>
            </w:r>
          </w:p>
        </w:tc>
        <w:tc>
          <w:tcPr>
            <w:tcW w:w="3155" w:type="dxa"/>
          </w:tcPr>
          <w:p w14:paraId="00C9215C"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Update to layout, format and links</w:t>
            </w:r>
          </w:p>
        </w:tc>
      </w:tr>
      <w:tr w:rsidR="003D220F" w:rsidRPr="003D220F" w14:paraId="7ED12531" w14:textId="77777777" w:rsidTr="004E7B08">
        <w:trPr>
          <w:trHeight w:val="64"/>
        </w:trPr>
        <w:tc>
          <w:tcPr>
            <w:tcW w:w="611" w:type="dxa"/>
          </w:tcPr>
          <w:p w14:paraId="1DA930C8" w14:textId="77777777" w:rsidR="003D220F" w:rsidRPr="003D220F" w:rsidRDefault="003D220F" w:rsidP="003D220F">
            <w:pPr>
              <w:spacing w:before="40" w:beforeAutospacing="0" w:after="40" w:afterAutospacing="0"/>
              <w:jc w:val="center"/>
              <w:rPr>
                <w:rFonts w:ascii="Aptos" w:hAnsi="Aptos" w:cstheme="minorHAnsi"/>
                <w:sz w:val="18"/>
                <w:szCs w:val="18"/>
              </w:rPr>
            </w:pPr>
            <w:r w:rsidRPr="003D220F">
              <w:rPr>
                <w:rFonts w:ascii="Aptos" w:hAnsi="Aptos" w:cstheme="minorHAnsi"/>
                <w:sz w:val="18"/>
                <w:szCs w:val="18"/>
              </w:rPr>
              <w:t>2.0</w:t>
            </w:r>
          </w:p>
        </w:tc>
        <w:tc>
          <w:tcPr>
            <w:tcW w:w="986" w:type="dxa"/>
          </w:tcPr>
          <w:p w14:paraId="7EC1208D"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18/03/2024</w:t>
            </w:r>
          </w:p>
        </w:tc>
        <w:tc>
          <w:tcPr>
            <w:tcW w:w="3155" w:type="dxa"/>
          </w:tcPr>
          <w:p w14:paraId="520AAE64" w14:textId="77777777" w:rsidR="003D220F" w:rsidRPr="003D220F" w:rsidRDefault="003D220F" w:rsidP="003D220F">
            <w:pPr>
              <w:spacing w:before="40" w:beforeAutospacing="0" w:after="40" w:afterAutospacing="0"/>
              <w:rPr>
                <w:rFonts w:ascii="Aptos" w:hAnsi="Aptos" w:cstheme="minorHAnsi"/>
                <w:sz w:val="18"/>
                <w:szCs w:val="18"/>
              </w:rPr>
            </w:pPr>
            <w:r w:rsidRPr="003D220F">
              <w:rPr>
                <w:rFonts w:ascii="Aptos" w:hAnsi="Aptos" w:cstheme="minorHAnsi"/>
                <w:sz w:val="18"/>
                <w:szCs w:val="18"/>
              </w:rPr>
              <w:t>Update fact sheet</w:t>
            </w:r>
          </w:p>
        </w:tc>
      </w:tr>
    </w:tbl>
    <w:p w14:paraId="1998FD7D" w14:textId="77777777" w:rsidR="00760394" w:rsidRPr="00F322A3" w:rsidRDefault="00760394" w:rsidP="003D220F">
      <w:pPr>
        <w:rPr>
          <w:rFonts w:ascii="Aptos" w:hAnsi="Aptos"/>
          <w:sz w:val="2"/>
          <w:szCs w:val="2"/>
        </w:rPr>
      </w:pPr>
    </w:p>
    <w:sectPr w:rsidR="00760394" w:rsidRPr="00F322A3" w:rsidSect="00D34E8E">
      <w:headerReference w:type="default" r:id="rId22"/>
      <w:type w:val="continuous"/>
      <w:pgSz w:w="11906" w:h="16838"/>
      <w:pgMar w:top="2552" w:right="992" w:bottom="851" w:left="992" w:header="709" w:footer="28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E797" w14:textId="77777777" w:rsidR="008C196D" w:rsidRDefault="008C196D" w:rsidP="00760394">
      <w:pPr>
        <w:spacing w:before="0" w:after="0"/>
      </w:pPr>
      <w:r>
        <w:separator/>
      </w:r>
    </w:p>
  </w:endnote>
  <w:endnote w:type="continuationSeparator" w:id="0">
    <w:p w14:paraId="17968DA8" w14:textId="77777777" w:rsidR="008C196D" w:rsidRDefault="008C196D" w:rsidP="00760394">
      <w:pPr>
        <w:spacing w:before="0" w:after="0"/>
      </w:pPr>
      <w:r>
        <w:continuationSeparator/>
      </w:r>
    </w:p>
  </w:endnote>
  <w:endnote w:type="continuationNotice" w:id="1">
    <w:p w14:paraId="78D75AB6" w14:textId="77777777" w:rsidR="008C196D" w:rsidRDefault="008C19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336F" w14:textId="77777777" w:rsidR="00760394" w:rsidRDefault="00760394">
    <w:pPr>
      <w:pStyle w:val="Footer"/>
    </w:pPr>
    <w:r>
      <w:rPr>
        <w:noProof/>
      </w:rPr>
      <mc:AlternateContent>
        <mc:Choice Requires="wps">
          <w:drawing>
            <wp:anchor distT="0" distB="0" distL="0" distR="0" simplePos="0" relativeHeight="251658246" behindDoc="0" locked="0" layoutInCell="1" allowOverlap="1" wp14:anchorId="0D25AEF2" wp14:editId="79B53315">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25AEF2" id="_x0000_t202" coordsize="21600,21600" o:spt="202" path="m,l,21600r21600,l21600,xe">
              <v:stroke joinstyle="miter"/>
              <v:path gradientshapeok="t" o:connecttype="rect"/>
            </v:shapetype>
            <v:shape id="Text Box 11" o:spid="_x0000_s1028"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7440" w14:textId="38C76251" w:rsidR="00760394" w:rsidRPr="006F39EB" w:rsidRDefault="00760394" w:rsidP="00DA35C9">
    <w:pPr>
      <w:pStyle w:val="Footer"/>
      <w:tabs>
        <w:tab w:val="clear" w:pos="4513"/>
        <w:tab w:val="clear" w:pos="9026"/>
        <w:tab w:val="left" w:pos="0"/>
        <w:tab w:val="center" w:pos="4860"/>
        <w:tab w:val="right" w:pos="9900"/>
      </w:tabs>
      <w:spacing w:before="0" w:beforeAutospacing="0" w:after="120" w:afterAutospacing="0"/>
      <w:jc w:val="center"/>
      <w:rPr>
        <w:rFonts w:ascii="Aptos" w:hAnsi="Aptos"/>
      </w:rPr>
    </w:pPr>
    <w:r w:rsidRPr="006F39EB">
      <w:rPr>
        <w:rFonts w:ascii="Aptos" w:hAnsi="Aptos"/>
        <w:noProof/>
        <w:lang w:eastAsia="en-AU"/>
      </w:rPr>
      <mc:AlternateContent>
        <mc:Choice Requires="wps">
          <w:drawing>
            <wp:anchor distT="0" distB="0" distL="114300" distR="114300" simplePos="0" relativeHeight="251658240" behindDoc="0" locked="0" layoutInCell="1" allowOverlap="1" wp14:anchorId="37759D2C" wp14:editId="501D5298">
              <wp:simplePos x="0" y="0"/>
              <wp:positionH relativeFrom="margin">
                <wp:posOffset>-1905</wp:posOffset>
              </wp:positionH>
              <wp:positionV relativeFrom="paragraph">
                <wp:posOffset>-68580</wp:posOffset>
              </wp:positionV>
              <wp:extent cx="632460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ln>
                        <a:solidFill>
                          <a:schemeClr val="accent6">
                            <a:lumMod val="50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005B4F"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5.4pt" to="49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" strokecolor="#375623 [1609]" strokeweight="1.5pt">
              <v:stroke joinstyle="miter"/>
              <w10:wrap anchorx="margin"/>
            </v:line>
          </w:pict>
        </mc:Fallback>
      </mc:AlternateContent>
    </w:r>
    <w:hyperlink r:id="rId1" w:history="1">
      <w:r w:rsidRPr="006F39EB">
        <w:rPr>
          <w:rStyle w:val="Hyperlink"/>
          <w:rFonts w:ascii="Aptos" w:hAnsi="Aptos"/>
        </w:rPr>
        <w:t>www.nopta.gov.au</w:t>
      </w:r>
    </w:hyperlink>
    <w:r w:rsidRPr="006F39EB">
      <w:rPr>
        <w:rFonts w:ascii="Aptos" w:hAnsi="Aptos"/>
      </w:rPr>
      <w:t xml:space="preserve"> </w:t>
    </w:r>
    <w:r w:rsidRPr="006F39EB">
      <w:rPr>
        <w:rFonts w:ascii="Aptos" w:hAnsi="Aptos"/>
      </w:rPr>
      <w:tab/>
    </w:r>
    <w:r w:rsidRPr="006F39EB">
      <w:rPr>
        <w:rFonts w:ascii="Aptos" w:hAnsi="Aptos"/>
      </w:rPr>
      <w:tab/>
    </w:r>
    <w:r w:rsidR="00974705" w:rsidRPr="008A2A47">
      <w:rPr>
        <w:rFonts w:ascii="Aptos" w:hAnsi="Aptos"/>
      </w:rPr>
      <w:t>V</w:t>
    </w:r>
    <w:r w:rsidR="00974705" w:rsidRPr="008A2A47">
      <w:t>ersion</w:t>
    </w:r>
    <w:r w:rsidR="00272343" w:rsidRPr="008A2A47">
      <w:t xml:space="preserve"> 3</w:t>
    </w:r>
    <w:r w:rsidR="00974705" w:rsidRPr="008A2A47">
      <w:t xml:space="preserve">: </w:t>
    </w:r>
    <w:r w:rsidR="00272343" w:rsidRPr="008A2A47">
      <w:t>February</w:t>
    </w:r>
    <w:r w:rsidR="00974705" w:rsidRPr="008A2A47">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C2F6" w14:textId="77777777" w:rsidR="00760394" w:rsidRDefault="00760394">
    <w:pPr>
      <w:pStyle w:val="Footer"/>
    </w:pPr>
    <w:r>
      <w:rPr>
        <w:noProof/>
      </w:rPr>
      <mc:AlternateContent>
        <mc:Choice Requires="wps">
          <w:drawing>
            <wp:anchor distT="0" distB="0" distL="0" distR="0" simplePos="0" relativeHeight="251658245" behindDoc="0" locked="0" layoutInCell="1" allowOverlap="1" wp14:anchorId="5A58E7E0" wp14:editId="1FC4717D">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8E7E0"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D6417" w14:textId="77777777" w:rsidR="008C196D" w:rsidRDefault="008C196D" w:rsidP="00760394">
      <w:pPr>
        <w:spacing w:before="0" w:after="0"/>
      </w:pPr>
      <w:r>
        <w:separator/>
      </w:r>
    </w:p>
  </w:footnote>
  <w:footnote w:type="continuationSeparator" w:id="0">
    <w:p w14:paraId="1813B00A" w14:textId="77777777" w:rsidR="008C196D" w:rsidRDefault="008C196D" w:rsidP="00760394">
      <w:pPr>
        <w:spacing w:before="0" w:after="0"/>
      </w:pPr>
      <w:r>
        <w:continuationSeparator/>
      </w:r>
    </w:p>
  </w:footnote>
  <w:footnote w:type="continuationNotice" w:id="1">
    <w:p w14:paraId="4F6C6A16" w14:textId="77777777" w:rsidR="008C196D" w:rsidRDefault="008C196D">
      <w:pPr>
        <w:spacing w:before="0" w:after="0"/>
      </w:pPr>
    </w:p>
  </w:footnote>
  <w:footnote w:id="2">
    <w:p w14:paraId="388CB419" w14:textId="77777777" w:rsidR="003D220F" w:rsidRPr="003F5DA2" w:rsidRDefault="003D220F" w:rsidP="003D220F">
      <w:pPr>
        <w:pStyle w:val="FootnoteText"/>
        <w:rPr>
          <w:color w:val="565751"/>
          <w:sz w:val="20"/>
        </w:rPr>
      </w:pPr>
      <w:r w:rsidRPr="003D220F">
        <w:rPr>
          <w:rStyle w:val="FootnoteReference"/>
          <w:color w:val="565751"/>
          <w:sz w:val="16"/>
          <w:szCs w:val="16"/>
        </w:rPr>
        <w:footnoteRef/>
      </w:r>
      <w:r w:rsidRPr="003D220F">
        <w:rPr>
          <w:color w:val="565751"/>
          <w:sz w:val="16"/>
          <w:szCs w:val="16"/>
        </w:rPr>
        <w:t xml:space="preserve"> See</w:t>
      </w:r>
      <w:r w:rsidRPr="003D220F">
        <w:rPr>
          <w:color w:val="565751"/>
          <w:spacing w:val="-1"/>
          <w:sz w:val="16"/>
          <w:szCs w:val="16"/>
        </w:rPr>
        <w:t xml:space="preserve"> </w:t>
      </w:r>
      <w:r w:rsidRPr="003D220F">
        <w:rPr>
          <w:color w:val="565751"/>
          <w:sz w:val="16"/>
          <w:szCs w:val="16"/>
        </w:rPr>
        <w:t>section 13</w:t>
      </w:r>
      <w:r w:rsidRPr="003D220F">
        <w:rPr>
          <w:color w:val="565751"/>
          <w:spacing w:val="-2"/>
          <w:sz w:val="16"/>
          <w:szCs w:val="16"/>
        </w:rPr>
        <w:t xml:space="preserve"> </w:t>
      </w:r>
      <w:r w:rsidRPr="003D220F">
        <w:rPr>
          <w:color w:val="565751"/>
          <w:sz w:val="16"/>
          <w:szCs w:val="16"/>
        </w:rPr>
        <w:t>of</w:t>
      </w:r>
      <w:r w:rsidRPr="003D220F">
        <w:rPr>
          <w:color w:val="565751"/>
          <w:spacing w:val="-1"/>
          <w:sz w:val="16"/>
          <w:szCs w:val="16"/>
        </w:rPr>
        <w:t xml:space="preserve"> </w:t>
      </w:r>
      <w:r w:rsidRPr="003D220F">
        <w:rPr>
          <w:color w:val="565751"/>
          <w:sz w:val="16"/>
          <w:szCs w:val="16"/>
        </w:rPr>
        <w:t>the</w:t>
      </w:r>
      <w:r w:rsidRPr="003D220F">
        <w:rPr>
          <w:color w:val="565751"/>
          <w:spacing w:val="-1"/>
          <w:sz w:val="16"/>
          <w:szCs w:val="16"/>
        </w:rPr>
        <w:t xml:space="preserve"> </w:t>
      </w:r>
      <w:r w:rsidRPr="003D220F">
        <w:rPr>
          <w:color w:val="565751"/>
          <w:sz w:val="16"/>
          <w:szCs w:val="16"/>
        </w:rPr>
        <w:t>OPGGS</w:t>
      </w:r>
      <w:r w:rsidRPr="003D220F">
        <w:rPr>
          <w:color w:val="565751"/>
          <w:spacing w:val="1"/>
          <w:sz w:val="16"/>
          <w:szCs w:val="16"/>
        </w:rPr>
        <w:t xml:space="preserve"> </w:t>
      </w:r>
      <w:r w:rsidRPr="003D220F">
        <w:rPr>
          <w:color w:val="565751"/>
          <w:spacing w:val="-5"/>
          <w:sz w:val="16"/>
          <w:szCs w:val="16"/>
        </w:rPr>
        <w: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D2B" w14:textId="77777777" w:rsidR="00760394" w:rsidRDefault="00760394">
    <w:pPr>
      <w:pStyle w:val="Header"/>
    </w:pPr>
    <w:r>
      <w:rPr>
        <w:noProof/>
      </w:rPr>
      <mc:AlternateContent>
        <mc:Choice Requires="wps">
          <w:drawing>
            <wp:anchor distT="0" distB="0" distL="0" distR="0" simplePos="0" relativeHeight="251658243" behindDoc="0" locked="0" layoutInCell="1" allowOverlap="1" wp14:anchorId="022EC3F6" wp14:editId="57206811">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2EC3F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656" w14:textId="77777777" w:rsidR="00760394" w:rsidRDefault="00760394" w:rsidP="00C3747D">
    <w:pPr>
      <w:pStyle w:val="Header"/>
    </w:pPr>
    <w:r>
      <w:rPr>
        <w:noProof/>
      </w:rPr>
      <mc:AlternateContent>
        <mc:Choice Requires="wps">
          <w:drawing>
            <wp:anchor distT="0" distB="0" distL="0" distR="0" simplePos="0" relativeHeight="251658244" behindDoc="0" locked="0" layoutInCell="1" allowOverlap="1" wp14:anchorId="11453AC2" wp14:editId="27EBE225">
              <wp:simplePos x="628650" y="450850"/>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3C42" w14:textId="77777777" w:rsidR="00760394" w:rsidRPr="00AE1C7B" w:rsidRDefault="00760394">
                          <w:pPr>
                            <w:rPr>
                              <w:rFonts w:ascii="Arial" w:eastAsia="Arial" w:hAnsi="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53AC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DE3C42" w14:textId="77777777" w:rsidR="00760394" w:rsidRPr="00AE1C7B" w:rsidRDefault="00760394">
                    <w:pPr>
                      <w:rPr>
                        <w:rFonts w:ascii="Arial" w:eastAsia="Arial" w:hAnsi="Arial" w:cs="Arial"/>
                        <w:color w:val="FF0000"/>
                      </w:rPr>
                    </w:pPr>
                  </w:p>
                </w:txbxContent>
              </v:textbox>
              <w10:wrap type="square"/>
            </v:shape>
          </w:pict>
        </mc:Fallback>
      </mc:AlternateContent>
    </w:r>
    <w:r>
      <w:rPr>
        <w:noProof/>
      </w:rPr>
      <w:drawing>
        <wp:anchor distT="0" distB="0" distL="114300" distR="114300" simplePos="0" relativeHeight="251658241" behindDoc="0" locked="0" layoutInCell="1" allowOverlap="1" wp14:anchorId="1F4F6BBA" wp14:editId="7B00386D">
          <wp:simplePos x="0" y="0"/>
          <wp:positionH relativeFrom="page">
            <wp:posOffset>-17145</wp:posOffset>
          </wp:positionH>
          <wp:positionV relativeFrom="page">
            <wp:posOffset>-26670</wp:posOffset>
          </wp:positionV>
          <wp:extent cx="7563600" cy="1562400"/>
          <wp:effectExtent l="0" t="0" r="0" b="0"/>
          <wp:wrapNone/>
          <wp:docPr id="2041049594" name="Picture 2041049594"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DD1A" w14:textId="77777777" w:rsidR="00760394" w:rsidRDefault="00760394">
    <w:pPr>
      <w:pStyle w:val="Header"/>
    </w:pPr>
    <w:r>
      <w:rPr>
        <w:noProof/>
      </w:rPr>
      <mc:AlternateContent>
        <mc:Choice Requires="wps">
          <w:drawing>
            <wp:anchor distT="0" distB="0" distL="0" distR="0" simplePos="0" relativeHeight="251658242" behindDoc="0" locked="0" layoutInCell="1" allowOverlap="1" wp14:anchorId="5646CDB4" wp14:editId="754E5D29">
              <wp:simplePos x="635" y="635"/>
              <wp:positionH relativeFrom="column">
                <wp:align>center</wp:align>
              </wp:positionH>
              <wp:positionV relativeFrom="paragraph">
                <wp:posOffset>635</wp:posOffset>
              </wp:positionV>
              <wp:extent cx="443865" cy="443865"/>
              <wp:effectExtent l="0" t="0" r="18415" b="1079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46CDB4"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9E94" w14:textId="3F1323B8" w:rsidR="00F63AA9" w:rsidRDefault="003720B4">
    <w:pPr>
      <w:pStyle w:val="Header"/>
    </w:pPr>
    <w:r>
      <w:rPr>
        <w:noProof/>
      </w:rPr>
      <w:drawing>
        <wp:anchor distT="0" distB="0" distL="114300" distR="114300" simplePos="0" relativeHeight="251658247" behindDoc="0" locked="0" layoutInCell="1" allowOverlap="1" wp14:anchorId="5C4E14FF" wp14:editId="7BBE1377">
          <wp:simplePos x="0" y="0"/>
          <wp:positionH relativeFrom="page">
            <wp:posOffset>-18666</wp:posOffset>
          </wp:positionH>
          <wp:positionV relativeFrom="page">
            <wp:posOffset>3012</wp:posOffset>
          </wp:positionV>
          <wp:extent cx="7563600" cy="1562400"/>
          <wp:effectExtent l="0" t="0" r="0" b="0"/>
          <wp:wrapNone/>
          <wp:docPr id="623870181" name="Picture 623870181"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B92"/>
    <w:multiLevelType w:val="hybridMultilevel"/>
    <w:tmpl w:val="C2E2C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9C2DA4"/>
    <w:multiLevelType w:val="hybridMultilevel"/>
    <w:tmpl w:val="2B4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23AB4"/>
    <w:multiLevelType w:val="hybridMultilevel"/>
    <w:tmpl w:val="5128BEE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BC739BF"/>
    <w:multiLevelType w:val="hybridMultilevel"/>
    <w:tmpl w:val="4932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7811C6"/>
    <w:multiLevelType w:val="hybridMultilevel"/>
    <w:tmpl w:val="0524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D0934"/>
    <w:multiLevelType w:val="hybridMultilevel"/>
    <w:tmpl w:val="6E88AF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637D85"/>
    <w:multiLevelType w:val="hybridMultilevel"/>
    <w:tmpl w:val="608C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F58E7"/>
    <w:multiLevelType w:val="hybridMultilevel"/>
    <w:tmpl w:val="4F44458E"/>
    <w:lvl w:ilvl="0" w:tplc="E2D6E9B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63602F"/>
    <w:multiLevelType w:val="hybridMultilevel"/>
    <w:tmpl w:val="90B6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340A0"/>
    <w:multiLevelType w:val="hybridMultilevel"/>
    <w:tmpl w:val="2CE6D20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1693C"/>
    <w:multiLevelType w:val="hybridMultilevel"/>
    <w:tmpl w:val="E244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06411E"/>
    <w:multiLevelType w:val="hybridMultilevel"/>
    <w:tmpl w:val="C51EA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B075F"/>
    <w:multiLevelType w:val="hybridMultilevel"/>
    <w:tmpl w:val="425E79DA"/>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5D447A"/>
    <w:multiLevelType w:val="hybridMultilevel"/>
    <w:tmpl w:val="7652A4C0"/>
    <w:lvl w:ilvl="0" w:tplc="FFFFFFFF">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13047A"/>
    <w:multiLevelType w:val="hybridMultilevel"/>
    <w:tmpl w:val="F1F01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67AAB"/>
    <w:multiLevelType w:val="hybridMultilevel"/>
    <w:tmpl w:val="8B06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641564">
    <w:abstractNumId w:val="7"/>
  </w:num>
  <w:num w:numId="2" w16cid:durableId="1193152201">
    <w:abstractNumId w:val="0"/>
  </w:num>
  <w:num w:numId="3" w16cid:durableId="1949775793">
    <w:abstractNumId w:val="12"/>
  </w:num>
  <w:num w:numId="4" w16cid:durableId="1134953795">
    <w:abstractNumId w:val="2"/>
  </w:num>
  <w:num w:numId="5" w16cid:durableId="1153983105">
    <w:abstractNumId w:val="10"/>
  </w:num>
  <w:num w:numId="6" w16cid:durableId="465969730">
    <w:abstractNumId w:val="15"/>
  </w:num>
  <w:num w:numId="7" w16cid:durableId="1948540712">
    <w:abstractNumId w:val="8"/>
  </w:num>
  <w:num w:numId="8" w16cid:durableId="1341926151">
    <w:abstractNumId w:val="14"/>
  </w:num>
  <w:num w:numId="9" w16cid:durableId="1228541072">
    <w:abstractNumId w:val="3"/>
  </w:num>
  <w:num w:numId="10" w16cid:durableId="627705143">
    <w:abstractNumId w:val="11"/>
  </w:num>
  <w:num w:numId="11" w16cid:durableId="1872651040">
    <w:abstractNumId w:val="1"/>
  </w:num>
  <w:num w:numId="12" w16cid:durableId="937637145">
    <w:abstractNumId w:val="4"/>
  </w:num>
  <w:num w:numId="13" w16cid:durableId="1159270171">
    <w:abstractNumId w:val="13"/>
  </w:num>
  <w:num w:numId="14" w16cid:durableId="86390755">
    <w:abstractNumId w:val="9"/>
  </w:num>
  <w:num w:numId="15" w16cid:durableId="1580940069">
    <w:abstractNumId w:val="6"/>
  </w:num>
  <w:num w:numId="16" w16cid:durableId="196703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4"/>
    <w:rsid w:val="0002461D"/>
    <w:rsid w:val="0003631B"/>
    <w:rsid w:val="000935C3"/>
    <w:rsid w:val="000C496B"/>
    <w:rsid w:val="000C7CBE"/>
    <w:rsid w:val="00130C26"/>
    <w:rsid w:val="00132882"/>
    <w:rsid w:val="001542B1"/>
    <w:rsid w:val="00173022"/>
    <w:rsid w:val="00183A8E"/>
    <w:rsid w:val="00183FEE"/>
    <w:rsid w:val="00186030"/>
    <w:rsid w:val="001A5EB0"/>
    <w:rsid w:val="001D03A6"/>
    <w:rsid w:val="001E5CCC"/>
    <w:rsid w:val="00205A60"/>
    <w:rsid w:val="00227391"/>
    <w:rsid w:val="002308A0"/>
    <w:rsid w:val="00242050"/>
    <w:rsid w:val="00272343"/>
    <w:rsid w:val="002A3113"/>
    <w:rsid w:val="00304C8A"/>
    <w:rsid w:val="0031518B"/>
    <w:rsid w:val="003720B4"/>
    <w:rsid w:val="00390DB8"/>
    <w:rsid w:val="003B4501"/>
    <w:rsid w:val="003D220F"/>
    <w:rsid w:val="003F03F7"/>
    <w:rsid w:val="0040751B"/>
    <w:rsid w:val="0046120F"/>
    <w:rsid w:val="0049142D"/>
    <w:rsid w:val="004A1412"/>
    <w:rsid w:val="004A4E36"/>
    <w:rsid w:val="004D49EA"/>
    <w:rsid w:val="005366C4"/>
    <w:rsid w:val="005503E5"/>
    <w:rsid w:val="005531CD"/>
    <w:rsid w:val="00571CDF"/>
    <w:rsid w:val="005E1179"/>
    <w:rsid w:val="005F14F1"/>
    <w:rsid w:val="005F192A"/>
    <w:rsid w:val="005F3471"/>
    <w:rsid w:val="006029C5"/>
    <w:rsid w:val="0062058B"/>
    <w:rsid w:val="00641450"/>
    <w:rsid w:val="006630AA"/>
    <w:rsid w:val="00674D44"/>
    <w:rsid w:val="006F39EB"/>
    <w:rsid w:val="00706E8D"/>
    <w:rsid w:val="00707EC5"/>
    <w:rsid w:val="00713A4B"/>
    <w:rsid w:val="007360DB"/>
    <w:rsid w:val="00760394"/>
    <w:rsid w:val="00794A12"/>
    <w:rsid w:val="007A2F49"/>
    <w:rsid w:val="007A58FD"/>
    <w:rsid w:val="007D5487"/>
    <w:rsid w:val="0080438D"/>
    <w:rsid w:val="008113AA"/>
    <w:rsid w:val="008176B1"/>
    <w:rsid w:val="00862151"/>
    <w:rsid w:val="00876238"/>
    <w:rsid w:val="008806AD"/>
    <w:rsid w:val="00895664"/>
    <w:rsid w:val="008A2A47"/>
    <w:rsid w:val="008A41AE"/>
    <w:rsid w:val="008A70BB"/>
    <w:rsid w:val="008C196D"/>
    <w:rsid w:val="00913DB5"/>
    <w:rsid w:val="00974705"/>
    <w:rsid w:val="0098325C"/>
    <w:rsid w:val="009C6D5D"/>
    <w:rsid w:val="009C79B2"/>
    <w:rsid w:val="00A0284E"/>
    <w:rsid w:val="00A34F3E"/>
    <w:rsid w:val="00A35163"/>
    <w:rsid w:val="00A77904"/>
    <w:rsid w:val="00AC1018"/>
    <w:rsid w:val="00AE2B45"/>
    <w:rsid w:val="00B15F81"/>
    <w:rsid w:val="00B51BFA"/>
    <w:rsid w:val="00B65FB6"/>
    <w:rsid w:val="00B84CB3"/>
    <w:rsid w:val="00B925AD"/>
    <w:rsid w:val="00BA6F1E"/>
    <w:rsid w:val="00BD757F"/>
    <w:rsid w:val="00BF0C32"/>
    <w:rsid w:val="00C0315A"/>
    <w:rsid w:val="00C1086B"/>
    <w:rsid w:val="00C51245"/>
    <w:rsid w:val="00C74D70"/>
    <w:rsid w:val="00C80E57"/>
    <w:rsid w:val="00C8292A"/>
    <w:rsid w:val="00C8625D"/>
    <w:rsid w:val="00CA53D7"/>
    <w:rsid w:val="00CA63D2"/>
    <w:rsid w:val="00CF0C0C"/>
    <w:rsid w:val="00CF6098"/>
    <w:rsid w:val="00D12320"/>
    <w:rsid w:val="00D23335"/>
    <w:rsid w:val="00D26A26"/>
    <w:rsid w:val="00D34E8E"/>
    <w:rsid w:val="00D43968"/>
    <w:rsid w:val="00D514F4"/>
    <w:rsid w:val="00D57A44"/>
    <w:rsid w:val="00D77C3D"/>
    <w:rsid w:val="00D84D7F"/>
    <w:rsid w:val="00D93981"/>
    <w:rsid w:val="00DA35C9"/>
    <w:rsid w:val="00DE6F50"/>
    <w:rsid w:val="00DF7929"/>
    <w:rsid w:val="00E86058"/>
    <w:rsid w:val="00EE4213"/>
    <w:rsid w:val="00EF0723"/>
    <w:rsid w:val="00EF17B9"/>
    <w:rsid w:val="00EF7887"/>
    <w:rsid w:val="00F322A3"/>
    <w:rsid w:val="00F4535D"/>
    <w:rsid w:val="00F63AA9"/>
    <w:rsid w:val="00F86D1C"/>
    <w:rsid w:val="00FB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41E4"/>
  <w15:chartTrackingRefBased/>
  <w15:docId w15:val="{FCBFE27D-93FF-4628-9C63-2AEEC38A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1B"/>
    <w:pPr>
      <w:spacing w:before="100" w:beforeAutospacing="1" w:after="100" w:afterAutospacing="1" w:line="240" w:lineRule="auto"/>
    </w:pPr>
    <w:rPr>
      <w:color w:val="565751"/>
      <w:sz w:val="20"/>
    </w:rPr>
  </w:style>
  <w:style w:type="paragraph" w:styleId="Heading1">
    <w:name w:val="heading 1"/>
    <w:basedOn w:val="Title"/>
    <w:next w:val="Normal"/>
    <w:link w:val="Heading1Char"/>
    <w:uiPriority w:val="9"/>
    <w:qFormat/>
    <w:rsid w:val="00C51245"/>
    <w:pPr>
      <w:outlineLvl w:val="0"/>
    </w:pPr>
    <w:rPr>
      <w:rFonts w:ascii="Aptos Display" w:hAnsi="Aptos Display"/>
      <w:color w:val="385623"/>
    </w:rPr>
  </w:style>
  <w:style w:type="paragraph" w:styleId="Heading2">
    <w:name w:val="heading 2"/>
    <w:basedOn w:val="Normal"/>
    <w:next w:val="Normal"/>
    <w:link w:val="Heading2Char"/>
    <w:autoRedefine/>
    <w:unhideWhenUsed/>
    <w:qFormat/>
    <w:rsid w:val="003D220F"/>
    <w:pPr>
      <w:keepNext/>
      <w:keepLines/>
      <w:contextualSpacing/>
      <w:outlineLvl w:val="1"/>
    </w:pPr>
    <w:rPr>
      <w:rFonts w:ascii="Aptos" w:eastAsiaTheme="majorEastAsia" w:hAnsi="Aptos" w:cstheme="minorHAnsi"/>
      <w:b/>
      <w:color w:val="385623"/>
      <w:sz w:val="24"/>
      <w:lang w:eastAsia="en-AU"/>
    </w:rPr>
  </w:style>
  <w:style w:type="paragraph" w:styleId="Heading3">
    <w:name w:val="heading 3"/>
    <w:basedOn w:val="Normal"/>
    <w:next w:val="Normal"/>
    <w:link w:val="Heading3Char"/>
    <w:autoRedefine/>
    <w:uiPriority w:val="9"/>
    <w:unhideWhenUsed/>
    <w:qFormat/>
    <w:rsid w:val="00EF7887"/>
    <w:pPr>
      <w:spacing w:after="240" w:afterAutospacing="0"/>
      <w:outlineLvl w:val="2"/>
    </w:pPr>
    <w:rPr>
      <w:rFonts w:ascii="Aptos" w:eastAsiaTheme="majorEastAsia" w:hAnsi="Aptos" w:cstheme="majorBidi"/>
      <w:b/>
      <w:sz w:val="22"/>
      <w:szCs w:val="24"/>
    </w:rPr>
  </w:style>
  <w:style w:type="paragraph" w:styleId="Heading4">
    <w:name w:val="heading 4"/>
    <w:basedOn w:val="Normal"/>
    <w:next w:val="Normal"/>
    <w:link w:val="Heading4Char"/>
    <w:autoRedefine/>
    <w:uiPriority w:val="9"/>
    <w:unhideWhenUsed/>
    <w:qFormat/>
    <w:rsid w:val="00B15F81"/>
    <w:pPr>
      <w:keepNext/>
      <w:keepLines/>
      <w:outlineLvl w:val="3"/>
    </w:pPr>
    <w:rPr>
      <w:rFonts w:ascii="Aptos" w:eastAsiaTheme="majorEastAsia" w:hAnsi="Aptos" w:cstheme="majorBidi"/>
      <w:color w:val="3856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22">
    <w:name w:val="Green 22"/>
    <w:basedOn w:val="Heading1"/>
    <w:link w:val="Green22Char"/>
    <w:autoRedefine/>
    <w:rsid w:val="00794A12"/>
    <w:pPr>
      <w:spacing w:before="0"/>
    </w:pPr>
    <w:rPr>
      <w:b w:val="0"/>
      <w:color w:val="538135" w:themeColor="accent6" w:themeShade="BF"/>
    </w:rPr>
  </w:style>
  <w:style w:type="character" w:customStyle="1" w:styleId="Green22Char">
    <w:name w:val="Green 22 Char"/>
    <w:basedOn w:val="Heading1Char"/>
    <w:link w:val="Green22"/>
    <w:rsid w:val="00794A12"/>
    <w:rPr>
      <w:rFonts w:asciiTheme="majorHAnsi" w:eastAsiaTheme="majorEastAsia" w:hAnsiTheme="majorHAnsi" w:cstheme="majorBidi"/>
      <w:b w:val="0"/>
      <w:color w:val="538135" w:themeColor="accent6" w:themeShade="BF"/>
      <w:spacing w:val="-10"/>
      <w:kern w:val="28"/>
      <w:sz w:val="44"/>
      <w:szCs w:val="32"/>
    </w:rPr>
  </w:style>
  <w:style w:type="character" w:customStyle="1" w:styleId="Heading1Char">
    <w:name w:val="Heading 1 Char"/>
    <w:basedOn w:val="DefaultParagraphFont"/>
    <w:link w:val="Heading1"/>
    <w:uiPriority w:val="9"/>
    <w:rsid w:val="00C51245"/>
    <w:rPr>
      <w:rFonts w:ascii="Aptos Display" w:eastAsiaTheme="majorEastAsia" w:hAnsi="Aptos Display" w:cstheme="majorBidi"/>
      <w:b/>
      <w:color w:val="385623"/>
      <w:spacing w:val="-10"/>
      <w:kern w:val="28"/>
      <w:sz w:val="44"/>
      <w:szCs w:val="56"/>
    </w:rPr>
  </w:style>
  <w:style w:type="character" w:customStyle="1" w:styleId="Heading2Char">
    <w:name w:val="Heading 2 Char"/>
    <w:basedOn w:val="DefaultParagraphFont"/>
    <w:link w:val="Heading2"/>
    <w:rsid w:val="003D220F"/>
    <w:rPr>
      <w:rFonts w:ascii="Aptos" w:eastAsiaTheme="majorEastAsia" w:hAnsi="Aptos" w:cstheme="minorHAnsi"/>
      <w:b/>
      <w:color w:val="385623"/>
      <w:sz w:val="24"/>
      <w:lang w:eastAsia="en-AU"/>
    </w:rPr>
  </w:style>
  <w:style w:type="paragraph" w:styleId="Header">
    <w:name w:val="header"/>
    <w:basedOn w:val="Normal"/>
    <w:link w:val="HeaderChar"/>
    <w:unhideWhenUsed/>
    <w:rsid w:val="00760394"/>
    <w:pPr>
      <w:tabs>
        <w:tab w:val="center" w:pos="4513"/>
        <w:tab w:val="right" w:pos="9026"/>
      </w:tabs>
    </w:pPr>
  </w:style>
  <w:style w:type="character" w:customStyle="1" w:styleId="HeaderChar">
    <w:name w:val="Header Char"/>
    <w:basedOn w:val="DefaultParagraphFont"/>
    <w:link w:val="Header"/>
    <w:rsid w:val="00760394"/>
  </w:style>
  <w:style w:type="paragraph" w:styleId="Footer">
    <w:name w:val="footer"/>
    <w:basedOn w:val="Normal"/>
    <w:link w:val="FooterChar"/>
    <w:unhideWhenUsed/>
    <w:rsid w:val="00760394"/>
    <w:pPr>
      <w:tabs>
        <w:tab w:val="center" w:pos="4513"/>
        <w:tab w:val="right" w:pos="9026"/>
      </w:tabs>
    </w:pPr>
  </w:style>
  <w:style w:type="character" w:customStyle="1" w:styleId="FooterChar">
    <w:name w:val="Footer Char"/>
    <w:basedOn w:val="DefaultParagraphFont"/>
    <w:link w:val="Footer"/>
    <w:rsid w:val="00760394"/>
  </w:style>
  <w:style w:type="character" w:customStyle="1" w:styleId="Heading3Char">
    <w:name w:val="Heading 3 Char"/>
    <w:basedOn w:val="DefaultParagraphFont"/>
    <w:link w:val="Heading3"/>
    <w:uiPriority w:val="9"/>
    <w:rsid w:val="00EF7887"/>
    <w:rPr>
      <w:rFonts w:ascii="Aptos" w:eastAsiaTheme="majorEastAsia" w:hAnsi="Aptos" w:cstheme="majorBidi"/>
      <w:b/>
      <w:color w:val="565751"/>
      <w:szCs w:val="24"/>
    </w:rPr>
  </w:style>
  <w:style w:type="paragraph" w:styleId="Title">
    <w:name w:val="Title"/>
    <w:basedOn w:val="Normal"/>
    <w:next w:val="Normal"/>
    <w:link w:val="TitleChar"/>
    <w:uiPriority w:val="10"/>
    <w:qFormat/>
    <w:rsid w:val="00760394"/>
    <w:pPr>
      <w:spacing w:before="120" w:after="120"/>
    </w:pPr>
    <w:rPr>
      <w:rFonts w:eastAsiaTheme="majorEastAsia" w:cstheme="majorBidi"/>
      <w:b/>
      <w:color w:val="385623" w:themeColor="accent6" w:themeShade="80"/>
      <w:spacing w:val="-10"/>
      <w:kern w:val="28"/>
      <w:sz w:val="44"/>
      <w:szCs w:val="56"/>
    </w:rPr>
  </w:style>
  <w:style w:type="character" w:customStyle="1" w:styleId="TitleChar">
    <w:name w:val="Title Char"/>
    <w:basedOn w:val="DefaultParagraphFont"/>
    <w:link w:val="Title"/>
    <w:uiPriority w:val="10"/>
    <w:rsid w:val="00760394"/>
    <w:rPr>
      <w:rFonts w:eastAsiaTheme="majorEastAsia" w:cstheme="majorBidi"/>
      <w:b/>
      <w:color w:val="385623" w:themeColor="accent6" w:themeShade="80"/>
      <w:spacing w:val="-10"/>
      <w:kern w:val="28"/>
      <w:sz w:val="44"/>
      <w:szCs w:val="56"/>
    </w:rPr>
  </w:style>
  <w:style w:type="character" w:styleId="Hyperlink">
    <w:name w:val="Hyperlink"/>
    <w:basedOn w:val="DefaultParagraphFont"/>
    <w:uiPriority w:val="99"/>
    <w:unhideWhenUsed/>
    <w:rsid w:val="00760394"/>
    <w:rPr>
      <w:color w:val="0563C1" w:themeColor="hyperlink"/>
      <w:u w:val="single"/>
    </w:rPr>
  </w:style>
  <w:style w:type="table" w:styleId="TableGrid">
    <w:name w:val="Table Grid"/>
    <w:basedOn w:val="TableNormal"/>
    <w:uiPriority w:val="39"/>
    <w:rsid w:val="007603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760394"/>
    <w:pPr>
      <w:keepNext/>
      <w:keepLines/>
      <w:outlineLvl w:val="0"/>
    </w:pPr>
    <w:rPr>
      <w:rFonts w:eastAsiaTheme="majorEastAsia" w:cstheme="minorHAnsi"/>
      <w:b/>
      <w:color w:val="27639B"/>
      <w:sz w:val="24"/>
      <w:szCs w:val="48"/>
    </w:rPr>
  </w:style>
  <w:style w:type="paragraph" w:customStyle="1" w:styleId="bullet">
    <w:name w:val="bullet"/>
    <w:basedOn w:val="ListParagraph"/>
    <w:link w:val="bulletChar"/>
    <w:autoRedefine/>
    <w:qFormat/>
    <w:rsid w:val="008A70BB"/>
    <w:pPr>
      <w:numPr>
        <w:numId w:val="1"/>
      </w:numPr>
      <w:spacing w:before="120" w:beforeAutospacing="0" w:after="0" w:afterAutospacing="0"/>
      <w:ind w:left="357" w:hanging="357"/>
      <w:contextualSpacing w:val="0"/>
    </w:pPr>
    <w:rPr>
      <w:rFonts w:ascii="Aptos" w:hAnsi="Aptos"/>
    </w:rPr>
  </w:style>
  <w:style w:type="character" w:customStyle="1" w:styleId="bulletChar">
    <w:name w:val="bullet Char"/>
    <w:basedOn w:val="DefaultParagraphFont"/>
    <w:link w:val="bullet"/>
    <w:rsid w:val="008A70BB"/>
    <w:rPr>
      <w:rFonts w:ascii="Aptos" w:hAnsi="Aptos"/>
      <w:color w:val="565751"/>
      <w:sz w:val="20"/>
    </w:rPr>
  </w:style>
  <w:style w:type="paragraph" w:styleId="ListParagraph">
    <w:name w:val="List Paragraph"/>
    <w:basedOn w:val="Normal"/>
    <w:link w:val="ListParagraphChar"/>
    <w:uiPriority w:val="34"/>
    <w:qFormat/>
    <w:rsid w:val="00760394"/>
    <w:pPr>
      <w:ind w:left="720"/>
      <w:contextualSpacing/>
    </w:pPr>
  </w:style>
  <w:style w:type="character" w:customStyle="1" w:styleId="Heading4Char">
    <w:name w:val="Heading 4 Char"/>
    <w:basedOn w:val="DefaultParagraphFont"/>
    <w:link w:val="Heading4"/>
    <w:uiPriority w:val="9"/>
    <w:rsid w:val="00B15F81"/>
    <w:rPr>
      <w:rFonts w:ascii="Aptos" w:eastAsiaTheme="majorEastAsia" w:hAnsi="Aptos" w:cstheme="majorBidi"/>
      <w:color w:val="385623"/>
      <w:sz w:val="20"/>
      <w:u w:val="single"/>
    </w:rPr>
  </w:style>
  <w:style w:type="character" w:customStyle="1" w:styleId="ListParagraphChar">
    <w:name w:val="List Paragraph Char"/>
    <w:basedOn w:val="DefaultParagraphFont"/>
    <w:link w:val="ListParagraph"/>
    <w:uiPriority w:val="34"/>
    <w:rsid w:val="003720B4"/>
    <w:rPr>
      <w:color w:val="565751"/>
      <w:sz w:val="20"/>
    </w:rPr>
  </w:style>
  <w:style w:type="paragraph" w:customStyle="1" w:styleId="Style2">
    <w:name w:val="Style2"/>
    <w:basedOn w:val="Normal"/>
    <w:link w:val="Style2Char"/>
    <w:qFormat/>
    <w:rsid w:val="008176B1"/>
    <w:pPr>
      <w:spacing w:before="120" w:beforeAutospacing="0" w:after="0" w:afterAutospacing="0"/>
      <w:ind w:right="284"/>
    </w:pPr>
    <w:rPr>
      <w:rFonts w:ascii="Aptos" w:eastAsia="Times New Roman" w:hAnsi="Aptos" w:cstheme="minorHAnsi"/>
      <w:color w:val="5F5F5F"/>
      <w:kern w:val="0"/>
      <w:sz w:val="22"/>
      <w:szCs w:val="20"/>
      <w:lang w:val="en-US" w:eastAsia="en-AU"/>
      <w14:ligatures w14:val="none"/>
    </w:rPr>
  </w:style>
  <w:style w:type="character" w:customStyle="1" w:styleId="Style2Char">
    <w:name w:val="Style2 Char"/>
    <w:basedOn w:val="DefaultParagraphFont"/>
    <w:link w:val="Style2"/>
    <w:rsid w:val="008176B1"/>
    <w:rPr>
      <w:rFonts w:ascii="Aptos" w:eastAsia="Times New Roman" w:hAnsi="Aptos" w:cstheme="minorHAnsi"/>
      <w:color w:val="5F5F5F"/>
      <w:kern w:val="0"/>
      <w:szCs w:val="20"/>
      <w:lang w:val="en-US" w:eastAsia="en-AU"/>
      <w14:ligatures w14:val="none"/>
    </w:rPr>
  </w:style>
  <w:style w:type="character" w:styleId="FootnoteReference">
    <w:name w:val="footnote reference"/>
    <w:basedOn w:val="DefaultParagraphFont"/>
    <w:semiHidden/>
    <w:unhideWhenUsed/>
    <w:rsid w:val="00707EC5"/>
    <w:rPr>
      <w:vertAlign w:val="superscript"/>
    </w:rPr>
  </w:style>
  <w:style w:type="paragraph" w:customStyle="1" w:styleId="AptosList">
    <w:name w:val="Aptos List"/>
    <w:basedOn w:val="Normal"/>
    <w:autoRedefine/>
    <w:rsid w:val="00707EC5"/>
    <w:pPr>
      <w:spacing w:before="0" w:beforeAutospacing="0" w:after="120" w:afterAutospacing="0"/>
    </w:pPr>
    <w:rPr>
      <w:rFonts w:ascii="Aptos" w:eastAsiaTheme="majorEastAsia" w:hAnsi="Aptos" w:cstheme="majorBidi"/>
      <w:kern w:val="0"/>
      <w:szCs w:val="32"/>
      <w14:ligatures w14:val="none"/>
    </w:rPr>
  </w:style>
  <w:style w:type="character" w:styleId="CommentReference">
    <w:name w:val="annotation reference"/>
    <w:basedOn w:val="DefaultParagraphFont"/>
    <w:uiPriority w:val="99"/>
    <w:semiHidden/>
    <w:unhideWhenUsed/>
    <w:rsid w:val="001D03A6"/>
    <w:rPr>
      <w:sz w:val="16"/>
      <w:szCs w:val="16"/>
    </w:rPr>
  </w:style>
  <w:style w:type="paragraph" w:styleId="CommentText">
    <w:name w:val="annotation text"/>
    <w:basedOn w:val="Normal"/>
    <w:link w:val="CommentTextChar"/>
    <w:uiPriority w:val="99"/>
    <w:unhideWhenUsed/>
    <w:rsid w:val="001D03A6"/>
    <w:rPr>
      <w:szCs w:val="20"/>
    </w:rPr>
  </w:style>
  <w:style w:type="character" w:customStyle="1" w:styleId="CommentTextChar">
    <w:name w:val="Comment Text Char"/>
    <w:basedOn w:val="DefaultParagraphFont"/>
    <w:link w:val="CommentText"/>
    <w:uiPriority w:val="99"/>
    <w:rsid w:val="001D03A6"/>
    <w:rPr>
      <w:color w:val="565751"/>
      <w:sz w:val="20"/>
      <w:szCs w:val="20"/>
    </w:rPr>
  </w:style>
  <w:style w:type="paragraph" w:styleId="CommentSubject">
    <w:name w:val="annotation subject"/>
    <w:basedOn w:val="CommentText"/>
    <w:next w:val="CommentText"/>
    <w:link w:val="CommentSubjectChar"/>
    <w:uiPriority w:val="99"/>
    <w:semiHidden/>
    <w:unhideWhenUsed/>
    <w:rsid w:val="001D03A6"/>
    <w:rPr>
      <w:b/>
      <w:bCs/>
    </w:rPr>
  </w:style>
  <w:style w:type="character" w:customStyle="1" w:styleId="CommentSubjectChar">
    <w:name w:val="Comment Subject Char"/>
    <w:basedOn w:val="CommentTextChar"/>
    <w:link w:val="CommentSubject"/>
    <w:uiPriority w:val="99"/>
    <w:semiHidden/>
    <w:rsid w:val="001D03A6"/>
    <w:rPr>
      <w:b/>
      <w:bCs/>
      <w:color w:val="565751"/>
      <w:sz w:val="20"/>
      <w:szCs w:val="20"/>
    </w:rPr>
  </w:style>
  <w:style w:type="paragraph" w:styleId="FootnoteText">
    <w:name w:val="footnote text"/>
    <w:basedOn w:val="Normal"/>
    <w:link w:val="FootnoteTextChar"/>
    <w:uiPriority w:val="99"/>
    <w:unhideWhenUsed/>
    <w:rsid w:val="00272343"/>
    <w:pPr>
      <w:spacing w:before="0" w:beforeAutospacing="0" w:after="0" w:afterAutospacing="0"/>
    </w:pPr>
    <w:rPr>
      <w:rFonts w:ascii="Aptos" w:eastAsia="Times New Roman" w:hAnsi="Aptos" w:cs="Times New Roman"/>
      <w:color w:val="auto"/>
      <w:kern w:val="0"/>
      <w:sz w:val="22"/>
      <w:szCs w:val="20"/>
      <w14:ligatures w14:val="none"/>
    </w:rPr>
  </w:style>
  <w:style w:type="character" w:customStyle="1" w:styleId="FootnoteTextChar">
    <w:name w:val="Footnote Text Char"/>
    <w:basedOn w:val="DefaultParagraphFont"/>
    <w:link w:val="FootnoteText"/>
    <w:uiPriority w:val="99"/>
    <w:rsid w:val="00272343"/>
    <w:rPr>
      <w:rFonts w:ascii="Aptos" w:eastAsia="Times New Roman" w:hAnsi="Apto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hg@nopta.gov.au" TargetMode="External"/><Relationship Id="rId7" Type="http://schemas.openxmlformats.org/officeDocument/2006/relationships/settings" Target="settings.xml"/><Relationship Id="rId12" Type="http://schemas.openxmlformats.org/officeDocument/2006/relationships/hyperlink" Target="http://www.nopt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eats.nopt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Series/C2006A0001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opta.gov.au/_documents/policy/annual-titles-administration-levy-remittals-refunds-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NodCategory xmlns="7012054d-3a07-4b40-940b-a148fc76e5c4">Application</NodCategory>
    <NodDocumentUtility xmlns="7012054d-3a07-4b40-940b-a148fc76e5c4">
      <Value>Internal</Value>
    </NodDocumentUtility>
    <NodTeamOwner xmlns="7012054d-3a07-4b40-940b-a148fc76e5c4">Titles</NodTeamOwner>
    <NodReviewDate xmlns="7012054d-3a07-4b40-940b-a148fc76e5c4" xsi:nil="true"/>
    <_dlc_DocId xmlns="7012054d-3a07-4b40-940b-a148fc76e5c4">NOPTANET-2013565408-454</_dlc_DocId>
    <_dlc_DocIdUrl xmlns="7012054d-3a07-4b40-940b-a148fc76e5c4">
      <Url>https://nopta.sharepoint.com/team/TT/_layouts/15/DocIdRedir.aspx?ID=NOPTANET-2013565408-454</Url>
      <Description>NOPTANET-2013565408-454</Description>
    </_dlc_DocIdUrl>
    <Legislation xmlns="e24b6844-fd35-4c7c-a0c3-e85a04fb1d4a" xsi:nil="true"/>
    <Part xmlns="e24b6844-fd35-4c7c-a0c3-e85a04fb1d4a" xsi:nil="true"/>
    <Section xmlns="e24b6844-fd35-4c7c-a0c3-e85a04fb1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4F8A28-7BB1-414C-BEDB-007BD900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5D8A5-CC26-4DD9-9B90-B4BEA7249E41}">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ca5163-9ce5-48c5-93c4-923f0a25b977"/>
    <ds:schemaRef ds:uri="e24b6844-fd35-4c7c-a0c3-e85a04fb1d4a"/>
    <ds:schemaRef ds:uri="http://www.w3.org/XML/1998/namespace"/>
    <ds:schemaRef ds:uri="http://purl.org/dc/dcmitype/"/>
  </ds:schemaRefs>
</ds:datastoreItem>
</file>

<file path=customXml/itemProps3.xml><?xml version="1.0" encoding="utf-8"?>
<ds:datastoreItem xmlns:ds="http://schemas.openxmlformats.org/officeDocument/2006/customXml" ds:itemID="{BF5B1D70-257E-4DAE-B1D5-586605D73E70}">
  <ds:schemaRefs>
    <ds:schemaRef ds:uri="http://schemas.microsoft.com/sharepoint/v3/contenttype/forms"/>
  </ds:schemaRefs>
</ds:datastoreItem>
</file>

<file path=customXml/itemProps4.xml><?xml version="1.0" encoding="utf-8"?>
<ds:datastoreItem xmlns:ds="http://schemas.openxmlformats.org/officeDocument/2006/customXml" ds:itemID="{C91A83AB-313E-4783-9913-CFC5D470F1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Belcher</dc:creator>
  <cp:keywords/>
  <dc:description/>
  <cp:lastModifiedBy>Rashmi Singh</cp:lastModifiedBy>
  <cp:revision>2</cp:revision>
  <dcterms:created xsi:type="dcterms:W3CDTF">2025-06-03T07:48:00Z</dcterms:created>
  <dcterms:modified xsi:type="dcterms:W3CDTF">2025-06-03T07:48:00Z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2024-02-19T07:15:46Z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7dffebbc-ae26-4ebd-a178-f82ba58009ea</vt:lpwstr>
  </property>
  <property fmtid="{D5CDD505-2E9C-101B-9397-08002B2CF9AE}" pid="8" name="MSIP_Label_93cd4f2a-0040-47df-a467-7cba635d669c_ContentBits">
    <vt:lpwstr>0</vt:lpwstr>
  </property>
  <property fmtid="{D5CDD505-2E9C-101B-9397-08002B2CF9AE}" pid="9" name="ContentTypeId">
    <vt:lpwstr>0x010100F8645BF632A9D54BB9622FA6FB859D2F001D957317C476814FAAB44FC1E0C5D83B</vt:lpwstr>
  </property>
  <property fmtid="{D5CDD505-2E9C-101B-9397-08002B2CF9AE}" pid="10" name="_dlc_DocIdItemGuid">
    <vt:lpwstr>a1d7e199-afef-4662-8ded-167b6b19af79</vt:lpwstr>
  </property>
</Properties>
</file>