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849E" w14:textId="618B3DEB" w:rsidR="00244C55" w:rsidRPr="00D04939" w:rsidRDefault="00244C55" w:rsidP="00AD3E15">
      <w:pPr>
        <w:pStyle w:val="Heading1"/>
        <w:spacing w:before="0" w:beforeAutospacing="0" w:after="0" w:afterAutospacing="0"/>
        <w:ind w:right="-283"/>
        <w:rPr>
          <w:rFonts w:ascii="Aptos Narrow" w:hAnsi="Aptos Narrow"/>
        </w:rPr>
        <w:sectPr w:rsidR="00244C55" w:rsidRPr="00D04939" w:rsidSect="00244C55">
          <w:headerReference w:type="default" r:id="rId7"/>
          <w:footerReference w:type="default" r:id="rId8"/>
          <w:pgSz w:w="11906" w:h="16838"/>
          <w:pgMar w:top="2410" w:right="849" w:bottom="992" w:left="992" w:header="709" w:footer="261" w:gutter="0"/>
          <w:cols w:space="708"/>
          <w:docGrid w:linePitch="360"/>
        </w:sectPr>
      </w:pPr>
      <w:r w:rsidRPr="00D04939">
        <w:rPr>
          <w:rFonts w:ascii="Aptos Narrow" w:hAnsi="Aptos Narrow"/>
        </w:rPr>
        <w:t xml:space="preserve">Updated licensing requirements for petroleum and greenhouse gas </w:t>
      </w:r>
      <w:r w:rsidR="00222C0D" w:rsidRPr="00D04939">
        <w:rPr>
          <w:rFonts w:ascii="Aptos Narrow" w:hAnsi="Aptos Narrow"/>
        </w:rPr>
        <w:t>a</w:t>
      </w:r>
      <w:r w:rsidRPr="00D04939">
        <w:rPr>
          <w:rFonts w:ascii="Aptos Narrow" w:hAnsi="Aptos Narrow"/>
        </w:rPr>
        <w:t xml:space="preserve">ctivities </w:t>
      </w:r>
      <w:r w:rsidR="00222C0D" w:rsidRPr="00D04939">
        <w:rPr>
          <w:rFonts w:ascii="Aptos Narrow" w:hAnsi="Aptos Narrow"/>
        </w:rPr>
        <w:t>f</w:t>
      </w:r>
      <w:r w:rsidRPr="00D04939">
        <w:rPr>
          <w:rFonts w:ascii="Aptos Narrow" w:hAnsi="Aptos Narrow"/>
        </w:rPr>
        <w:t xml:space="preserve">ollowing </w:t>
      </w:r>
      <w:r w:rsidR="007657A4" w:rsidRPr="00D04939">
        <w:rPr>
          <w:rFonts w:ascii="Aptos Narrow" w:hAnsi="Aptos Narrow"/>
        </w:rPr>
        <w:t xml:space="preserve">the </w:t>
      </w:r>
      <w:r w:rsidRPr="00D04939">
        <w:rPr>
          <w:rFonts w:ascii="Aptos Narrow" w:hAnsi="Aptos Narrow"/>
        </w:rPr>
        <w:t xml:space="preserve">Federal </w:t>
      </w:r>
      <w:r w:rsidR="000B2976" w:rsidRPr="00D04939">
        <w:rPr>
          <w:rFonts w:ascii="Aptos Narrow" w:hAnsi="Aptos Narrow"/>
        </w:rPr>
        <w:t>Court r</w:t>
      </w:r>
      <w:r w:rsidRPr="00D04939">
        <w:rPr>
          <w:rFonts w:ascii="Aptos Narrow" w:hAnsi="Aptos Narrow"/>
        </w:rPr>
        <w:t xml:space="preserve">uling in the Commissioner </w:t>
      </w:r>
      <w:r w:rsidR="00A97805" w:rsidRPr="00D04939">
        <w:rPr>
          <w:rFonts w:ascii="Aptos Narrow" w:hAnsi="Aptos Narrow"/>
        </w:rPr>
        <w:t xml:space="preserve">of </w:t>
      </w:r>
      <w:r w:rsidRPr="00D04939">
        <w:rPr>
          <w:rFonts w:ascii="Aptos Narrow" w:hAnsi="Aptos Narrow"/>
        </w:rPr>
        <w:t>Taxation v Shell</w:t>
      </w:r>
      <w:r w:rsidR="00B23CCA" w:rsidRPr="00D04939">
        <w:rPr>
          <w:rFonts w:ascii="Aptos Narrow" w:hAnsi="Aptos Narrow"/>
        </w:rPr>
        <w:t xml:space="preserve"> Energy Holdings Aus</w:t>
      </w:r>
      <w:r w:rsidR="00F41471" w:rsidRPr="00D04939">
        <w:rPr>
          <w:rFonts w:ascii="Aptos Narrow" w:hAnsi="Aptos Narrow"/>
        </w:rPr>
        <w:t xml:space="preserve">tralia </w:t>
      </w:r>
      <w:r w:rsidR="00B23CCA" w:rsidRPr="00D04939">
        <w:rPr>
          <w:rFonts w:ascii="Aptos Narrow" w:hAnsi="Aptos Narrow"/>
        </w:rPr>
        <w:t>Limited</w:t>
      </w:r>
      <w:r w:rsidRPr="00D04939">
        <w:rPr>
          <w:rFonts w:ascii="Aptos Narrow" w:hAnsi="Aptos Narrow"/>
        </w:rPr>
        <w:t xml:space="preserve"> </w:t>
      </w:r>
    </w:p>
    <w:p w14:paraId="4E02297B" w14:textId="4EA19DCE" w:rsidR="009B34FE" w:rsidRPr="00D04939" w:rsidRDefault="009B34FE" w:rsidP="009B34FE">
      <w:pPr>
        <w:spacing w:before="120" w:beforeAutospacing="0" w:after="120" w:afterAutospacing="0"/>
        <w:rPr>
          <w:rFonts w:ascii="Aptos Narrow" w:hAnsi="Aptos Narrow" w:cs="Calibri"/>
          <w:szCs w:val="20"/>
          <w:lang w:eastAsia="en-AU"/>
        </w:rPr>
      </w:pPr>
      <w:r w:rsidRPr="00D04939">
        <w:rPr>
          <w:rFonts w:ascii="Aptos Narrow" w:hAnsi="Aptos Narrow" w:cs="Calibri"/>
          <w:szCs w:val="20"/>
          <w:lang w:eastAsia="en-AU"/>
        </w:rPr>
        <w:t xml:space="preserve">This factsheet provides guidance to Industry in response to questions raised on additional title requirements following the decision of the Full </w:t>
      </w:r>
      <w:r w:rsidR="00A47D60" w:rsidRPr="00D04939">
        <w:rPr>
          <w:rFonts w:ascii="Aptos Narrow" w:hAnsi="Aptos Narrow" w:cs="Calibri"/>
          <w:szCs w:val="20"/>
          <w:lang w:eastAsia="en-AU"/>
        </w:rPr>
        <w:t xml:space="preserve">Federal </w:t>
      </w:r>
      <w:r w:rsidRPr="00D04939">
        <w:rPr>
          <w:rFonts w:ascii="Aptos Narrow" w:hAnsi="Aptos Narrow" w:cs="Calibri"/>
          <w:szCs w:val="20"/>
          <w:lang w:eastAsia="en-AU"/>
        </w:rPr>
        <w:t>Court in</w:t>
      </w:r>
      <w:r w:rsidR="00243077" w:rsidRPr="00D04939">
        <w:rPr>
          <w:rFonts w:ascii="Aptos Narrow" w:hAnsi="Aptos Narrow" w:cs="Calibri"/>
          <w:szCs w:val="20"/>
          <w:lang w:eastAsia="en-AU"/>
        </w:rPr>
        <w:t xml:space="preserve"> the</w:t>
      </w:r>
      <w:r w:rsidRPr="00D04939">
        <w:rPr>
          <w:rFonts w:ascii="Aptos Narrow" w:hAnsi="Aptos Narrow" w:cs="Calibri"/>
          <w:szCs w:val="20"/>
          <w:lang w:eastAsia="en-AU"/>
        </w:rPr>
        <w:t xml:space="preserve"> </w:t>
      </w:r>
      <w:r w:rsidRPr="00D04939">
        <w:rPr>
          <w:rFonts w:ascii="Aptos Narrow" w:hAnsi="Aptos Narrow" w:cs="Calibri"/>
          <w:i/>
          <w:iCs/>
          <w:szCs w:val="20"/>
          <w:lang w:eastAsia="en-AU"/>
        </w:rPr>
        <w:t>Commissioner</w:t>
      </w:r>
      <w:r w:rsidRPr="00D04939">
        <w:rPr>
          <w:rFonts w:ascii="Aptos Narrow" w:hAnsi="Aptos Narrow" w:cs="Calibri"/>
          <w:szCs w:val="20"/>
          <w:lang w:eastAsia="en-AU"/>
        </w:rPr>
        <w:t xml:space="preserve"> </w:t>
      </w:r>
      <w:r w:rsidRPr="00D04939">
        <w:rPr>
          <w:rFonts w:ascii="Aptos Narrow" w:hAnsi="Aptos Narrow" w:cs="Calibri"/>
          <w:i/>
          <w:iCs/>
          <w:szCs w:val="20"/>
          <w:lang w:eastAsia="en-AU"/>
        </w:rPr>
        <w:t xml:space="preserve">of Taxation v Shell Energy Holdings Australia Limited </w:t>
      </w:r>
      <w:r w:rsidRPr="00D04939">
        <w:rPr>
          <w:rFonts w:ascii="Aptos Narrow" w:hAnsi="Aptos Narrow" w:cs="Calibri"/>
          <w:szCs w:val="20"/>
          <w:lang w:eastAsia="en-AU"/>
        </w:rPr>
        <w:t>[2022] FCA FC 2,</w:t>
      </w:r>
      <w:r w:rsidRPr="00D04939">
        <w:rPr>
          <w:rFonts w:ascii="Aptos Narrow" w:hAnsi="Aptos Narrow" w:cs="Calibri"/>
          <w:i/>
          <w:iCs/>
          <w:szCs w:val="20"/>
          <w:lang w:eastAsia="en-AU"/>
        </w:rPr>
        <w:t xml:space="preserve"> </w:t>
      </w:r>
      <w:r w:rsidRPr="00D04939">
        <w:rPr>
          <w:rFonts w:ascii="Aptos Narrow" w:hAnsi="Aptos Narrow" w:cs="Calibri"/>
          <w:szCs w:val="20"/>
          <w:lang w:eastAsia="en-AU"/>
        </w:rPr>
        <w:t>on appeal from</w:t>
      </w:r>
      <w:r w:rsidRPr="00D04939">
        <w:rPr>
          <w:rFonts w:ascii="Aptos Narrow" w:hAnsi="Aptos Narrow" w:cs="Calibri"/>
          <w:i/>
          <w:iCs/>
          <w:szCs w:val="20"/>
          <w:lang w:eastAsia="en-AU"/>
        </w:rPr>
        <w:t xml:space="preserve"> Shell Energy Holdings Australia Limited v Commissioner of Taxation </w:t>
      </w:r>
      <w:r w:rsidRPr="00D04939">
        <w:rPr>
          <w:rFonts w:ascii="Aptos Narrow" w:hAnsi="Aptos Narrow" w:cs="Calibri"/>
          <w:szCs w:val="20"/>
          <w:lang w:eastAsia="en-AU"/>
        </w:rPr>
        <w:t>[2021] FCA 496</w:t>
      </w:r>
      <w:r w:rsidRPr="00D04939">
        <w:rPr>
          <w:rFonts w:ascii="Aptos Narrow" w:hAnsi="Aptos Narrow" w:cs="Calibri"/>
          <w:i/>
          <w:szCs w:val="20"/>
          <w:lang w:eastAsia="en-AU"/>
        </w:rPr>
        <w:t xml:space="preserve"> </w:t>
      </w:r>
      <w:r w:rsidRPr="00D04939">
        <w:rPr>
          <w:rFonts w:ascii="Aptos Narrow" w:hAnsi="Aptos Narrow" w:cs="Calibri"/>
          <w:b/>
          <w:bCs/>
          <w:szCs w:val="20"/>
          <w:lang w:eastAsia="en-AU"/>
        </w:rPr>
        <w:t>(the Judgments)</w:t>
      </w:r>
      <w:r w:rsidRPr="00D04939">
        <w:rPr>
          <w:rFonts w:ascii="Aptos Narrow" w:hAnsi="Aptos Narrow" w:cs="Calibri"/>
          <w:szCs w:val="20"/>
          <w:lang w:eastAsia="en-AU"/>
        </w:rPr>
        <w:t>.</w:t>
      </w:r>
    </w:p>
    <w:p w14:paraId="43FE2DF9" w14:textId="7AD8E963" w:rsidR="009B34FE" w:rsidRPr="00D04939" w:rsidRDefault="009B34FE" w:rsidP="00C90A82">
      <w:pPr>
        <w:pStyle w:val="Heading2"/>
        <w:spacing w:before="100" w:after="0" w:afterAutospacing="0"/>
        <w:rPr>
          <w:rFonts w:ascii="Aptos Narrow" w:hAnsi="Aptos Narrow" w:cs="Calibri"/>
          <w:b/>
          <w:bCs/>
          <w:sz w:val="24"/>
          <w:szCs w:val="24"/>
        </w:rPr>
      </w:pPr>
      <w:r w:rsidRPr="00D04939">
        <w:rPr>
          <w:rFonts w:ascii="Aptos Narrow" w:hAnsi="Aptos Narrow" w:cs="Calibri"/>
          <w:b/>
          <w:bCs/>
          <w:sz w:val="24"/>
          <w:szCs w:val="24"/>
        </w:rPr>
        <w:t>Clarification of the definition of “</w:t>
      </w:r>
      <w:r w:rsidR="00A20D87" w:rsidRPr="00D04939">
        <w:rPr>
          <w:rFonts w:ascii="Aptos Narrow" w:hAnsi="Aptos Narrow" w:cs="Calibri"/>
          <w:b/>
          <w:bCs/>
          <w:sz w:val="24"/>
          <w:szCs w:val="24"/>
        </w:rPr>
        <w:t>explore</w:t>
      </w:r>
      <w:r w:rsidR="00AD21CD" w:rsidRPr="00D04939">
        <w:rPr>
          <w:rFonts w:ascii="Aptos Narrow" w:hAnsi="Aptos Narrow" w:cs="Calibri"/>
          <w:b/>
          <w:bCs/>
          <w:sz w:val="24"/>
          <w:szCs w:val="24"/>
        </w:rPr>
        <w:t>.”</w:t>
      </w:r>
    </w:p>
    <w:p w14:paraId="085DBDDC" w14:textId="3BEA9BD0" w:rsidR="00887C35" w:rsidRPr="00D04939" w:rsidRDefault="00316ED1" w:rsidP="009B34FE">
      <w:pPr>
        <w:spacing w:before="120" w:beforeAutospacing="0" w:after="120" w:afterAutospacing="0"/>
        <w:ind w:right="-142"/>
        <w:textAlignment w:val="baseline"/>
        <w:rPr>
          <w:rFonts w:ascii="Aptos Narrow" w:hAnsi="Aptos Narrow" w:cs="Calibri"/>
          <w:szCs w:val="20"/>
          <w:lang w:eastAsia="en-AU"/>
        </w:rPr>
      </w:pPr>
      <w:r w:rsidRPr="00D04939">
        <w:rPr>
          <w:rFonts w:ascii="Aptos Narrow" w:hAnsi="Aptos Narrow" w:cs="Calibri"/>
          <w:szCs w:val="20"/>
          <w:lang w:eastAsia="en-AU"/>
        </w:rPr>
        <w:t>T</w:t>
      </w:r>
      <w:r w:rsidR="009B34FE" w:rsidRPr="00D04939">
        <w:rPr>
          <w:rFonts w:ascii="Aptos Narrow" w:hAnsi="Aptos Narrow" w:cs="Calibri"/>
          <w:szCs w:val="20"/>
          <w:lang w:eastAsia="en-AU"/>
        </w:rPr>
        <w:t xml:space="preserve">he Federal Court </w:t>
      </w:r>
      <w:r w:rsidRPr="00D04939">
        <w:rPr>
          <w:rFonts w:ascii="Aptos Narrow" w:hAnsi="Aptos Narrow" w:cs="Calibri"/>
          <w:szCs w:val="20"/>
          <w:lang w:eastAsia="en-AU"/>
        </w:rPr>
        <w:t xml:space="preserve">Judgments clarify </w:t>
      </w:r>
      <w:r w:rsidR="009B34FE" w:rsidRPr="00D04939">
        <w:rPr>
          <w:rFonts w:ascii="Aptos Narrow" w:hAnsi="Aptos Narrow" w:cs="Calibri"/>
          <w:szCs w:val="20"/>
          <w:lang w:eastAsia="en-AU"/>
        </w:rPr>
        <w:t xml:space="preserve">that the term “explore” </w:t>
      </w:r>
      <w:r w:rsidR="003702C5" w:rsidRPr="00D04939">
        <w:rPr>
          <w:rFonts w:ascii="Aptos Narrow" w:hAnsi="Aptos Narrow" w:cs="Calibri"/>
          <w:szCs w:val="20"/>
          <w:lang w:eastAsia="en-AU"/>
        </w:rPr>
        <w:t xml:space="preserve">has a wide meaning under the </w:t>
      </w:r>
      <w:hyperlink r:id="rId9" w:history="1">
        <w:r w:rsidR="009B34FE" w:rsidRPr="00D04939">
          <w:rPr>
            <w:rStyle w:val="Hyperlink"/>
            <w:rFonts w:ascii="Aptos Narrow" w:hAnsi="Aptos Narrow" w:cs="Calibri"/>
            <w:i/>
            <w:iCs/>
            <w:color w:val="0070C0"/>
            <w:lang w:eastAsia="en-AU"/>
          </w:rPr>
          <w:t>Offshore Petroleum and Greenhouse Gas Storage Act 2006</w:t>
        </w:r>
      </w:hyperlink>
      <w:r w:rsidR="009B34FE" w:rsidRPr="00D04939">
        <w:rPr>
          <w:rStyle w:val="Hyperlink"/>
          <w:rFonts w:ascii="Aptos Narrow" w:hAnsi="Aptos Narrow"/>
          <w:i/>
          <w:iCs/>
          <w:color w:val="0070C0"/>
        </w:rPr>
        <w:t xml:space="preserve"> </w:t>
      </w:r>
      <w:r w:rsidR="009B34FE" w:rsidRPr="00D04939">
        <w:rPr>
          <w:rFonts w:ascii="Aptos Narrow" w:hAnsi="Aptos Narrow" w:cs="Calibri"/>
          <w:szCs w:val="20"/>
          <w:lang w:eastAsia="en-AU"/>
        </w:rPr>
        <w:t>(</w:t>
      </w:r>
      <w:r w:rsidR="009B34FE" w:rsidRPr="00D04939">
        <w:rPr>
          <w:rFonts w:ascii="Aptos Narrow" w:hAnsi="Aptos Narrow" w:cs="Calibri"/>
          <w:b/>
          <w:bCs/>
          <w:szCs w:val="20"/>
          <w:lang w:eastAsia="en-AU"/>
        </w:rPr>
        <w:t>the OPGGS Act</w:t>
      </w:r>
      <w:r w:rsidR="009B34FE" w:rsidRPr="00D04939">
        <w:rPr>
          <w:rFonts w:ascii="Aptos Narrow" w:hAnsi="Aptos Narrow" w:cs="Calibri"/>
          <w:szCs w:val="20"/>
          <w:lang w:eastAsia="en-AU"/>
        </w:rPr>
        <w:t>)</w:t>
      </w:r>
      <w:r w:rsidR="00C91E58" w:rsidRPr="00D04939">
        <w:rPr>
          <w:rFonts w:ascii="Aptos Narrow" w:hAnsi="Aptos Narrow" w:cs="Calibri"/>
          <w:szCs w:val="20"/>
          <w:lang w:eastAsia="en-AU"/>
        </w:rPr>
        <w:t xml:space="preserve">, and that there should be </w:t>
      </w:r>
      <w:r w:rsidR="00C91E58" w:rsidRPr="00D04939">
        <w:rPr>
          <w:rFonts w:ascii="Aptos Narrow" w:hAnsi="Aptos Narrow"/>
        </w:rPr>
        <w:t>no lacuna in the activities requiring authorisation</w:t>
      </w:r>
      <w:r w:rsidR="00574EEB" w:rsidRPr="00D04939">
        <w:rPr>
          <w:rFonts w:ascii="Aptos Narrow" w:hAnsi="Aptos Narrow"/>
        </w:rPr>
        <w:t xml:space="preserve"> under the OPGGS Act</w:t>
      </w:r>
      <w:r w:rsidR="00EA268F" w:rsidRPr="00D04939">
        <w:rPr>
          <w:rFonts w:ascii="Aptos Narrow" w:hAnsi="Aptos Narrow" w:cs="Calibri"/>
          <w:szCs w:val="20"/>
          <w:lang w:eastAsia="en-AU"/>
        </w:rPr>
        <w:t>.</w:t>
      </w:r>
      <w:r w:rsidR="00315786" w:rsidRPr="00D04939">
        <w:rPr>
          <w:rFonts w:ascii="Aptos Narrow" w:hAnsi="Aptos Narrow" w:cs="Calibri"/>
          <w:szCs w:val="20"/>
          <w:lang w:eastAsia="en-AU"/>
        </w:rPr>
        <w:t xml:space="preserve"> </w:t>
      </w:r>
      <w:r w:rsidR="00F52308" w:rsidRPr="00D04939">
        <w:rPr>
          <w:rFonts w:ascii="Aptos Narrow" w:hAnsi="Aptos Narrow" w:cs="Calibri"/>
          <w:szCs w:val="20"/>
          <w:lang w:eastAsia="en-AU"/>
        </w:rPr>
        <w:t>Further, w</w:t>
      </w:r>
      <w:r w:rsidR="00887C35" w:rsidRPr="00D04939">
        <w:rPr>
          <w:rFonts w:ascii="Aptos Narrow" w:hAnsi="Aptos Narrow" w:cs="Calibri"/>
          <w:szCs w:val="20"/>
          <w:lang w:eastAsia="en-AU"/>
        </w:rPr>
        <w:t xml:space="preserve">hile the Judgments were concerned with determining the meaning of ‘exploration’ for petroleum, </w:t>
      </w:r>
      <w:r w:rsidR="00A47230" w:rsidRPr="00D04939">
        <w:rPr>
          <w:rFonts w:ascii="Aptos Narrow" w:hAnsi="Aptos Narrow" w:cs="Calibri"/>
          <w:szCs w:val="20"/>
          <w:lang w:eastAsia="en-AU"/>
        </w:rPr>
        <w:t xml:space="preserve">NOPTA will apply </w:t>
      </w:r>
      <w:r w:rsidR="00887C35" w:rsidRPr="00D04939">
        <w:rPr>
          <w:rFonts w:ascii="Aptos Narrow" w:hAnsi="Aptos Narrow" w:cs="Calibri"/>
          <w:szCs w:val="20"/>
          <w:lang w:eastAsia="en-AU"/>
        </w:rPr>
        <w:t xml:space="preserve">a similarly wide meaning </w:t>
      </w:r>
      <w:r w:rsidR="00A47230" w:rsidRPr="00D04939">
        <w:rPr>
          <w:rFonts w:ascii="Aptos Narrow" w:hAnsi="Aptos Narrow" w:cs="Calibri"/>
          <w:szCs w:val="20"/>
          <w:lang w:eastAsia="en-AU"/>
        </w:rPr>
        <w:t xml:space="preserve">to ‘exploration’ </w:t>
      </w:r>
      <w:r w:rsidR="00887C35" w:rsidRPr="00D04939">
        <w:rPr>
          <w:rFonts w:ascii="Aptos Narrow" w:hAnsi="Aptos Narrow" w:cs="Calibri"/>
          <w:szCs w:val="20"/>
          <w:lang w:eastAsia="en-AU"/>
        </w:rPr>
        <w:t>when used in the context of the greenhouse gas (</w:t>
      </w:r>
      <w:r w:rsidR="00887C35" w:rsidRPr="00D04939">
        <w:rPr>
          <w:rFonts w:ascii="Aptos Narrow" w:hAnsi="Aptos Narrow" w:cs="Calibri"/>
          <w:b/>
          <w:bCs/>
          <w:szCs w:val="20"/>
          <w:lang w:eastAsia="en-AU"/>
        </w:rPr>
        <w:t>GHG</w:t>
      </w:r>
      <w:r w:rsidR="00887C35" w:rsidRPr="00D04939">
        <w:rPr>
          <w:rFonts w:ascii="Aptos Narrow" w:hAnsi="Aptos Narrow" w:cs="Calibri"/>
          <w:szCs w:val="20"/>
          <w:lang w:eastAsia="en-AU"/>
        </w:rPr>
        <w:t>) provisions in the OPGGS Act.</w:t>
      </w:r>
      <w:r w:rsidR="0072144C" w:rsidRPr="00D04939">
        <w:rPr>
          <w:rFonts w:ascii="Aptos Narrow" w:hAnsi="Aptos Narrow" w:cs="Calibri"/>
          <w:szCs w:val="20"/>
          <w:lang w:eastAsia="en-AU"/>
        </w:rPr>
        <w:t xml:space="preserve"> </w:t>
      </w:r>
      <w:r w:rsidR="00877846" w:rsidRPr="00D04939">
        <w:rPr>
          <w:rFonts w:ascii="Aptos Narrow" w:hAnsi="Aptos Narrow" w:cs="Calibri"/>
          <w:szCs w:val="20"/>
          <w:lang w:eastAsia="en-AU"/>
        </w:rPr>
        <w:t>Accordin</w:t>
      </w:r>
      <w:r w:rsidR="00E52FD7" w:rsidRPr="00D04939">
        <w:rPr>
          <w:rFonts w:ascii="Aptos Narrow" w:hAnsi="Aptos Narrow" w:cs="Calibri"/>
          <w:szCs w:val="20"/>
          <w:lang w:eastAsia="en-AU"/>
        </w:rPr>
        <w:t>g</w:t>
      </w:r>
      <w:r w:rsidR="00877846" w:rsidRPr="00D04939">
        <w:rPr>
          <w:rFonts w:ascii="Aptos Narrow" w:hAnsi="Aptos Narrow" w:cs="Calibri"/>
          <w:szCs w:val="20"/>
          <w:lang w:eastAsia="en-AU"/>
        </w:rPr>
        <w:t>ly</w:t>
      </w:r>
      <w:r w:rsidR="00487920" w:rsidRPr="00D04939">
        <w:rPr>
          <w:rFonts w:ascii="Aptos Narrow" w:hAnsi="Aptos Narrow" w:cs="Calibri"/>
          <w:szCs w:val="20"/>
          <w:lang w:eastAsia="en-AU"/>
        </w:rPr>
        <w:t>:</w:t>
      </w:r>
    </w:p>
    <w:p w14:paraId="67FC401A" w14:textId="64B97CEE" w:rsidR="005C2939" w:rsidRPr="00D04939" w:rsidRDefault="00A64CA0" w:rsidP="009B34FE">
      <w:pPr>
        <w:spacing w:before="120" w:beforeAutospacing="0" w:after="120" w:afterAutospacing="0"/>
        <w:ind w:right="-142"/>
        <w:textAlignment w:val="baseline"/>
        <w:rPr>
          <w:rFonts w:ascii="Aptos Narrow" w:hAnsi="Aptos Narrow" w:cs="Calibri"/>
          <w:szCs w:val="20"/>
          <w:lang w:eastAsia="en-AU"/>
        </w:rPr>
      </w:pPr>
      <w:r w:rsidRPr="00D04939">
        <w:rPr>
          <w:rFonts w:ascii="Aptos Narrow" w:hAnsi="Aptos Narrow" w:cs="Calibri"/>
          <w:b/>
          <w:bCs/>
          <w:szCs w:val="20"/>
          <w:lang w:eastAsia="en-AU"/>
        </w:rPr>
        <w:t>Exploration for</w:t>
      </w:r>
      <w:r w:rsidRPr="00D04939">
        <w:rPr>
          <w:rFonts w:ascii="Aptos Narrow" w:hAnsi="Aptos Narrow" w:cs="Calibri"/>
          <w:szCs w:val="20"/>
          <w:lang w:eastAsia="en-AU"/>
        </w:rPr>
        <w:t xml:space="preserve"> </w:t>
      </w:r>
      <w:r w:rsidRPr="00D04939">
        <w:rPr>
          <w:rFonts w:ascii="Aptos Narrow" w:hAnsi="Aptos Narrow" w:cs="Calibri"/>
          <w:b/>
          <w:bCs/>
          <w:szCs w:val="20"/>
          <w:lang w:eastAsia="en-AU"/>
        </w:rPr>
        <w:t>petroleum</w:t>
      </w:r>
      <w:r w:rsidRPr="00D04939">
        <w:rPr>
          <w:rFonts w:ascii="Aptos Narrow" w:hAnsi="Aptos Narrow" w:cs="Calibri"/>
          <w:szCs w:val="20"/>
          <w:lang w:eastAsia="en-AU"/>
        </w:rPr>
        <w:t xml:space="preserve"> is not limited to activities to determine if petroleum exists</w:t>
      </w:r>
      <w:r w:rsidR="00CB0937" w:rsidRPr="00D04939">
        <w:rPr>
          <w:rFonts w:ascii="Aptos Narrow" w:hAnsi="Aptos Narrow" w:cs="Calibri"/>
          <w:szCs w:val="20"/>
          <w:lang w:eastAsia="en-AU"/>
        </w:rPr>
        <w:t>. It also extends to activities directed at investigating whether petroleum is commercially recoverable, such as surveys</w:t>
      </w:r>
      <w:r w:rsidR="00C91EC0" w:rsidRPr="00D04939">
        <w:rPr>
          <w:rFonts w:ascii="Aptos Narrow" w:hAnsi="Aptos Narrow" w:cs="Calibri"/>
          <w:szCs w:val="20"/>
          <w:lang w:eastAsia="en-AU"/>
        </w:rPr>
        <w:t xml:space="preserve"> </w:t>
      </w:r>
      <w:r w:rsidR="009B34FE" w:rsidRPr="00D04939">
        <w:rPr>
          <w:rFonts w:ascii="Aptos Narrow" w:hAnsi="Aptos Narrow" w:cs="Calibri"/>
          <w:szCs w:val="20"/>
          <w:lang w:eastAsia="en-AU"/>
        </w:rPr>
        <w:t>and appraisal</w:t>
      </w:r>
      <w:r w:rsidR="00EC21A7" w:rsidRPr="00D04939">
        <w:rPr>
          <w:rFonts w:ascii="Aptos Narrow" w:hAnsi="Aptos Narrow" w:cs="Calibri"/>
          <w:szCs w:val="20"/>
          <w:lang w:eastAsia="en-AU"/>
        </w:rPr>
        <w:t>s</w:t>
      </w:r>
      <w:r w:rsidR="00AB7E0C" w:rsidRPr="00D04939">
        <w:rPr>
          <w:rFonts w:ascii="Aptos Narrow" w:hAnsi="Aptos Narrow" w:cs="Calibri"/>
          <w:szCs w:val="20"/>
          <w:lang w:eastAsia="en-AU"/>
        </w:rPr>
        <w:t>.</w:t>
      </w:r>
    </w:p>
    <w:p w14:paraId="23231EFE" w14:textId="306CA8DF" w:rsidR="00F55DB0" w:rsidRPr="00D04939" w:rsidRDefault="00F55DB0" w:rsidP="009B34FE">
      <w:pPr>
        <w:spacing w:before="120" w:beforeAutospacing="0" w:after="120" w:afterAutospacing="0"/>
        <w:ind w:right="-142"/>
        <w:textAlignment w:val="baseline"/>
        <w:rPr>
          <w:rFonts w:ascii="Aptos Narrow" w:hAnsi="Aptos Narrow" w:cs="Calibri"/>
          <w:szCs w:val="20"/>
          <w:lang w:eastAsia="en-AU"/>
        </w:rPr>
      </w:pPr>
      <w:r w:rsidRPr="00D04939">
        <w:rPr>
          <w:rFonts w:ascii="Aptos Narrow" w:hAnsi="Aptos Narrow" w:cs="Calibri"/>
          <w:b/>
          <w:bCs/>
          <w:szCs w:val="20"/>
          <w:lang w:eastAsia="en-AU"/>
        </w:rPr>
        <w:t xml:space="preserve">Exploration for potential </w:t>
      </w:r>
      <w:r w:rsidR="00D03CCB" w:rsidRPr="00D04939">
        <w:rPr>
          <w:rFonts w:ascii="Aptos Narrow" w:hAnsi="Aptos Narrow" w:cs="Calibri"/>
          <w:b/>
          <w:bCs/>
          <w:szCs w:val="20"/>
          <w:lang w:eastAsia="en-AU"/>
        </w:rPr>
        <w:t xml:space="preserve">GHG </w:t>
      </w:r>
      <w:r w:rsidRPr="00D04939">
        <w:rPr>
          <w:rFonts w:ascii="Aptos Narrow" w:hAnsi="Aptos Narrow" w:cs="Calibri"/>
          <w:b/>
          <w:bCs/>
          <w:szCs w:val="20"/>
          <w:lang w:eastAsia="en-AU"/>
        </w:rPr>
        <w:t>storage formations or injection sites</w:t>
      </w:r>
      <w:r w:rsidR="007F4B32" w:rsidRPr="00D04939">
        <w:rPr>
          <w:rFonts w:ascii="Aptos Narrow" w:hAnsi="Aptos Narrow" w:cs="Calibri"/>
          <w:szCs w:val="20"/>
          <w:lang w:eastAsia="en-AU"/>
        </w:rPr>
        <w:t xml:space="preserve"> is</w:t>
      </w:r>
      <w:r w:rsidR="007A0FF5" w:rsidRPr="00D04939">
        <w:rPr>
          <w:rFonts w:ascii="Aptos Narrow" w:hAnsi="Aptos Narrow" w:cs="Calibri"/>
          <w:szCs w:val="20"/>
          <w:lang w:eastAsia="en-AU"/>
        </w:rPr>
        <w:t xml:space="preserve"> </w:t>
      </w:r>
      <w:r w:rsidR="007F4B32" w:rsidRPr="00D04939">
        <w:rPr>
          <w:rFonts w:ascii="Aptos Narrow" w:hAnsi="Aptos Narrow" w:cs="Calibri"/>
          <w:szCs w:val="20"/>
          <w:lang w:eastAsia="en-AU"/>
        </w:rPr>
        <w:t xml:space="preserve">not limited to activities to determine if such formations or sites exist or their characteristics. It also extends to activities directed at investigating whether their use for </w:t>
      </w:r>
      <w:r w:rsidR="00E920FD" w:rsidRPr="00D04939">
        <w:rPr>
          <w:rFonts w:ascii="Aptos Narrow" w:hAnsi="Aptos Narrow" w:cs="Calibri"/>
          <w:szCs w:val="20"/>
          <w:lang w:eastAsia="en-AU"/>
        </w:rPr>
        <w:t>GHG</w:t>
      </w:r>
      <w:r w:rsidR="007F4B32" w:rsidRPr="00D04939">
        <w:rPr>
          <w:rFonts w:ascii="Aptos Narrow" w:hAnsi="Aptos Narrow" w:cs="Calibri"/>
          <w:szCs w:val="20"/>
          <w:lang w:eastAsia="en-AU"/>
        </w:rPr>
        <w:t xml:space="preserve"> </w:t>
      </w:r>
      <w:r w:rsidR="00EC21A7" w:rsidRPr="00D04939">
        <w:rPr>
          <w:rFonts w:ascii="Aptos Narrow" w:hAnsi="Aptos Narrow" w:cs="Calibri"/>
          <w:szCs w:val="20"/>
          <w:lang w:eastAsia="en-AU"/>
        </w:rPr>
        <w:t>storage or injection (as relevant) is commercially feasible, such as surveys and appraisals.</w:t>
      </w:r>
    </w:p>
    <w:p w14:paraId="0C5A80A5" w14:textId="4E07597A" w:rsidR="009B34FE" w:rsidRPr="00D04939" w:rsidRDefault="009B34FE" w:rsidP="009B34FE">
      <w:pPr>
        <w:spacing w:before="120" w:beforeAutospacing="0" w:after="120" w:afterAutospacing="0"/>
        <w:ind w:right="-142"/>
        <w:textAlignment w:val="baseline"/>
        <w:rPr>
          <w:rFonts w:ascii="Aptos Narrow" w:hAnsi="Aptos Narrow" w:cs="Calibri"/>
          <w:szCs w:val="20"/>
          <w:lang w:eastAsia="en-AU"/>
        </w:rPr>
      </w:pPr>
      <w:r w:rsidRPr="00D04939">
        <w:rPr>
          <w:rFonts w:ascii="Aptos Narrow" w:hAnsi="Aptos Narrow" w:cs="Calibri"/>
          <w:szCs w:val="20"/>
          <w:lang w:eastAsia="en-AU"/>
        </w:rPr>
        <w:t>The Judgments</w:t>
      </w:r>
      <w:r w:rsidR="00967A89" w:rsidRPr="00D04939">
        <w:rPr>
          <w:rFonts w:ascii="Aptos Narrow" w:hAnsi="Aptos Narrow" w:cs="Calibri"/>
          <w:szCs w:val="20"/>
          <w:lang w:eastAsia="en-AU"/>
        </w:rPr>
        <w:t>’</w:t>
      </w:r>
      <w:r w:rsidRPr="00D04939">
        <w:rPr>
          <w:rFonts w:ascii="Aptos Narrow" w:hAnsi="Aptos Narrow" w:cs="Calibri"/>
          <w:szCs w:val="20"/>
          <w:lang w:eastAsia="en-AU"/>
        </w:rPr>
        <w:t xml:space="preserve"> </w:t>
      </w:r>
      <w:r w:rsidR="00B14115" w:rsidRPr="00D04939">
        <w:rPr>
          <w:rFonts w:ascii="Aptos Narrow" w:hAnsi="Aptos Narrow" w:cs="Calibri"/>
          <w:szCs w:val="20"/>
          <w:lang w:eastAsia="en-AU"/>
        </w:rPr>
        <w:t>clarification includes</w:t>
      </w:r>
      <w:r w:rsidRPr="00D04939">
        <w:rPr>
          <w:rFonts w:ascii="Aptos Narrow" w:hAnsi="Aptos Narrow" w:cs="Calibri"/>
          <w:szCs w:val="20"/>
          <w:lang w:eastAsia="en-AU"/>
        </w:rPr>
        <w:t xml:space="preserve"> activities that have not previously been understood to be exploration in nature,</w:t>
      </w:r>
      <w:r w:rsidR="00A1667D" w:rsidRPr="00D04939">
        <w:rPr>
          <w:rFonts w:ascii="Aptos Narrow" w:hAnsi="Aptos Narrow" w:cs="Calibri"/>
          <w:szCs w:val="20"/>
          <w:lang w:eastAsia="en-AU"/>
        </w:rPr>
        <w:t xml:space="preserve"> </w:t>
      </w:r>
      <w:r w:rsidR="00F817E3" w:rsidRPr="00D04939">
        <w:rPr>
          <w:rFonts w:ascii="Aptos Narrow" w:hAnsi="Aptos Narrow" w:cs="Calibri"/>
          <w:szCs w:val="20"/>
          <w:lang w:eastAsia="en-AU"/>
        </w:rPr>
        <w:t>and requir</w:t>
      </w:r>
      <w:r w:rsidR="00C31157" w:rsidRPr="00D04939">
        <w:rPr>
          <w:rFonts w:ascii="Aptos Narrow" w:hAnsi="Aptos Narrow" w:cs="Calibri"/>
          <w:szCs w:val="20"/>
          <w:lang w:eastAsia="en-AU"/>
        </w:rPr>
        <w:t>e</w:t>
      </w:r>
      <w:r w:rsidR="00302A4A" w:rsidRPr="00D04939">
        <w:rPr>
          <w:rFonts w:ascii="Aptos Narrow" w:hAnsi="Aptos Narrow" w:cs="Calibri"/>
          <w:szCs w:val="20"/>
          <w:lang w:eastAsia="en-AU"/>
        </w:rPr>
        <w:t xml:space="preserve"> a</w:t>
      </w:r>
      <w:r w:rsidR="00F0405F" w:rsidRPr="00D04939">
        <w:rPr>
          <w:rFonts w:ascii="Aptos Narrow" w:hAnsi="Aptos Narrow" w:cs="Calibri"/>
          <w:szCs w:val="20"/>
          <w:lang w:eastAsia="en-AU"/>
        </w:rPr>
        <w:t xml:space="preserve">n appropriate authority prior to </w:t>
      </w:r>
      <w:r w:rsidR="00BD2ACE" w:rsidRPr="00D04939">
        <w:rPr>
          <w:rFonts w:ascii="Aptos Narrow" w:hAnsi="Aptos Narrow" w:cs="Calibri"/>
          <w:szCs w:val="20"/>
          <w:lang w:eastAsia="en-AU"/>
        </w:rPr>
        <w:t>commencing operations</w:t>
      </w:r>
      <w:r w:rsidR="002A3A17" w:rsidRPr="00D04939">
        <w:rPr>
          <w:rFonts w:ascii="Aptos Narrow" w:hAnsi="Aptos Narrow" w:cs="Calibri"/>
          <w:szCs w:val="20"/>
          <w:lang w:eastAsia="en-AU"/>
        </w:rPr>
        <w:t xml:space="preserve"> outside </w:t>
      </w:r>
      <w:r w:rsidR="006C3E43" w:rsidRPr="00D04939">
        <w:rPr>
          <w:rFonts w:ascii="Aptos Narrow" w:hAnsi="Aptos Narrow" w:cs="Calibri"/>
          <w:szCs w:val="20"/>
          <w:lang w:eastAsia="en-AU"/>
        </w:rPr>
        <w:t xml:space="preserve">of </w:t>
      </w:r>
      <w:r w:rsidR="00805C9F" w:rsidRPr="00D04939">
        <w:rPr>
          <w:rFonts w:ascii="Aptos Narrow" w:hAnsi="Aptos Narrow" w:cs="Calibri"/>
          <w:szCs w:val="20"/>
          <w:lang w:eastAsia="en-AU"/>
        </w:rPr>
        <w:t xml:space="preserve">the titleholder’s </w:t>
      </w:r>
      <w:r w:rsidR="00460165" w:rsidRPr="00D04939">
        <w:rPr>
          <w:rFonts w:ascii="Aptos Narrow" w:hAnsi="Aptos Narrow" w:cs="Calibri"/>
          <w:szCs w:val="20"/>
          <w:lang w:eastAsia="en-AU"/>
        </w:rPr>
        <w:t xml:space="preserve">current </w:t>
      </w:r>
      <w:r w:rsidR="00805C9F" w:rsidRPr="00D04939">
        <w:rPr>
          <w:rFonts w:ascii="Aptos Narrow" w:hAnsi="Aptos Narrow" w:cs="Calibri"/>
          <w:szCs w:val="20"/>
          <w:lang w:eastAsia="en-AU"/>
        </w:rPr>
        <w:t>title</w:t>
      </w:r>
      <w:r w:rsidR="00CE089E" w:rsidRPr="00D04939">
        <w:rPr>
          <w:rFonts w:ascii="Aptos Narrow" w:hAnsi="Aptos Narrow" w:cs="Calibri"/>
          <w:szCs w:val="20"/>
          <w:lang w:eastAsia="en-AU"/>
        </w:rPr>
        <w:t xml:space="preserve"> area</w:t>
      </w:r>
      <w:r w:rsidR="00D00C8D" w:rsidRPr="00D04939">
        <w:rPr>
          <w:rFonts w:ascii="Aptos Narrow" w:hAnsi="Aptos Narrow" w:cs="Calibri"/>
          <w:szCs w:val="20"/>
          <w:lang w:eastAsia="en-AU"/>
        </w:rPr>
        <w:t>, for example</w:t>
      </w:r>
      <w:r w:rsidR="00BD2ACE" w:rsidRPr="00D04939">
        <w:rPr>
          <w:rFonts w:ascii="Aptos Narrow" w:hAnsi="Aptos Narrow" w:cs="Calibri"/>
          <w:szCs w:val="20"/>
          <w:lang w:eastAsia="en-AU"/>
        </w:rPr>
        <w:t>:</w:t>
      </w:r>
      <w:r w:rsidR="00A1667D" w:rsidRPr="00D04939">
        <w:rPr>
          <w:rFonts w:ascii="Aptos Narrow" w:hAnsi="Aptos Narrow" w:cs="Calibri"/>
          <w:szCs w:val="20"/>
          <w:lang w:eastAsia="en-AU"/>
        </w:rPr>
        <w:t xml:space="preserve"> </w:t>
      </w:r>
    </w:p>
    <w:tbl>
      <w:tblPr>
        <w:tblStyle w:val="TableGrid1"/>
        <w:tblW w:w="0" w:type="auto"/>
        <w:shd w:val="clear" w:color="auto" w:fill="D9E2F3"/>
        <w:tblLook w:val="04A0" w:firstRow="1" w:lastRow="0" w:firstColumn="1" w:lastColumn="0" w:noHBand="0" w:noVBand="1"/>
        <w:tblCaption w:val="Senario table"/>
        <w:tblDescription w:val="Table sets out various senarios for activities previously not understood to be exploration in nature."/>
      </w:tblPr>
      <w:tblGrid>
        <w:gridCol w:w="1557"/>
        <w:gridCol w:w="3116"/>
      </w:tblGrid>
      <w:tr w:rsidR="00E148F3" w:rsidRPr="00D04939" w14:paraId="240797DB" w14:textId="77777777" w:rsidTr="02EDE49D">
        <w:tc>
          <w:tcPr>
            <w:tcW w:w="1557" w:type="dxa"/>
            <w:tcBorders>
              <w:bottom w:val="single" w:sz="4" w:space="0" w:color="auto"/>
            </w:tcBorders>
            <w:shd w:val="clear" w:color="auto" w:fill="D9E2F3"/>
          </w:tcPr>
          <w:p w14:paraId="7693CCC2" w14:textId="77777777" w:rsidR="00E148F3" w:rsidRPr="00D04939" w:rsidRDefault="00E148F3">
            <w:pPr>
              <w:spacing w:before="0" w:beforeAutospacing="0" w:after="160" w:afterAutospacing="0" w:line="259" w:lineRule="auto"/>
              <w:ind w:left="-78"/>
              <w:textAlignment w:val="baseline"/>
              <w:rPr>
                <w:rFonts w:ascii="Aptos Narrow" w:eastAsia="Calibri" w:hAnsi="Aptos Narrow" w:cs="Calibri"/>
                <w:b/>
                <w:bCs/>
                <w:szCs w:val="20"/>
              </w:rPr>
            </w:pPr>
            <w:r w:rsidRPr="00D04939">
              <w:rPr>
                <w:rFonts w:ascii="Aptos Narrow" w:eastAsia="Calibri" w:hAnsi="Aptos Narrow" w:cs="Calibri"/>
                <w:b/>
                <w:bCs/>
                <w:szCs w:val="20"/>
              </w:rPr>
              <w:t>Scenario</w:t>
            </w:r>
          </w:p>
        </w:tc>
        <w:tc>
          <w:tcPr>
            <w:tcW w:w="3116" w:type="dxa"/>
            <w:tcBorders>
              <w:bottom w:val="single" w:sz="4" w:space="0" w:color="auto"/>
            </w:tcBorders>
            <w:shd w:val="clear" w:color="auto" w:fill="D9E2F3"/>
          </w:tcPr>
          <w:p w14:paraId="1F23307B" w14:textId="77777777" w:rsidR="00E148F3" w:rsidRPr="00D04939" w:rsidRDefault="00E148F3">
            <w:pPr>
              <w:spacing w:before="0" w:beforeAutospacing="0" w:after="160" w:afterAutospacing="0" w:line="259" w:lineRule="auto"/>
              <w:textAlignment w:val="baseline"/>
              <w:rPr>
                <w:rFonts w:ascii="Aptos Narrow" w:eastAsia="Calibri" w:hAnsi="Aptos Narrow" w:cs="Calibri"/>
                <w:b/>
                <w:bCs/>
                <w:szCs w:val="20"/>
              </w:rPr>
            </w:pPr>
            <w:r w:rsidRPr="00D04939">
              <w:rPr>
                <w:rFonts w:ascii="Aptos Narrow" w:eastAsia="Calibri" w:hAnsi="Aptos Narrow" w:cs="Calibri"/>
                <w:b/>
                <w:bCs/>
                <w:szCs w:val="20"/>
              </w:rPr>
              <w:t xml:space="preserve">Description </w:t>
            </w:r>
          </w:p>
        </w:tc>
      </w:tr>
      <w:tr w:rsidR="00E148F3" w:rsidRPr="00D04939" w14:paraId="52F5EDCF" w14:textId="77777777" w:rsidTr="02EDE49D">
        <w:tc>
          <w:tcPr>
            <w:tcW w:w="1557" w:type="dxa"/>
            <w:tcBorders>
              <w:top w:val="single" w:sz="4" w:space="0" w:color="auto"/>
            </w:tcBorders>
            <w:shd w:val="clear" w:color="auto" w:fill="D9E2F3"/>
          </w:tcPr>
          <w:p w14:paraId="525976BD" w14:textId="15F6E8AD" w:rsidR="00E148F3" w:rsidRPr="00D04939" w:rsidRDefault="00E148F3">
            <w:pPr>
              <w:spacing w:before="0" w:beforeAutospacing="0" w:after="0" w:afterAutospacing="0"/>
              <w:ind w:left="-78"/>
              <w:textAlignment w:val="baseline"/>
              <w:rPr>
                <w:rFonts w:ascii="Aptos Narrow" w:eastAsia="Calibri" w:hAnsi="Aptos Narrow" w:cs="Calibri"/>
                <w:szCs w:val="20"/>
              </w:rPr>
            </w:pPr>
            <w:r w:rsidRPr="00D04939">
              <w:rPr>
                <w:rFonts w:ascii="Aptos Narrow" w:eastAsia="Calibri" w:hAnsi="Aptos Narrow" w:cs="Calibri"/>
                <w:szCs w:val="20"/>
              </w:rPr>
              <w:t xml:space="preserve">Geophysical </w:t>
            </w:r>
            <w:r w:rsidR="007F6350" w:rsidRPr="00D04939">
              <w:rPr>
                <w:rFonts w:ascii="Aptos Narrow" w:eastAsia="Calibri" w:hAnsi="Aptos Narrow" w:cs="Calibri"/>
                <w:szCs w:val="20"/>
              </w:rPr>
              <w:t>s</w:t>
            </w:r>
            <w:r w:rsidRPr="00D04939">
              <w:rPr>
                <w:rFonts w:ascii="Aptos Narrow" w:eastAsia="Calibri" w:hAnsi="Aptos Narrow" w:cs="Calibri"/>
                <w:szCs w:val="20"/>
              </w:rPr>
              <w:t xml:space="preserve">ite </w:t>
            </w:r>
            <w:r w:rsidR="00E24305" w:rsidRPr="00D04939">
              <w:rPr>
                <w:rFonts w:ascii="Aptos Narrow" w:eastAsia="Calibri" w:hAnsi="Aptos Narrow" w:cs="Calibri"/>
                <w:szCs w:val="20"/>
              </w:rPr>
              <w:t>s</w:t>
            </w:r>
            <w:r w:rsidRPr="00D04939">
              <w:rPr>
                <w:rFonts w:ascii="Aptos Narrow" w:eastAsia="Calibri" w:hAnsi="Aptos Narrow" w:cs="Calibri"/>
                <w:szCs w:val="20"/>
              </w:rPr>
              <w:t>urvey</w:t>
            </w:r>
            <w:r w:rsidR="00223943" w:rsidRPr="00D04939">
              <w:rPr>
                <w:rFonts w:ascii="Aptos Narrow" w:eastAsia="Calibri" w:hAnsi="Aptos Narrow" w:cs="Calibri"/>
                <w:szCs w:val="20"/>
              </w:rPr>
              <w:t>s</w:t>
            </w:r>
          </w:p>
        </w:tc>
        <w:tc>
          <w:tcPr>
            <w:tcW w:w="3116" w:type="dxa"/>
            <w:tcBorders>
              <w:top w:val="single" w:sz="4" w:space="0" w:color="auto"/>
            </w:tcBorders>
            <w:shd w:val="clear" w:color="auto" w:fill="auto"/>
          </w:tcPr>
          <w:p w14:paraId="4D2D03C1" w14:textId="3913FFE6" w:rsidR="00E148F3" w:rsidRPr="00D04939" w:rsidRDefault="00E148F3">
            <w:pPr>
              <w:spacing w:before="0" w:beforeAutospacing="0" w:after="0" w:afterAutospacing="0"/>
              <w:ind w:left="-28"/>
              <w:textAlignment w:val="baseline"/>
              <w:rPr>
                <w:rFonts w:ascii="Aptos Narrow" w:eastAsia="Calibri" w:hAnsi="Aptos Narrow" w:cs="Calibri"/>
                <w:szCs w:val="20"/>
              </w:rPr>
            </w:pPr>
            <w:r w:rsidRPr="00D04939">
              <w:rPr>
                <w:rFonts w:ascii="Aptos Narrow" w:eastAsia="Calibri" w:hAnsi="Aptos Narrow" w:cs="Calibri"/>
                <w:szCs w:val="20"/>
              </w:rPr>
              <w:t>A survey to map potential areas of interest for a pipeline development adjacent to petroleum production licences, retention leases or similar GHG titles.</w:t>
            </w:r>
          </w:p>
        </w:tc>
      </w:tr>
      <w:tr w:rsidR="00E148F3" w:rsidRPr="00D04939" w14:paraId="7CF580D7" w14:textId="77777777" w:rsidTr="02EDE49D">
        <w:trPr>
          <w:trHeight w:val="841"/>
        </w:trPr>
        <w:tc>
          <w:tcPr>
            <w:tcW w:w="1557" w:type="dxa"/>
            <w:shd w:val="clear" w:color="auto" w:fill="D9E2F3"/>
          </w:tcPr>
          <w:p w14:paraId="3FB11137" w14:textId="5D728575" w:rsidR="00E148F3" w:rsidRPr="00D04939" w:rsidRDefault="00E148F3">
            <w:pPr>
              <w:spacing w:before="0" w:beforeAutospacing="0" w:after="0" w:afterAutospacing="0"/>
              <w:ind w:left="-78"/>
              <w:textAlignment w:val="baseline"/>
              <w:rPr>
                <w:rFonts w:ascii="Aptos Narrow" w:eastAsia="Calibri" w:hAnsi="Aptos Narrow" w:cs="Calibri"/>
                <w:szCs w:val="20"/>
              </w:rPr>
            </w:pPr>
            <w:r w:rsidRPr="00D04939">
              <w:rPr>
                <w:rFonts w:ascii="Aptos Narrow" w:eastAsia="Calibri" w:hAnsi="Aptos Narrow" w:cs="Calibri"/>
                <w:szCs w:val="20"/>
              </w:rPr>
              <w:t xml:space="preserve">Geophysical and </w:t>
            </w:r>
            <w:r w:rsidR="007A54B1" w:rsidRPr="00D04939">
              <w:rPr>
                <w:rFonts w:ascii="Aptos Narrow" w:eastAsia="Calibri" w:hAnsi="Aptos Narrow" w:cs="Calibri"/>
                <w:szCs w:val="20"/>
              </w:rPr>
              <w:t>g</w:t>
            </w:r>
            <w:r w:rsidRPr="00D04939">
              <w:rPr>
                <w:rFonts w:ascii="Aptos Narrow" w:eastAsia="Calibri" w:hAnsi="Aptos Narrow" w:cs="Calibri"/>
                <w:szCs w:val="20"/>
              </w:rPr>
              <w:t xml:space="preserve">eotechnical </w:t>
            </w:r>
            <w:r w:rsidR="007A54B1" w:rsidRPr="00D04939">
              <w:rPr>
                <w:rFonts w:ascii="Aptos Narrow" w:eastAsia="Calibri" w:hAnsi="Aptos Narrow" w:cs="Calibri"/>
                <w:szCs w:val="20"/>
              </w:rPr>
              <w:t>s</w:t>
            </w:r>
            <w:r w:rsidRPr="00D04939">
              <w:rPr>
                <w:rFonts w:ascii="Aptos Narrow" w:eastAsia="Calibri" w:hAnsi="Aptos Narrow" w:cs="Calibri"/>
                <w:szCs w:val="20"/>
              </w:rPr>
              <w:t>urveys</w:t>
            </w:r>
          </w:p>
        </w:tc>
        <w:tc>
          <w:tcPr>
            <w:tcW w:w="3116" w:type="dxa"/>
            <w:shd w:val="clear" w:color="auto" w:fill="auto"/>
          </w:tcPr>
          <w:p w14:paraId="06EE3DDB" w14:textId="350EAE5A" w:rsidR="00E148F3" w:rsidRPr="00D04939" w:rsidRDefault="00E148F3" w:rsidP="02EDE49D">
            <w:pPr>
              <w:numPr>
                <w:ilvl w:val="0"/>
                <w:numId w:val="4"/>
              </w:numPr>
              <w:spacing w:before="0" w:beforeAutospacing="0" w:after="0" w:afterAutospacing="0"/>
              <w:ind w:left="178" w:hanging="219"/>
              <w:textAlignment w:val="baseline"/>
              <w:rPr>
                <w:rFonts w:ascii="Aptos Narrow" w:eastAsia="Calibri" w:hAnsi="Aptos Narrow" w:cs="Calibri"/>
              </w:rPr>
            </w:pPr>
            <w:r w:rsidRPr="00D04939">
              <w:rPr>
                <w:rFonts w:ascii="Aptos Narrow" w:eastAsia="Calibri" w:hAnsi="Aptos Narrow" w:cs="Calibri"/>
              </w:rPr>
              <w:t xml:space="preserve">Surveys to collect technical data to measure, profile and capture seabed characteristics </w:t>
            </w:r>
            <w:r w:rsidR="00AE4228" w:rsidRPr="00D04939">
              <w:rPr>
                <w:rFonts w:ascii="Aptos Narrow" w:eastAsia="Calibri" w:hAnsi="Aptos Narrow" w:cs="Calibri"/>
              </w:rPr>
              <w:t>to</w:t>
            </w:r>
            <w:r w:rsidRPr="00D04939">
              <w:rPr>
                <w:rFonts w:ascii="Aptos Narrow" w:eastAsia="Calibri" w:hAnsi="Aptos Narrow" w:cs="Calibri"/>
              </w:rPr>
              <w:t xml:space="preserve"> support commercialisation of a development opportunity. </w:t>
            </w:r>
          </w:p>
          <w:p w14:paraId="7CC7A9FC" w14:textId="77777777" w:rsidR="00E148F3" w:rsidRPr="00D04939" w:rsidRDefault="00E148F3" w:rsidP="00E148F3">
            <w:pPr>
              <w:numPr>
                <w:ilvl w:val="0"/>
                <w:numId w:val="4"/>
              </w:numPr>
              <w:spacing w:before="0" w:beforeAutospacing="0" w:after="0" w:afterAutospacing="0"/>
              <w:ind w:left="178" w:hanging="219"/>
              <w:textAlignment w:val="baseline"/>
              <w:rPr>
                <w:rFonts w:ascii="Aptos Narrow" w:eastAsia="Calibri" w:hAnsi="Aptos Narrow" w:cs="Calibri"/>
                <w:szCs w:val="20"/>
              </w:rPr>
            </w:pPr>
            <w:r w:rsidRPr="00D04939">
              <w:rPr>
                <w:rFonts w:ascii="Aptos Narrow" w:eastAsia="Calibri" w:hAnsi="Aptos Narrow" w:cs="Calibri"/>
                <w:szCs w:val="20"/>
              </w:rPr>
              <w:t>Seabed mapping surveys designed to obtain information that would be used to ascertain if petroleum is recoverable and/or to assess the potential GHG storage capacity.</w:t>
            </w:r>
          </w:p>
          <w:p w14:paraId="12D127EE" w14:textId="766D6A93" w:rsidR="00E148F3" w:rsidRPr="00D04939" w:rsidRDefault="00E148F3" w:rsidP="02EDE49D">
            <w:pPr>
              <w:numPr>
                <w:ilvl w:val="0"/>
                <w:numId w:val="4"/>
              </w:numPr>
              <w:spacing w:before="0" w:beforeAutospacing="0" w:after="0" w:afterAutospacing="0"/>
              <w:ind w:left="178" w:hanging="219"/>
              <w:textAlignment w:val="baseline"/>
              <w:rPr>
                <w:rFonts w:ascii="Aptos Narrow" w:eastAsia="Calibri" w:hAnsi="Aptos Narrow" w:cs="Calibri"/>
              </w:rPr>
            </w:pPr>
            <w:r w:rsidRPr="00D04939">
              <w:rPr>
                <w:rFonts w:ascii="Aptos Narrow" w:eastAsia="Calibri" w:hAnsi="Aptos Narrow" w:cs="Calibri"/>
              </w:rPr>
              <w:t>Obtaining data from an offshore area to identify/assess whether particular infrastructure might be suitable to recover petroleum or inject/monitor a GHG substance</w:t>
            </w:r>
            <w:r w:rsidR="0020712E" w:rsidRPr="00D04939">
              <w:rPr>
                <w:rFonts w:ascii="Aptos Narrow" w:eastAsia="Calibri" w:hAnsi="Aptos Narrow" w:cs="Calibri"/>
              </w:rPr>
              <w:t xml:space="preserve">, and where to locate that </w:t>
            </w:r>
            <w:r w:rsidR="00A317C7" w:rsidRPr="00D04939">
              <w:rPr>
                <w:rFonts w:ascii="Aptos Narrow" w:eastAsia="Calibri" w:hAnsi="Aptos Narrow" w:cs="Calibri"/>
              </w:rPr>
              <w:t>infrastructure</w:t>
            </w:r>
            <w:r w:rsidRPr="00D04939">
              <w:rPr>
                <w:rFonts w:ascii="Aptos Narrow" w:eastAsia="Calibri" w:hAnsi="Aptos Narrow" w:cs="Calibri"/>
              </w:rPr>
              <w:t xml:space="preserve">. </w:t>
            </w:r>
          </w:p>
        </w:tc>
      </w:tr>
      <w:tr w:rsidR="00E148F3" w:rsidRPr="00D04939" w14:paraId="53985234" w14:textId="77777777" w:rsidTr="02EDE49D">
        <w:trPr>
          <w:trHeight w:val="558"/>
        </w:trPr>
        <w:tc>
          <w:tcPr>
            <w:tcW w:w="1557" w:type="dxa"/>
            <w:shd w:val="clear" w:color="auto" w:fill="D9E2F3"/>
          </w:tcPr>
          <w:p w14:paraId="715CBED3" w14:textId="310CFB82" w:rsidR="00E148F3" w:rsidRPr="00D04939" w:rsidRDefault="00A53217">
            <w:pPr>
              <w:spacing w:before="0" w:beforeAutospacing="0" w:after="0" w:afterAutospacing="0"/>
              <w:ind w:left="-78"/>
              <w:textAlignment w:val="baseline"/>
              <w:rPr>
                <w:rFonts w:ascii="Aptos Narrow" w:eastAsia="Calibri" w:hAnsi="Aptos Narrow" w:cs="Calibri"/>
                <w:szCs w:val="20"/>
              </w:rPr>
            </w:pPr>
            <w:r w:rsidRPr="00D04939">
              <w:rPr>
                <w:rFonts w:ascii="Aptos Narrow" w:eastAsia="Calibri" w:hAnsi="Aptos Narrow" w:cs="Calibri"/>
                <w:szCs w:val="20"/>
              </w:rPr>
              <w:t xml:space="preserve">Marine </w:t>
            </w:r>
            <w:r w:rsidR="00E148F3" w:rsidRPr="00D04939">
              <w:rPr>
                <w:rFonts w:ascii="Aptos Narrow" w:eastAsia="Calibri" w:hAnsi="Aptos Narrow" w:cs="Calibri"/>
                <w:szCs w:val="20"/>
              </w:rPr>
              <w:t xml:space="preserve">Biota </w:t>
            </w:r>
            <w:r w:rsidRPr="00D04939">
              <w:rPr>
                <w:rFonts w:ascii="Aptos Narrow" w:eastAsia="Calibri" w:hAnsi="Aptos Narrow" w:cs="Calibri"/>
                <w:szCs w:val="20"/>
              </w:rPr>
              <w:t xml:space="preserve">and/or Cultural Heritage </w:t>
            </w:r>
            <w:r w:rsidR="00223943" w:rsidRPr="00D04939">
              <w:rPr>
                <w:rFonts w:ascii="Aptos Narrow" w:eastAsia="Calibri" w:hAnsi="Aptos Narrow" w:cs="Calibri"/>
                <w:szCs w:val="20"/>
              </w:rPr>
              <w:t>s</w:t>
            </w:r>
            <w:r w:rsidR="00E148F3" w:rsidRPr="00D04939">
              <w:rPr>
                <w:rFonts w:ascii="Aptos Narrow" w:eastAsia="Calibri" w:hAnsi="Aptos Narrow" w:cs="Calibri"/>
                <w:szCs w:val="20"/>
              </w:rPr>
              <w:t>urvey</w:t>
            </w:r>
            <w:r w:rsidR="00223943" w:rsidRPr="00D04939">
              <w:rPr>
                <w:rFonts w:ascii="Aptos Narrow" w:eastAsia="Calibri" w:hAnsi="Aptos Narrow" w:cs="Calibri"/>
                <w:szCs w:val="20"/>
              </w:rPr>
              <w:t>s</w:t>
            </w:r>
          </w:p>
        </w:tc>
        <w:tc>
          <w:tcPr>
            <w:tcW w:w="3116" w:type="dxa"/>
            <w:shd w:val="clear" w:color="auto" w:fill="auto"/>
          </w:tcPr>
          <w:p w14:paraId="0E119546" w14:textId="28E5B6E3" w:rsidR="00E148F3" w:rsidRPr="00D04939" w:rsidRDefault="00E148F3">
            <w:pPr>
              <w:spacing w:before="0" w:beforeAutospacing="0" w:after="0" w:afterAutospacing="0"/>
              <w:ind w:left="-31"/>
              <w:textAlignment w:val="baseline"/>
              <w:rPr>
                <w:rFonts w:ascii="Aptos Narrow" w:eastAsia="Calibri" w:hAnsi="Aptos Narrow" w:cs="Calibri"/>
                <w:szCs w:val="20"/>
              </w:rPr>
            </w:pPr>
            <w:r w:rsidRPr="00D04939">
              <w:rPr>
                <w:rFonts w:ascii="Aptos Narrow" w:eastAsia="Calibri" w:hAnsi="Aptos Narrow" w:cs="Calibri"/>
                <w:szCs w:val="20"/>
              </w:rPr>
              <w:t>Where the acquired data is used to determine the location of a potential petroleum or GHG pipeline</w:t>
            </w:r>
            <w:r w:rsidR="007F0697" w:rsidRPr="00D04939">
              <w:rPr>
                <w:rFonts w:ascii="Aptos Narrow" w:eastAsia="Calibri" w:hAnsi="Aptos Narrow" w:cs="Calibri"/>
                <w:szCs w:val="20"/>
              </w:rPr>
              <w:t xml:space="preserve">, or </w:t>
            </w:r>
            <w:r w:rsidR="00A317C7" w:rsidRPr="00D04939">
              <w:rPr>
                <w:rFonts w:ascii="Aptos Narrow" w:eastAsia="Calibri" w:hAnsi="Aptos Narrow" w:cs="Calibri"/>
                <w:szCs w:val="20"/>
              </w:rPr>
              <w:t>installation</w:t>
            </w:r>
            <w:r w:rsidR="007F0697" w:rsidRPr="00D04939">
              <w:rPr>
                <w:rFonts w:ascii="Aptos Narrow" w:eastAsia="Calibri" w:hAnsi="Aptos Narrow" w:cs="Calibri"/>
                <w:szCs w:val="20"/>
              </w:rPr>
              <w:t xml:space="preserve"> of </w:t>
            </w:r>
            <w:r w:rsidR="00A317C7" w:rsidRPr="00D04939">
              <w:rPr>
                <w:rFonts w:ascii="Aptos Narrow" w:eastAsia="Calibri" w:hAnsi="Aptos Narrow" w:cs="Calibri"/>
                <w:szCs w:val="20"/>
              </w:rPr>
              <w:t>in-field subsea infrastructure</w:t>
            </w:r>
            <w:r w:rsidRPr="00D04939">
              <w:rPr>
                <w:rFonts w:ascii="Aptos Narrow" w:eastAsia="Calibri" w:hAnsi="Aptos Narrow" w:cs="Calibri"/>
                <w:szCs w:val="20"/>
              </w:rPr>
              <w:t xml:space="preserve">. </w:t>
            </w:r>
          </w:p>
        </w:tc>
      </w:tr>
      <w:tr w:rsidR="00E148F3" w:rsidRPr="00D04939" w14:paraId="721A8884" w14:textId="77777777" w:rsidTr="02EDE49D">
        <w:trPr>
          <w:trHeight w:val="306"/>
        </w:trPr>
        <w:tc>
          <w:tcPr>
            <w:tcW w:w="1557" w:type="dxa"/>
            <w:shd w:val="clear" w:color="auto" w:fill="D9E2F3"/>
          </w:tcPr>
          <w:p w14:paraId="15968270" w14:textId="37B41F30" w:rsidR="00E148F3" w:rsidRPr="00D04939" w:rsidRDefault="00A32604">
            <w:pPr>
              <w:spacing w:before="0" w:beforeAutospacing="0" w:after="0" w:afterAutospacing="0"/>
              <w:ind w:left="-78"/>
              <w:textAlignment w:val="baseline"/>
              <w:rPr>
                <w:rFonts w:ascii="Aptos Narrow" w:eastAsia="Calibri" w:hAnsi="Aptos Narrow" w:cs="Calibri"/>
                <w:szCs w:val="20"/>
              </w:rPr>
            </w:pPr>
            <w:r w:rsidRPr="00D04939">
              <w:rPr>
                <w:rFonts w:ascii="Aptos Narrow" w:eastAsia="Calibri" w:hAnsi="Aptos Narrow" w:cs="Calibri"/>
                <w:szCs w:val="20"/>
              </w:rPr>
              <w:t xml:space="preserve">Marine Biota and/or </w:t>
            </w:r>
            <w:r w:rsidR="00E148F3" w:rsidRPr="00D04939">
              <w:rPr>
                <w:rFonts w:ascii="Aptos Narrow" w:eastAsia="Calibri" w:hAnsi="Aptos Narrow" w:cs="Calibri"/>
                <w:szCs w:val="20"/>
              </w:rPr>
              <w:t xml:space="preserve">Cultural </w:t>
            </w:r>
            <w:r w:rsidR="00223943" w:rsidRPr="00D04939">
              <w:rPr>
                <w:rFonts w:ascii="Aptos Narrow" w:eastAsia="Calibri" w:hAnsi="Aptos Narrow" w:cs="Calibri"/>
                <w:szCs w:val="20"/>
              </w:rPr>
              <w:t>h</w:t>
            </w:r>
            <w:r w:rsidR="00E148F3" w:rsidRPr="00D04939">
              <w:rPr>
                <w:rFonts w:ascii="Aptos Narrow" w:eastAsia="Calibri" w:hAnsi="Aptos Narrow" w:cs="Calibri"/>
                <w:szCs w:val="20"/>
              </w:rPr>
              <w:t xml:space="preserve">eritage </w:t>
            </w:r>
            <w:r w:rsidR="00367A26" w:rsidRPr="00D04939">
              <w:rPr>
                <w:rFonts w:ascii="Aptos Narrow" w:eastAsia="Calibri" w:hAnsi="Aptos Narrow" w:cs="Calibri"/>
                <w:szCs w:val="20"/>
              </w:rPr>
              <w:t>s</w:t>
            </w:r>
            <w:r w:rsidR="00E148F3" w:rsidRPr="00D04939">
              <w:rPr>
                <w:rFonts w:ascii="Aptos Narrow" w:eastAsia="Calibri" w:hAnsi="Aptos Narrow" w:cs="Calibri"/>
                <w:szCs w:val="20"/>
              </w:rPr>
              <w:t>urvey</w:t>
            </w:r>
            <w:r w:rsidR="00367A26" w:rsidRPr="00D04939">
              <w:rPr>
                <w:rFonts w:ascii="Aptos Narrow" w:eastAsia="Calibri" w:hAnsi="Aptos Narrow" w:cs="Calibri"/>
                <w:szCs w:val="20"/>
              </w:rPr>
              <w:t>s</w:t>
            </w:r>
          </w:p>
        </w:tc>
        <w:tc>
          <w:tcPr>
            <w:tcW w:w="3116" w:type="dxa"/>
            <w:shd w:val="clear" w:color="auto" w:fill="auto"/>
          </w:tcPr>
          <w:p w14:paraId="52CF3469" w14:textId="2EBE1A4D" w:rsidR="00E148F3" w:rsidRPr="00D04939" w:rsidRDefault="00E148F3" w:rsidP="00AD4B99">
            <w:pPr>
              <w:shd w:val="clear" w:color="auto" w:fill="FFFFFF"/>
              <w:spacing w:before="0" w:beforeAutospacing="0" w:after="0" w:afterAutospacing="0"/>
              <w:ind w:left="-45"/>
              <w:textAlignment w:val="baseline"/>
              <w:rPr>
                <w:rFonts w:ascii="Aptos Narrow" w:eastAsia="Calibri" w:hAnsi="Aptos Narrow" w:cs="Calibri"/>
                <w:szCs w:val="20"/>
              </w:rPr>
            </w:pPr>
            <w:r w:rsidRPr="00D04939">
              <w:rPr>
                <w:rFonts w:ascii="Aptos Narrow" w:eastAsia="Calibri" w:hAnsi="Aptos Narrow" w:cs="Calibri"/>
                <w:szCs w:val="20"/>
              </w:rPr>
              <w:t>A survey</w:t>
            </w:r>
            <w:r w:rsidR="007A2FA1" w:rsidRPr="00D04939">
              <w:rPr>
                <w:rFonts w:ascii="Aptos Narrow" w:eastAsia="Calibri" w:hAnsi="Aptos Narrow" w:cs="Calibri"/>
                <w:szCs w:val="20"/>
              </w:rPr>
              <w:t xml:space="preserve"> conducted to inform the development of an </w:t>
            </w:r>
            <w:r w:rsidR="00AE7E00" w:rsidRPr="00D04939">
              <w:rPr>
                <w:rFonts w:ascii="Aptos Narrow" w:eastAsia="Calibri" w:hAnsi="Aptos Narrow" w:cs="Calibri"/>
                <w:szCs w:val="20"/>
              </w:rPr>
              <w:t>e</w:t>
            </w:r>
            <w:r w:rsidR="007A2FA1" w:rsidRPr="00D04939">
              <w:rPr>
                <w:rFonts w:ascii="Aptos Narrow" w:eastAsia="Calibri" w:hAnsi="Aptos Narrow" w:cs="Calibri"/>
                <w:szCs w:val="20"/>
              </w:rPr>
              <w:t xml:space="preserve">nvironment </w:t>
            </w:r>
            <w:r w:rsidR="00AE7E00" w:rsidRPr="00D04939">
              <w:rPr>
                <w:rFonts w:ascii="Aptos Narrow" w:eastAsia="Calibri" w:hAnsi="Aptos Narrow" w:cs="Calibri"/>
                <w:szCs w:val="20"/>
              </w:rPr>
              <w:t>p</w:t>
            </w:r>
            <w:r w:rsidR="007A2FA1" w:rsidRPr="00D04939">
              <w:rPr>
                <w:rFonts w:ascii="Aptos Narrow" w:eastAsia="Calibri" w:hAnsi="Aptos Narrow" w:cs="Calibri"/>
                <w:szCs w:val="20"/>
              </w:rPr>
              <w:t xml:space="preserve">lan </w:t>
            </w:r>
            <w:r w:rsidR="00AE7E00" w:rsidRPr="00D04939">
              <w:rPr>
                <w:rFonts w:ascii="Aptos Narrow" w:eastAsia="Calibri" w:hAnsi="Aptos Narrow" w:cs="Calibri"/>
                <w:szCs w:val="20"/>
              </w:rPr>
              <w:t>under th</w:t>
            </w:r>
            <w:r w:rsidR="006A7353" w:rsidRPr="00D04939">
              <w:rPr>
                <w:rFonts w:ascii="Aptos Narrow" w:eastAsia="Calibri" w:hAnsi="Aptos Narrow" w:cs="Calibri"/>
                <w:szCs w:val="20"/>
              </w:rPr>
              <w:t>e</w:t>
            </w:r>
            <w:r w:rsidR="00AE7E00" w:rsidRPr="00D04939">
              <w:rPr>
                <w:rFonts w:ascii="Aptos Narrow" w:eastAsia="Calibri" w:hAnsi="Aptos Narrow" w:cs="Calibri"/>
                <w:szCs w:val="20"/>
              </w:rPr>
              <w:t xml:space="preserve"> </w:t>
            </w:r>
            <w:hyperlink r:id="rId10" w:history="1">
              <w:r w:rsidR="003875FC" w:rsidRPr="001F1F1D">
                <w:rPr>
                  <w:rStyle w:val="Hyperlink"/>
                  <w:rFonts w:ascii="Aptos Narrow" w:eastAsia="Calibri" w:hAnsi="Aptos Narrow" w:cs="Calibri"/>
                  <w:i/>
                  <w:iCs/>
                  <w:color w:val="0070C0"/>
                  <w:szCs w:val="20"/>
                </w:rPr>
                <w:t>Offshore Petroleum and Greenhouse Gas</w:t>
              </w:r>
              <w:r w:rsidR="008270F0" w:rsidRPr="001F1F1D">
                <w:rPr>
                  <w:rStyle w:val="Hyperlink"/>
                  <w:rFonts w:ascii="Aptos Narrow" w:eastAsia="Calibri" w:hAnsi="Aptos Narrow" w:cs="Calibri"/>
                  <w:i/>
                  <w:iCs/>
                  <w:color w:val="0070C0"/>
                  <w:szCs w:val="20"/>
                </w:rPr>
                <w:t xml:space="preserve"> Storage (Environment) Regulations 2023</w:t>
              </w:r>
              <w:r w:rsidRPr="001F1F1D">
                <w:rPr>
                  <w:rStyle w:val="Hyperlink"/>
                  <w:rFonts w:ascii="Aptos Narrow" w:eastAsia="Calibri" w:hAnsi="Aptos Narrow" w:cs="Calibri"/>
                  <w:szCs w:val="20"/>
                </w:rPr>
                <w:t xml:space="preserve">  </w:t>
              </w:r>
            </w:hyperlink>
          </w:p>
        </w:tc>
      </w:tr>
      <w:tr w:rsidR="00E148F3" w:rsidRPr="00D04939" w14:paraId="1A8744F0" w14:textId="77777777" w:rsidTr="02EDE49D">
        <w:trPr>
          <w:trHeight w:val="738"/>
        </w:trPr>
        <w:tc>
          <w:tcPr>
            <w:tcW w:w="1557" w:type="dxa"/>
            <w:shd w:val="clear" w:color="auto" w:fill="D9E2F3"/>
          </w:tcPr>
          <w:p w14:paraId="7EF43120" w14:textId="4AB5FD0B" w:rsidR="00E148F3" w:rsidRPr="00D04939" w:rsidRDefault="00E148F3">
            <w:pPr>
              <w:spacing w:before="0" w:beforeAutospacing="0" w:after="160" w:afterAutospacing="0" w:line="259" w:lineRule="auto"/>
              <w:ind w:left="-78"/>
              <w:textAlignment w:val="baseline"/>
              <w:rPr>
                <w:rFonts w:ascii="Aptos Narrow" w:eastAsia="Calibri" w:hAnsi="Aptos Narrow" w:cs="Calibri"/>
                <w:color w:val="auto"/>
                <w:szCs w:val="20"/>
              </w:rPr>
            </w:pPr>
            <w:r w:rsidRPr="00D04939">
              <w:rPr>
                <w:rFonts w:ascii="Aptos Narrow" w:eastAsia="Calibri" w:hAnsi="Aptos Narrow" w:cs="Calibri"/>
                <w:szCs w:val="20"/>
              </w:rPr>
              <w:t xml:space="preserve">Pre-drilling </w:t>
            </w:r>
            <w:r w:rsidR="00367A26" w:rsidRPr="00D04939">
              <w:rPr>
                <w:rFonts w:ascii="Aptos Narrow" w:eastAsia="Calibri" w:hAnsi="Aptos Narrow" w:cs="Calibri"/>
                <w:szCs w:val="20"/>
              </w:rPr>
              <w:t>s</w:t>
            </w:r>
            <w:r w:rsidRPr="00D04939">
              <w:rPr>
                <w:rFonts w:ascii="Aptos Narrow" w:eastAsia="Calibri" w:hAnsi="Aptos Narrow" w:cs="Calibri"/>
                <w:szCs w:val="20"/>
              </w:rPr>
              <w:t xml:space="preserve">ite </w:t>
            </w:r>
            <w:r w:rsidR="00367A26" w:rsidRPr="00D04939">
              <w:rPr>
                <w:rFonts w:ascii="Aptos Narrow" w:eastAsia="Calibri" w:hAnsi="Aptos Narrow" w:cs="Calibri"/>
                <w:szCs w:val="20"/>
              </w:rPr>
              <w:t>s</w:t>
            </w:r>
            <w:r w:rsidRPr="00D04939">
              <w:rPr>
                <w:rFonts w:ascii="Aptos Narrow" w:eastAsia="Calibri" w:hAnsi="Aptos Narrow" w:cs="Calibri"/>
                <w:szCs w:val="20"/>
              </w:rPr>
              <w:t>urveys</w:t>
            </w:r>
          </w:p>
        </w:tc>
        <w:tc>
          <w:tcPr>
            <w:tcW w:w="3116" w:type="dxa"/>
            <w:shd w:val="clear" w:color="auto" w:fill="auto"/>
          </w:tcPr>
          <w:p w14:paraId="790D9E85" w14:textId="2427F516" w:rsidR="00E148F3" w:rsidRPr="00D04939" w:rsidRDefault="00E148F3">
            <w:pPr>
              <w:spacing w:before="0" w:beforeAutospacing="0" w:after="0" w:afterAutospacing="0"/>
              <w:ind w:left="-54"/>
              <w:textAlignment w:val="baseline"/>
              <w:rPr>
                <w:rFonts w:ascii="Aptos Narrow" w:eastAsia="Calibri" w:hAnsi="Aptos Narrow" w:cs="Calibri"/>
                <w:szCs w:val="20"/>
              </w:rPr>
            </w:pPr>
            <w:r w:rsidRPr="00D04939">
              <w:rPr>
                <w:rFonts w:ascii="Aptos Narrow" w:eastAsia="Calibri" w:hAnsi="Aptos Narrow" w:cs="Calibri"/>
                <w:szCs w:val="20"/>
              </w:rPr>
              <w:t>Pre-drilling site surveys to establish the nature of the seabed for suitable anchor locations.</w:t>
            </w:r>
          </w:p>
        </w:tc>
      </w:tr>
      <w:tr w:rsidR="00E148F3" w:rsidRPr="00D04939" w14:paraId="3ABE09EA" w14:textId="77777777" w:rsidTr="02EDE49D">
        <w:trPr>
          <w:trHeight w:val="978"/>
        </w:trPr>
        <w:tc>
          <w:tcPr>
            <w:tcW w:w="1557" w:type="dxa"/>
            <w:shd w:val="clear" w:color="auto" w:fill="D9E2F3"/>
          </w:tcPr>
          <w:p w14:paraId="526C5EF6" w14:textId="5D371414" w:rsidR="00E148F3" w:rsidRPr="00D04939" w:rsidRDefault="00E148F3">
            <w:pPr>
              <w:spacing w:before="0" w:beforeAutospacing="0" w:after="160" w:afterAutospacing="0" w:line="259" w:lineRule="auto"/>
              <w:ind w:left="-78"/>
              <w:textAlignment w:val="baseline"/>
              <w:rPr>
                <w:rFonts w:ascii="Aptos Narrow" w:eastAsia="Calibri" w:hAnsi="Aptos Narrow" w:cs="Calibri"/>
                <w:color w:val="auto"/>
                <w:szCs w:val="20"/>
              </w:rPr>
            </w:pPr>
            <w:r w:rsidRPr="00D04939">
              <w:rPr>
                <w:rFonts w:ascii="Aptos Narrow" w:eastAsia="Calibri" w:hAnsi="Aptos Narrow" w:cs="Calibri"/>
                <w:szCs w:val="20"/>
              </w:rPr>
              <w:t xml:space="preserve">Installation of </w:t>
            </w:r>
            <w:r w:rsidR="00F9608F" w:rsidRPr="00D04939">
              <w:rPr>
                <w:rFonts w:ascii="Aptos Narrow" w:eastAsia="Calibri" w:hAnsi="Aptos Narrow" w:cs="Calibri"/>
                <w:szCs w:val="20"/>
              </w:rPr>
              <w:t>a</w:t>
            </w:r>
            <w:r w:rsidRPr="00D04939">
              <w:rPr>
                <w:rFonts w:ascii="Aptos Narrow" w:eastAsia="Calibri" w:hAnsi="Aptos Narrow" w:cs="Calibri"/>
                <w:szCs w:val="20"/>
              </w:rPr>
              <w:t xml:space="preserve">nchor </w:t>
            </w:r>
            <w:r w:rsidR="00F9608F" w:rsidRPr="00D04939">
              <w:rPr>
                <w:rFonts w:ascii="Aptos Narrow" w:eastAsia="Calibri" w:hAnsi="Aptos Narrow" w:cs="Calibri"/>
                <w:szCs w:val="20"/>
              </w:rPr>
              <w:t>p</w:t>
            </w:r>
            <w:r w:rsidRPr="00D04939">
              <w:rPr>
                <w:rFonts w:ascii="Aptos Narrow" w:eastAsia="Calibri" w:hAnsi="Aptos Narrow" w:cs="Calibri"/>
                <w:szCs w:val="20"/>
              </w:rPr>
              <w:t>oints outside existing title</w:t>
            </w:r>
          </w:p>
        </w:tc>
        <w:tc>
          <w:tcPr>
            <w:tcW w:w="3116" w:type="dxa"/>
            <w:shd w:val="clear" w:color="auto" w:fill="auto"/>
          </w:tcPr>
          <w:p w14:paraId="2283F0EA" w14:textId="47A7C1E9" w:rsidR="00E148F3" w:rsidRPr="00D04939" w:rsidRDefault="00E148F3">
            <w:pPr>
              <w:spacing w:before="0" w:beforeAutospacing="0" w:after="0" w:afterAutospacing="0"/>
              <w:ind w:left="-54"/>
              <w:textAlignment w:val="baseline"/>
              <w:rPr>
                <w:rFonts w:ascii="Aptos Narrow" w:eastAsia="Calibri" w:hAnsi="Aptos Narrow" w:cs="Calibri"/>
                <w:szCs w:val="20"/>
              </w:rPr>
            </w:pPr>
            <w:r w:rsidRPr="00D04939">
              <w:rPr>
                <w:rFonts w:ascii="Aptos Narrow" w:eastAsia="Calibri" w:hAnsi="Aptos Narrow" w:cs="Calibri"/>
                <w:szCs w:val="20"/>
              </w:rPr>
              <w:t>Where the well itself will be entirely within the area of an existing title, however at least one of the anchor points for the</w:t>
            </w:r>
            <w:r w:rsidR="00B62BBA" w:rsidRPr="00D04939">
              <w:rPr>
                <w:rFonts w:ascii="Aptos Narrow" w:eastAsia="Calibri" w:hAnsi="Aptos Narrow" w:cs="Calibri"/>
                <w:szCs w:val="20"/>
              </w:rPr>
              <w:t xml:space="preserve"> drilling</w:t>
            </w:r>
            <w:r w:rsidRPr="00D04939">
              <w:rPr>
                <w:rFonts w:ascii="Aptos Narrow" w:eastAsia="Calibri" w:hAnsi="Aptos Narrow" w:cs="Calibri"/>
                <w:szCs w:val="20"/>
              </w:rPr>
              <w:t xml:space="preserve"> </w:t>
            </w:r>
            <w:r w:rsidR="003E3F97" w:rsidRPr="00D04939">
              <w:rPr>
                <w:rFonts w:ascii="Aptos Narrow" w:eastAsia="Calibri" w:hAnsi="Aptos Narrow" w:cs="Calibri"/>
                <w:szCs w:val="20"/>
              </w:rPr>
              <w:t>rig</w:t>
            </w:r>
            <w:r w:rsidR="002F29CD" w:rsidRPr="00D04939">
              <w:rPr>
                <w:rFonts w:ascii="Aptos Narrow" w:eastAsia="Calibri" w:hAnsi="Aptos Narrow" w:cs="Calibri"/>
                <w:szCs w:val="20"/>
              </w:rPr>
              <w:t xml:space="preserve"> </w:t>
            </w:r>
            <w:r w:rsidRPr="00D04939">
              <w:rPr>
                <w:rFonts w:ascii="Aptos Narrow" w:eastAsia="Calibri" w:hAnsi="Aptos Narrow" w:cs="Calibri"/>
                <w:szCs w:val="20"/>
              </w:rPr>
              <w:t>may exist outside the permit area.</w:t>
            </w:r>
          </w:p>
        </w:tc>
      </w:tr>
    </w:tbl>
    <w:p w14:paraId="18B4CAF5" w14:textId="77777777" w:rsidR="009B34FE" w:rsidRPr="00D04939" w:rsidRDefault="009B34FE" w:rsidP="00B01A2D">
      <w:pPr>
        <w:pStyle w:val="Heading2"/>
        <w:spacing w:before="100" w:after="0" w:afterAutospacing="0"/>
        <w:rPr>
          <w:rFonts w:ascii="Aptos Narrow" w:hAnsi="Aptos Narrow" w:cs="Calibri"/>
          <w:b/>
          <w:bCs/>
          <w:sz w:val="24"/>
          <w:szCs w:val="24"/>
        </w:rPr>
      </w:pPr>
      <w:r w:rsidRPr="00D04939">
        <w:rPr>
          <w:rFonts w:ascii="Aptos Narrow" w:hAnsi="Aptos Narrow" w:cs="Calibri"/>
          <w:b/>
          <w:bCs/>
          <w:sz w:val="24"/>
          <w:szCs w:val="24"/>
        </w:rPr>
        <w:t>Activities outside a title area</w:t>
      </w:r>
    </w:p>
    <w:p w14:paraId="45A3274C" w14:textId="77777777" w:rsidR="00BD0B5D" w:rsidRPr="00D04939" w:rsidRDefault="009B34FE" w:rsidP="009B34FE">
      <w:pPr>
        <w:spacing w:before="120" w:beforeAutospacing="0" w:after="0" w:afterAutospacing="0"/>
        <w:ind w:right="-142"/>
        <w:textAlignment w:val="baseline"/>
        <w:rPr>
          <w:rFonts w:ascii="Aptos Narrow" w:hAnsi="Aptos Narrow" w:cs="Calibri"/>
          <w:szCs w:val="20"/>
          <w:lang w:eastAsia="en-AU"/>
        </w:rPr>
      </w:pPr>
      <w:bookmarkStart w:id="0" w:name="_Hlk160195442"/>
      <w:r w:rsidRPr="00D04939">
        <w:rPr>
          <w:rFonts w:ascii="Aptos Narrow" w:hAnsi="Aptos Narrow" w:cs="Calibri"/>
          <w:szCs w:val="20"/>
          <w:lang w:eastAsia="en-AU"/>
        </w:rPr>
        <w:t xml:space="preserve">Petroleum and GHG titleholders proposing to undertake activities in Commonwealth waters outside the boundary of their title should make themselves aware of the requirements of the OPGGS Act </w:t>
      </w:r>
      <w:r w:rsidR="00670499" w:rsidRPr="00D04939">
        <w:rPr>
          <w:rFonts w:ascii="Aptos Narrow" w:hAnsi="Aptos Narrow" w:cs="Calibri"/>
          <w:szCs w:val="20"/>
          <w:lang w:eastAsia="en-AU"/>
        </w:rPr>
        <w:t xml:space="preserve">and associated regulations </w:t>
      </w:r>
      <w:r w:rsidRPr="00D04939">
        <w:rPr>
          <w:rFonts w:ascii="Aptos Narrow" w:hAnsi="Aptos Narrow" w:cs="Calibri"/>
          <w:szCs w:val="20"/>
          <w:lang w:eastAsia="en-AU"/>
        </w:rPr>
        <w:t xml:space="preserve">during the planning stages for these activities. </w:t>
      </w:r>
    </w:p>
    <w:p w14:paraId="6ADAD7F1" w14:textId="1F27665A" w:rsidR="009B34FE" w:rsidRPr="00D04939" w:rsidRDefault="00BD0B5D" w:rsidP="009B34FE">
      <w:pPr>
        <w:spacing w:before="120" w:beforeAutospacing="0" w:after="0" w:afterAutospacing="0"/>
        <w:ind w:right="-142"/>
        <w:textAlignment w:val="baseline"/>
        <w:rPr>
          <w:rFonts w:ascii="Aptos Narrow" w:hAnsi="Aptos Narrow" w:cs="Calibri"/>
          <w:szCs w:val="20"/>
          <w:lang w:eastAsia="en-AU"/>
        </w:rPr>
      </w:pPr>
      <w:r w:rsidRPr="00D04939">
        <w:rPr>
          <w:rFonts w:ascii="Aptos Narrow" w:hAnsi="Aptos Narrow" w:cs="Calibri"/>
          <w:szCs w:val="20"/>
          <w:lang w:eastAsia="en-AU"/>
        </w:rPr>
        <w:lastRenderedPageBreak/>
        <w:br/>
      </w:r>
      <w:r w:rsidR="009B34FE" w:rsidRPr="00D04939">
        <w:rPr>
          <w:rFonts w:ascii="Aptos Narrow" w:hAnsi="Aptos Narrow" w:cs="Calibri"/>
          <w:szCs w:val="20"/>
          <w:lang w:eastAsia="en-AU"/>
        </w:rPr>
        <w:t>Titleholders may require an appropriate title that authorises the activity/operation</w:t>
      </w:r>
      <w:r w:rsidR="009F4C10" w:rsidRPr="00D04939">
        <w:rPr>
          <w:rFonts w:ascii="Aptos Narrow" w:hAnsi="Aptos Narrow" w:cs="Calibri"/>
          <w:szCs w:val="20"/>
          <w:lang w:eastAsia="en-AU"/>
        </w:rPr>
        <w:t>, such as</w:t>
      </w:r>
      <w:r w:rsidR="009B34FE" w:rsidRPr="00D04939">
        <w:rPr>
          <w:rFonts w:ascii="Aptos Narrow" w:hAnsi="Aptos Narrow" w:cs="Calibri"/>
          <w:szCs w:val="20"/>
          <w:lang w:eastAsia="en-AU"/>
        </w:rPr>
        <w:t>:</w:t>
      </w:r>
    </w:p>
    <w:p w14:paraId="689B2891" w14:textId="132044DC" w:rsidR="009B34FE" w:rsidRPr="00D04939" w:rsidRDefault="009B34FE" w:rsidP="00FA14F7">
      <w:pPr>
        <w:pStyle w:val="ListParagraph"/>
        <w:numPr>
          <w:ilvl w:val="0"/>
          <w:numId w:val="2"/>
        </w:numPr>
        <w:spacing w:before="120" w:beforeAutospacing="0" w:after="0" w:afterAutospacing="0"/>
        <w:ind w:left="284" w:hanging="142"/>
        <w:contextualSpacing w:val="0"/>
        <w:textAlignment w:val="baseline"/>
        <w:rPr>
          <w:rFonts w:ascii="Aptos Narrow" w:hAnsi="Aptos Narrow" w:cs="Calibri"/>
          <w:szCs w:val="20"/>
          <w:lang w:eastAsia="en-AU"/>
        </w:rPr>
      </w:pPr>
      <w:r w:rsidRPr="00D04939">
        <w:rPr>
          <w:rFonts w:ascii="Aptos Narrow" w:hAnsi="Aptos Narrow" w:cs="Calibri"/>
          <w:szCs w:val="20"/>
          <w:lang w:eastAsia="en-AU"/>
        </w:rPr>
        <w:t>a petroleum access authority (</w:t>
      </w:r>
      <w:r w:rsidRPr="00D04939">
        <w:rPr>
          <w:rFonts w:ascii="Aptos Narrow" w:hAnsi="Aptos Narrow" w:cs="Calibri"/>
          <w:b/>
          <w:bCs/>
          <w:szCs w:val="20"/>
          <w:lang w:eastAsia="en-AU"/>
        </w:rPr>
        <w:t>AA</w:t>
      </w:r>
      <w:r w:rsidRPr="00D04939">
        <w:rPr>
          <w:rFonts w:ascii="Aptos Narrow" w:hAnsi="Aptos Narrow" w:cs="Calibri"/>
          <w:szCs w:val="20"/>
          <w:lang w:eastAsia="en-AU"/>
        </w:rPr>
        <w:t xml:space="preserve">); or </w:t>
      </w:r>
    </w:p>
    <w:p w14:paraId="237031CC" w14:textId="584F1241" w:rsidR="009B34FE" w:rsidRPr="00D04939" w:rsidRDefault="009B34FE" w:rsidP="00FA14F7">
      <w:pPr>
        <w:pStyle w:val="ListParagraph"/>
        <w:numPr>
          <w:ilvl w:val="0"/>
          <w:numId w:val="2"/>
        </w:numPr>
        <w:spacing w:before="0" w:beforeAutospacing="0" w:after="0" w:afterAutospacing="0"/>
        <w:ind w:left="284" w:hanging="142"/>
        <w:contextualSpacing w:val="0"/>
        <w:textAlignment w:val="baseline"/>
        <w:rPr>
          <w:rFonts w:ascii="Aptos Narrow" w:hAnsi="Aptos Narrow" w:cs="Calibri"/>
          <w:szCs w:val="20"/>
          <w:lang w:eastAsia="en-AU"/>
        </w:rPr>
      </w:pPr>
      <w:r w:rsidRPr="00D04939">
        <w:rPr>
          <w:rFonts w:ascii="Aptos Narrow" w:hAnsi="Aptos Narrow" w:cs="Calibri"/>
          <w:szCs w:val="20"/>
          <w:lang w:eastAsia="en-AU"/>
        </w:rPr>
        <w:t xml:space="preserve">a </w:t>
      </w:r>
      <w:r w:rsidR="004546B3" w:rsidRPr="00D04939">
        <w:rPr>
          <w:rFonts w:ascii="Aptos Narrow" w:hAnsi="Aptos Narrow" w:cs="Calibri"/>
          <w:szCs w:val="20"/>
          <w:lang w:eastAsia="en-AU"/>
        </w:rPr>
        <w:t>GHG</w:t>
      </w:r>
      <w:r w:rsidRPr="00D04939">
        <w:rPr>
          <w:rFonts w:ascii="Aptos Narrow" w:hAnsi="Aptos Narrow" w:cs="Calibri"/>
          <w:szCs w:val="20"/>
          <w:lang w:eastAsia="en-AU"/>
        </w:rPr>
        <w:t xml:space="preserve"> special authority (</w:t>
      </w:r>
      <w:r w:rsidRPr="00D04939">
        <w:rPr>
          <w:rFonts w:ascii="Aptos Narrow" w:hAnsi="Aptos Narrow" w:cs="Calibri"/>
          <w:b/>
          <w:bCs/>
          <w:szCs w:val="20"/>
          <w:lang w:eastAsia="en-AU"/>
        </w:rPr>
        <w:t>SLA</w:t>
      </w:r>
      <w:r w:rsidRPr="00D04939">
        <w:rPr>
          <w:rFonts w:ascii="Aptos Narrow" w:hAnsi="Aptos Narrow" w:cs="Calibri"/>
          <w:szCs w:val="20"/>
          <w:lang w:eastAsia="en-AU"/>
        </w:rPr>
        <w:t>).</w:t>
      </w:r>
    </w:p>
    <w:p w14:paraId="223320E6" w14:textId="288F70E7" w:rsidR="009B34FE" w:rsidRPr="00D04939" w:rsidRDefault="009B34FE" w:rsidP="009B34FE">
      <w:pPr>
        <w:spacing w:before="120" w:beforeAutospacing="0" w:after="120" w:afterAutospacing="0"/>
        <w:ind w:left="11"/>
        <w:rPr>
          <w:rFonts w:ascii="Aptos Narrow" w:hAnsi="Aptos Narrow" w:cs="Calibri"/>
          <w:szCs w:val="20"/>
          <w:lang w:eastAsia="en-AU"/>
        </w:rPr>
      </w:pPr>
      <w:bookmarkStart w:id="1" w:name="_Hlk160195375"/>
      <w:r w:rsidRPr="00D04939">
        <w:rPr>
          <w:rFonts w:ascii="Aptos Narrow" w:hAnsi="Aptos Narrow" w:cs="Calibri"/>
          <w:szCs w:val="20"/>
          <w:lang w:eastAsia="en-AU"/>
        </w:rPr>
        <w:t xml:space="preserve">An AA </w:t>
      </w:r>
      <w:r w:rsidR="009412E2" w:rsidRPr="00D04939">
        <w:rPr>
          <w:rFonts w:ascii="Aptos Narrow" w:hAnsi="Aptos Narrow" w:cs="Calibri"/>
          <w:szCs w:val="20"/>
          <w:lang w:eastAsia="en-AU"/>
        </w:rPr>
        <w:t>provides a</w:t>
      </w:r>
      <w:r w:rsidR="00E0557B" w:rsidRPr="00D04939">
        <w:rPr>
          <w:rFonts w:ascii="Aptos Narrow" w:hAnsi="Aptos Narrow" w:cs="Calibri"/>
          <w:szCs w:val="20"/>
          <w:lang w:eastAsia="en-AU"/>
        </w:rPr>
        <w:t xml:space="preserve"> </w:t>
      </w:r>
      <w:r w:rsidR="009412E2" w:rsidRPr="00D04939">
        <w:rPr>
          <w:rFonts w:ascii="Aptos Narrow" w:hAnsi="Aptos Narrow" w:cs="Calibri"/>
          <w:szCs w:val="20"/>
          <w:lang w:eastAsia="en-AU"/>
        </w:rPr>
        <w:t xml:space="preserve">titleholder with the authority </w:t>
      </w:r>
      <w:r w:rsidRPr="00D04939">
        <w:rPr>
          <w:rFonts w:ascii="Aptos Narrow" w:hAnsi="Aptos Narrow" w:cs="Calibri"/>
          <w:szCs w:val="20"/>
          <w:lang w:eastAsia="en-AU"/>
        </w:rPr>
        <w:t>to undertake</w:t>
      </w:r>
      <w:r w:rsidR="00AA4F91" w:rsidRPr="00D04939">
        <w:rPr>
          <w:rFonts w:ascii="Aptos Narrow" w:hAnsi="Aptos Narrow" w:cs="Calibri"/>
          <w:szCs w:val="20"/>
          <w:lang w:eastAsia="en-AU"/>
        </w:rPr>
        <w:t xml:space="preserve"> </w:t>
      </w:r>
      <w:r w:rsidR="00C2284A" w:rsidRPr="00D04939">
        <w:rPr>
          <w:rFonts w:ascii="Aptos Narrow" w:hAnsi="Aptos Narrow" w:cs="Calibri"/>
          <w:szCs w:val="20"/>
          <w:lang w:eastAsia="en-AU"/>
        </w:rPr>
        <w:t xml:space="preserve">petroleum </w:t>
      </w:r>
      <w:r w:rsidR="00AA4F91" w:rsidRPr="00D04939">
        <w:rPr>
          <w:rFonts w:ascii="Aptos Narrow" w:hAnsi="Aptos Narrow" w:cs="Calibri"/>
          <w:szCs w:val="20"/>
          <w:lang w:eastAsia="en-AU"/>
        </w:rPr>
        <w:t xml:space="preserve">exploration </w:t>
      </w:r>
      <w:r w:rsidR="000456FD" w:rsidRPr="00D04939">
        <w:rPr>
          <w:rFonts w:ascii="Aptos Narrow" w:hAnsi="Aptos Narrow" w:cs="Calibri"/>
          <w:szCs w:val="20"/>
          <w:lang w:eastAsia="en-AU"/>
        </w:rPr>
        <w:t xml:space="preserve">activities </w:t>
      </w:r>
      <w:r w:rsidR="00912DEA" w:rsidRPr="00D04939">
        <w:rPr>
          <w:rFonts w:ascii="Aptos Narrow" w:hAnsi="Aptos Narrow" w:cs="Calibri"/>
          <w:szCs w:val="20"/>
          <w:lang w:eastAsia="en-AU"/>
        </w:rPr>
        <w:t xml:space="preserve">and/or operations </w:t>
      </w:r>
      <w:r w:rsidR="009C4B5A" w:rsidRPr="00D04939">
        <w:rPr>
          <w:rFonts w:ascii="Aptos Narrow" w:hAnsi="Aptos Narrow" w:cs="Calibri"/>
          <w:szCs w:val="20"/>
          <w:lang w:eastAsia="en-AU"/>
        </w:rPr>
        <w:t xml:space="preserve">related to </w:t>
      </w:r>
      <w:r w:rsidR="000456FD" w:rsidRPr="00D04939">
        <w:rPr>
          <w:rFonts w:ascii="Aptos Narrow" w:hAnsi="Aptos Narrow" w:cs="Calibri"/>
          <w:szCs w:val="20"/>
          <w:lang w:eastAsia="en-AU"/>
        </w:rPr>
        <w:t xml:space="preserve">the </w:t>
      </w:r>
      <w:r w:rsidR="009C4B5A" w:rsidRPr="00D04939">
        <w:rPr>
          <w:rFonts w:ascii="Aptos Narrow" w:hAnsi="Aptos Narrow" w:cs="Calibri"/>
          <w:szCs w:val="20"/>
          <w:lang w:eastAsia="en-AU"/>
        </w:rPr>
        <w:t xml:space="preserve">recovery of </w:t>
      </w:r>
      <w:r w:rsidR="000456FD" w:rsidRPr="00D04939">
        <w:rPr>
          <w:rFonts w:ascii="Aptos Narrow" w:hAnsi="Aptos Narrow" w:cs="Calibri"/>
          <w:szCs w:val="20"/>
          <w:lang w:eastAsia="en-AU"/>
        </w:rPr>
        <w:t xml:space="preserve">petroleum </w:t>
      </w:r>
      <w:r w:rsidR="0080671A" w:rsidRPr="00D04939">
        <w:rPr>
          <w:rFonts w:ascii="Aptos Narrow" w:hAnsi="Aptos Narrow" w:cs="Calibri"/>
          <w:szCs w:val="20"/>
          <w:lang w:eastAsia="en-AU"/>
        </w:rPr>
        <w:t>in or from its title</w:t>
      </w:r>
      <w:r w:rsidR="00AB0BDF" w:rsidRPr="00D04939">
        <w:rPr>
          <w:rFonts w:ascii="Aptos Narrow" w:hAnsi="Aptos Narrow" w:cs="Calibri"/>
          <w:szCs w:val="20"/>
          <w:lang w:eastAsia="en-AU"/>
        </w:rPr>
        <w:t>,</w:t>
      </w:r>
      <w:r w:rsidRPr="00D04939">
        <w:rPr>
          <w:rFonts w:ascii="Aptos Narrow" w:hAnsi="Aptos Narrow" w:cs="Calibri"/>
          <w:szCs w:val="20"/>
          <w:lang w:eastAsia="en-AU"/>
        </w:rPr>
        <w:t xml:space="preserve"> in an area where a titleholder does not </w:t>
      </w:r>
      <w:r w:rsidR="00484B73" w:rsidRPr="00D04939">
        <w:rPr>
          <w:rFonts w:ascii="Aptos Narrow" w:hAnsi="Aptos Narrow" w:cs="Calibri"/>
          <w:szCs w:val="20"/>
          <w:lang w:eastAsia="en-AU"/>
        </w:rPr>
        <w:t>have</w:t>
      </w:r>
      <w:r w:rsidR="00F868CD" w:rsidRPr="00D04939">
        <w:rPr>
          <w:rFonts w:ascii="Aptos Narrow" w:hAnsi="Aptos Narrow" w:cs="Calibri"/>
          <w:szCs w:val="20"/>
          <w:lang w:eastAsia="en-AU"/>
        </w:rPr>
        <w:t xml:space="preserve"> </w:t>
      </w:r>
      <w:r w:rsidRPr="00D04939">
        <w:rPr>
          <w:rFonts w:ascii="Aptos Narrow" w:hAnsi="Aptos Narrow" w:cs="Calibri"/>
          <w:szCs w:val="20"/>
          <w:lang w:eastAsia="en-AU"/>
        </w:rPr>
        <w:t xml:space="preserve">rights </w:t>
      </w:r>
      <w:r w:rsidR="00F868CD" w:rsidRPr="00D04939">
        <w:rPr>
          <w:rFonts w:ascii="Aptos Narrow" w:hAnsi="Aptos Narrow" w:cs="Calibri"/>
          <w:szCs w:val="20"/>
          <w:lang w:eastAsia="en-AU"/>
        </w:rPr>
        <w:t>to undertake the activities</w:t>
      </w:r>
      <w:r w:rsidR="00484B73" w:rsidRPr="00D04939">
        <w:rPr>
          <w:rFonts w:ascii="Aptos Narrow" w:hAnsi="Aptos Narrow" w:cs="Calibri"/>
          <w:szCs w:val="20"/>
          <w:lang w:eastAsia="en-AU"/>
        </w:rPr>
        <w:t>.</w:t>
      </w:r>
      <w:r w:rsidRPr="00D04939">
        <w:rPr>
          <w:rFonts w:ascii="Aptos Narrow" w:hAnsi="Aptos Narrow" w:cs="Calibri"/>
          <w:szCs w:val="20"/>
          <w:lang w:eastAsia="en-AU"/>
        </w:rPr>
        <w:t xml:space="preserve"> </w:t>
      </w:r>
      <w:r w:rsidR="00A12D8A" w:rsidRPr="00D04939">
        <w:rPr>
          <w:rFonts w:ascii="Aptos Narrow" w:hAnsi="Aptos Narrow" w:cs="Calibri"/>
          <w:szCs w:val="20"/>
          <w:lang w:eastAsia="en-AU"/>
        </w:rPr>
        <w:t>A</w:t>
      </w:r>
      <w:r w:rsidR="008B197E" w:rsidRPr="00D04939">
        <w:rPr>
          <w:rFonts w:ascii="Aptos Narrow" w:hAnsi="Aptos Narrow" w:cs="Calibri"/>
          <w:szCs w:val="20"/>
          <w:lang w:eastAsia="en-AU"/>
        </w:rPr>
        <w:t>n</w:t>
      </w:r>
      <w:r w:rsidRPr="00D04939">
        <w:rPr>
          <w:rFonts w:ascii="Aptos Narrow" w:hAnsi="Aptos Narrow" w:cs="Calibri"/>
          <w:szCs w:val="20"/>
          <w:lang w:eastAsia="en-AU"/>
        </w:rPr>
        <w:t xml:space="preserve"> equivalent GHG </w:t>
      </w:r>
      <w:r w:rsidR="008B197E" w:rsidRPr="00D04939">
        <w:rPr>
          <w:rFonts w:ascii="Aptos Narrow" w:hAnsi="Aptos Narrow" w:cs="Calibri"/>
          <w:szCs w:val="20"/>
          <w:lang w:eastAsia="en-AU"/>
        </w:rPr>
        <w:t>authority</w:t>
      </w:r>
      <w:r w:rsidRPr="00D04939">
        <w:rPr>
          <w:rFonts w:ascii="Aptos Narrow" w:hAnsi="Aptos Narrow" w:cs="Calibri"/>
          <w:szCs w:val="20"/>
          <w:lang w:eastAsia="en-AU"/>
        </w:rPr>
        <w:t>, such as a</w:t>
      </w:r>
      <w:r w:rsidR="00484B73" w:rsidRPr="00D04939">
        <w:rPr>
          <w:rFonts w:ascii="Aptos Narrow" w:hAnsi="Aptos Narrow" w:cs="Calibri"/>
          <w:szCs w:val="20"/>
          <w:lang w:eastAsia="en-AU"/>
        </w:rPr>
        <w:t>n</w:t>
      </w:r>
      <w:r w:rsidRPr="00D04939">
        <w:rPr>
          <w:rFonts w:ascii="Aptos Narrow" w:hAnsi="Aptos Narrow" w:cs="Calibri"/>
          <w:szCs w:val="20"/>
          <w:lang w:eastAsia="en-AU"/>
        </w:rPr>
        <w:t xml:space="preserve"> SLA, </w:t>
      </w:r>
      <w:r w:rsidR="008B197E" w:rsidRPr="00D04939">
        <w:rPr>
          <w:rFonts w:ascii="Aptos Narrow" w:hAnsi="Aptos Narrow" w:cs="Calibri"/>
          <w:szCs w:val="20"/>
          <w:lang w:eastAsia="en-AU"/>
        </w:rPr>
        <w:t xml:space="preserve">is applicable for </w:t>
      </w:r>
      <w:r w:rsidRPr="00D04939">
        <w:rPr>
          <w:rFonts w:ascii="Aptos Narrow" w:hAnsi="Aptos Narrow" w:cs="Calibri"/>
          <w:szCs w:val="20"/>
          <w:lang w:eastAsia="en-AU"/>
        </w:rPr>
        <w:t>a GHG activity</w:t>
      </w:r>
      <w:r w:rsidR="00B92FC6" w:rsidRPr="00D04939">
        <w:rPr>
          <w:rFonts w:ascii="Aptos Narrow" w:hAnsi="Aptos Narrow" w:cs="Calibri"/>
          <w:szCs w:val="20"/>
          <w:lang w:eastAsia="en-AU"/>
        </w:rPr>
        <w:t xml:space="preserve"> in Commonwealth waters outside the boundary of a titleholder’s title</w:t>
      </w:r>
      <w:r w:rsidRPr="00D04939">
        <w:rPr>
          <w:rFonts w:ascii="Aptos Narrow" w:hAnsi="Aptos Narrow" w:cs="Calibri"/>
          <w:szCs w:val="20"/>
          <w:lang w:eastAsia="en-AU"/>
        </w:rPr>
        <w:t xml:space="preserve">. </w:t>
      </w:r>
    </w:p>
    <w:bookmarkEnd w:id="0"/>
    <w:bookmarkEnd w:id="1"/>
    <w:p w14:paraId="1E81DD77" w14:textId="77777777" w:rsidR="009B34FE" w:rsidRPr="00D04939" w:rsidRDefault="009B34FE" w:rsidP="00C90A82">
      <w:pPr>
        <w:pStyle w:val="Heading2"/>
        <w:spacing w:before="100" w:after="0" w:afterAutospacing="0"/>
        <w:rPr>
          <w:rFonts w:ascii="Aptos Narrow" w:hAnsi="Aptos Narrow" w:cs="Calibri"/>
          <w:b/>
          <w:bCs/>
          <w:sz w:val="24"/>
          <w:szCs w:val="24"/>
        </w:rPr>
      </w:pPr>
      <w:r w:rsidRPr="00D04939">
        <w:rPr>
          <w:rFonts w:ascii="Aptos Narrow" w:hAnsi="Aptos Narrow" w:cs="Calibri"/>
          <w:b/>
          <w:bCs/>
          <w:sz w:val="24"/>
          <w:szCs w:val="24"/>
        </w:rPr>
        <w:t>Data and reporting</w:t>
      </w:r>
    </w:p>
    <w:p w14:paraId="7719E3C3" w14:textId="62B68E59" w:rsidR="009B34FE" w:rsidRPr="00D04939" w:rsidRDefault="009B34FE" w:rsidP="009B34FE">
      <w:pPr>
        <w:spacing w:before="120" w:beforeAutospacing="0" w:after="120" w:afterAutospacing="0"/>
        <w:rPr>
          <w:rFonts w:ascii="Aptos Narrow" w:hAnsi="Aptos Narrow" w:cs="Calibri"/>
          <w:szCs w:val="20"/>
          <w:lang w:eastAsia="en-AU"/>
        </w:rPr>
      </w:pPr>
      <w:r w:rsidRPr="00D04939">
        <w:rPr>
          <w:rFonts w:ascii="Aptos Narrow" w:hAnsi="Aptos Narrow" w:cs="Calibri"/>
          <w:szCs w:val="20"/>
          <w:lang w:eastAsia="en-AU"/>
        </w:rPr>
        <w:t>All titleholders and authority holders are reminded of the reporting and data submission requirements under parts 7</w:t>
      </w:r>
      <w:r w:rsidR="00160154" w:rsidRPr="00D04939">
        <w:rPr>
          <w:rFonts w:ascii="Aptos Narrow" w:hAnsi="Aptos Narrow" w:cs="Calibri"/>
          <w:szCs w:val="20"/>
          <w:lang w:eastAsia="en-AU"/>
        </w:rPr>
        <w:t> </w:t>
      </w:r>
      <w:r w:rsidRPr="00D04939">
        <w:rPr>
          <w:rFonts w:ascii="Aptos Narrow" w:hAnsi="Aptos Narrow" w:cs="Calibri"/>
          <w:szCs w:val="20"/>
          <w:lang w:eastAsia="en-AU"/>
        </w:rPr>
        <w:t xml:space="preserve">and 9 of the </w:t>
      </w:r>
      <w:hyperlink r:id="rId11" w:history="1">
        <w:r w:rsidRPr="00D04939">
          <w:rPr>
            <w:rStyle w:val="Hyperlink"/>
            <w:rFonts w:ascii="Aptos Narrow" w:hAnsi="Aptos Narrow" w:cs="Calibri"/>
            <w:i/>
            <w:iCs/>
            <w:color w:val="0070C0"/>
            <w:lang w:eastAsia="en-AU"/>
          </w:rPr>
          <w:t>Offshore Petroleum and Greenhouse Gas Storage (Resource Management and Administration) Regulations 2011</w:t>
        </w:r>
      </w:hyperlink>
      <w:r w:rsidRPr="00D04939">
        <w:rPr>
          <w:rFonts w:ascii="Aptos Narrow" w:hAnsi="Aptos Narrow" w:cs="Calibri"/>
          <w:i/>
          <w:iCs/>
          <w:szCs w:val="20"/>
          <w:lang w:eastAsia="en-AU"/>
        </w:rPr>
        <w:t>.</w:t>
      </w:r>
    </w:p>
    <w:p w14:paraId="37439F42" w14:textId="77777777" w:rsidR="009B34FE" w:rsidRPr="00D04939" w:rsidRDefault="009B34FE" w:rsidP="009B34FE">
      <w:pPr>
        <w:spacing w:before="120" w:beforeAutospacing="0"/>
        <w:rPr>
          <w:rFonts w:ascii="Aptos Narrow" w:hAnsi="Aptos Narrow"/>
          <w:color w:val="595959" w:themeColor="text1" w:themeTint="A6"/>
          <w:shd w:val="clear" w:color="auto" w:fill="FFFFFF"/>
        </w:rPr>
      </w:pPr>
      <w:r w:rsidRPr="00D04939">
        <w:rPr>
          <w:rFonts w:ascii="Aptos Narrow" w:hAnsi="Aptos Narrow" w:cs="Calibri"/>
          <w:szCs w:val="20"/>
          <w:lang w:eastAsia="en-AU"/>
        </w:rPr>
        <w:t>Authority holders should also be aware of the third-party reporting obligations under subsections 249(1) and 420(1) of the OPGGS Act.</w:t>
      </w:r>
    </w:p>
    <w:p w14:paraId="384184B6" w14:textId="77777777" w:rsidR="009B34FE" w:rsidRPr="00D04939" w:rsidRDefault="009B34FE" w:rsidP="00C90A82">
      <w:pPr>
        <w:pStyle w:val="Heading2"/>
        <w:spacing w:before="100" w:after="0" w:afterAutospacing="0"/>
        <w:rPr>
          <w:rFonts w:ascii="Aptos Narrow" w:hAnsi="Aptos Narrow" w:cs="Calibri"/>
          <w:b/>
          <w:bCs/>
          <w:sz w:val="24"/>
          <w:szCs w:val="24"/>
        </w:rPr>
      </w:pPr>
      <w:r w:rsidRPr="00D04939">
        <w:rPr>
          <w:rFonts w:ascii="Aptos Narrow" w:hAnsi="Aptos Narrow" w:cs="Calibri"/>
          <w:b/>
          <w:bCs/>
          <w:sz w:val="24"/>
          <w:szCs w:val="24"/>
        </w:rPr>
        <w:t>Consultation with NOPTA</w:t>
      </w:r>
    </w:p>
    <w:p w14:paraId="448D1CDF" w14:textId="09542290" w:rsidR="009B34FE" w:rsidRPr="00D04939" w:rsidRDefault="009B34FE" w:rsidP="009B34FE">
      <w:pPr>
        <w:spacing w:before="120" w:beforeAutospacing="0" w:after="120" w:afterAutospacing="0"/>
        <w:rPr>
          <w:rFonts w:ascii="Aptos Narrow" w:hAnsi="Aptos Narrow" w:cs="Calibri"/>
          <w:szCs w:val="20"/>
          <w:lang w:eastAsia="en-AU"/>
        </w:rPr>
      </w:pPr>
      <w:r w:rsidRPr="00D04939">
        <w:rPr>
          <w:rFonts w:ascii="Aptos Narrow" w:hAnsi="Aptos Narrow" w:cs="Calibri"/>
          <w:szCs w:val="20"/>
          <w:lang w:eastAsia="en-AU"/>
        </w:rPr>
        <w:t>NOPTA assesses applications made under sections 234 and 242 (petroleum), and sections 407 and 415 (GHG) of the OPGGS Act for the grant of authorities. The Titles Administrator</w:t>
      </w:r>
      <w:r w:rsidR="002F5E7B" w:rsidRPr="00D04939">
        <w:rPr>
          <w:rFonts w:ascii="Aptos Narrow" w:hAnsi="Aptos Narrow" w:cs="Calibri"/>
          <w:szCs w:val="20"/>
          <w:lang w:eastAsia="en-AU"/>
        </w:rPr>
        <w:t>/ General Manager</w:t>
      </w:r>
      <w:r w:rsidRPr="00D04939">
        <w:rPr>
          <w:rFonts w:ascii="Aptos Narrow" w:hAnsi="Aptos Narrow" w:cs="Calibri"/>
          <w:szCs w:val="20"/>
          <w:lang w:eastAsia="en-AU"/>
        </w:rPr>
        <w:t xml:space="preserve"> makes the decision to grant or to refuse to grant an authority.</w:t>
      </w:r>
    </w:p>
    <w:p w14:paraId="3FDB523A" w14:textId="77777777" w:rsidR="009B34FE" w:rsidRPr="00D04939" w:rsidRDefault="009B34FE" w:rsidP="009B34FE">
      <w:pPr>
        <w:spacing w:before="120" w:beforeAutospacing="0" w:after="120" w:afterAutospacing="0"/>
        <w:rPr>
          <w:rFonts w:ascii="Aptos Narrow" w:hAnsi="Aptos Narrow" w:cs="Calibri"/>
          <w:szCs w:val="20"/>
          <w:lang w:eastAsia="en-AU"/>
        </w:rPr>
      </w:pPr>
      <w:r w:rsidRPr="00D04939">
        <w:rPr>
          <w:rFonts w:ascii="Aptos Narrow" w:hAnsi="Aptos Narrow" w:cs="Calibri"/>
          <w:szCs w:val="20"/>
          <w:lang w:eastAsia="en-AU"/>
        </w:rPr>
        <w:t xml:space="preserve">NOPTA recommends titleholders enquire to discuss an activity proposed to be undertaken outside the titleholder’s title area and any requirement for and duration of an authority. This recommendation includes petroleum and GHG exploration operations, operations related to the recovery of petroleum in or from a permit, lease or licence, and operations related to the injection and storage of a GHG substance, baseline investigations and monitoring of a stored GHG substance if part of the operation is to be conducted outside the title boundary. </w:t>
      </w:r>
    </w:p>
    <w:p w14:paraId="5BEE4F83" w14:textId="77777777" w:rsidR="009B34FE" w:rsidRPr="00D04939" w:rsidRDefault="009B34FE" w:rsidP="009B34FE">
      <w:pPr>
        <w:spacing w:before="120" w:beforeAutospacing="0" w:after="120" w:afterAutospacing="0"/>
        <w:rPr>
          <w:rFonts w:ascii="Aptos Narrow" w:hAnsi="Aptos Narrow"/>
          <w:color w:val="595959" w:themeColor="text1" w:themeTint="A6"/>
          <w:shd w:val="clear" w:color="auto" w:fill="FFFFFF"/>
        </w:rPr>
      </w:pPr>
      <w:r w:rsidRPr="00D04939">
        <w:rPr>
          <w:rFonts w:ascii="Aptos Narrow" w:hAnsi="Aptos Narrow" w:cs="Calibri"/>
          <w:szCs w:val="20"/>
          <w:lang w:eastAsia="en-AU"/>
        </w:rPr>
        <w:t xml:space="preserve">Please contact the Titles Team if you have any questions or require any further information. </w:t>
      </w:r>
    </w:p>
    <w:p w14:paraId="606D49A0" w14:textId="352F9A35" w:rsidR="009B34FE" w:rsidRPr="00D04939" w:rsidRDefault="009B34FE" w:rsidP="009F0428">
      <w:pPr>
        <w:tabs>
          <w:tab w:val="left" w:pos="1134"/>
        </w:tabs>
        <w:spacing w:before="120" w:beforeAutospacing="0" w:after="0" w:afterAutospacing="0"/>
        <w:rPr>
          <w:rFonts w:ascii="Aptos Narrow" w:hAnsi="Aptos Narrow" w:cs="Calibri"/>
          <w:szCs w:val="20"/>
          <w:lang w:eastAsia="en-AU"/>
        </w:rPr>
      </w:pPr>
      <w:bookmarkStart w:id="2" w:name="_Ref426625494"/>
      <w:r w:rsidRPr="00D04939">
        <w:rPr>
          <w:rFonts w:ascii="Aptos Narrow" w:hAnsi="Aptos Narrow" w:cs="Calibri"/>
          <w:szCs w:val="20"/>
          <w:lang w:eastAsia="en-AU"/>
        </w:rPr>
        <w:t>Phone:</w:t>
      </w:r>
      <w:r w:rsidRPr="00D04939">
        <w:rPr>
          <w:rFonts w:ascii="Aptos Narrow" w:hAnsi="Aptos Narrow" w:cs="Calibri"/>
          <w:szCs w:val="20"/>
          <w:lang w:eastAsia="en-AU"/>
        </w:rPr>
        <w:tab/>
        <w:t>(08) 6424 3177</w:t>
      </w:r>
      <w:r w:rsidR="009F0428" w:rsidRPr="00D04939">
        <w:rPr>
          <w:rFonts w:ascii="Aptos Narrow" w:hAnsi="Aptos Narrow" w:cs="Calibri"/>
          <w:szCs w:val="20"/>
          <w:lang w:eastAsia="en-AU"/>
        </w:rPr>
        <w:t xml:space="preserve"> (Titles hotline)</w:t>
      </w:r>
    </w:p>
    <w:p w14:paraId="5BAE74B0" w14:textId="77777777" w:rsidR="009B34FE" w:rsidRPr="00D04939" w:rsidRDefault="009B34FE" w:rsidP="009F0428">
      <w:pPr>
        <w:tabs>
          <w:tab w:val="left" w:pos="1134"/>
        </w:tabs>
        <w:spacing w:before="0" w:beforeAutospacing="0" w:after="0" w:afterAutospacing="0"/>
        <w:rPr>
          <w:rStyle w:val="Hyperlink"/>
          <w:rFonts w:ascii="Aptos Narrow" w:hAnsi="Aptos Narrow" w:cs="Calibri"/>
          <w:szCs w:val="20"/>
          <w:lang w:eastAsia="en-AU"/>
        </w:rPr>
      </w:pPr>
      <w:r w:rsidRPr="00D04939">
        <w:rPr>
          <w:rFonts w:ascii="Aptos Narrow" w:hAnsi="Aptos Narrow" w:cs="Calibri"/>
          <w:szCs w:val="20"/>
          <w:lang w:eastAsia="en-AU"/>
        </w:rPr>
        <w:t>Petroleum:</w:t>
      </w:r>
      <w:r w:rsidRPr="00D04939">
        <w:rPr>
          <w:rFonts w:ascii="Aptos Narrow" w:hAnsi="Aptos Narrow" w:cs="Calibri"/>
          <w:szCs w:val="20"/>
          <w:lang w:eastAsia="en-AU"/>
        </w:rPr>
        <w:tab/>
        <w:t xml:space="preserve">Email </w:t>
      </w:r>
      <w:hyperlink r:id="rId12" w:history="1">
        <w:r w:rsidRPr="00D04939">
          <w:rPr>
            <w:rStyle w:val="Hyperlink"/>
            <w:rFonts w:ascii="Aptos Narrow" w:hAnsi="Aptos Narrow" w:cs="Calibri"/>
            <w:color w:val="0070C0"/>
            <w:szCs w:val="20"/>
            <w:lang w:eastAsia="en-AU"/>
          </w:rPr>
          <w:t>titles@nopta.gov.au</w:t>
        </w:r>
      </w:hyperlink>
    </w:p>
    <w:p w14:paraId="4EBF5D8D" w14:textId="24287061" w:rsidR="009B34FE" w:rsidRPr="00D04939" w:rsidRDefault="009B34FE" w:rsidP="009F0428">
      <w:pPr>
        <w:tabs>
          <w:tab w:val="left" w:pos="1134"/>
        </w:tabs>
        <w:spacing w:before="0" w:beforeAutospacing="0" w:after="0" w:afterAutospacing="0"/>
        <w:rPr>
          <w:rStyle w:val="Hyperlink"/>
          <w:rFonts w:ascii="Aptos Narrow" w:hAnsi="Aptos Narrow" w:cs="Calibri"/>
          <w:szCs w:val="20"/>
          <w:lang w:eastAsia="en-AU"/>
        </w:rPr>
      </w:pPr>
      <w:r w:rsidRPr="00D04939">
        <w:rPr>
          <w:rFonts w:ascii="Aptos Narrow" w:hAnsi="Aptos Narrow" w:cs="Calibri"/>
          <w:szCs w:val="20"/>
          <w:lang w:eastAsia="en-AU"/>
        </w:rPr>
        <w:t>G</w:t>
      </w:r>
      <w:r w:rsidR="009F0428" w:rsidRPr="00D04939">
        <w:rPr>
          <w:rFonts w:ascii="Aptos Narrow" w:hAnsi="Aptos Narrow" w:cs="Calibri"/>
          <w:szCs w:val="20"/>
          <w:lang w:eastAsia="en-AU"/>
        </w:rPr>
        <w:t>HG</w:t>
      </w:r>
      <w:r w:rsidRPr="00D04939">
        <w:rPr>
          <w:rFonts w:ascii="Aptos Narrow" w:hAnsi="Aptos Narrow" w:cs="Calibri"/>
          <w:szCs w:val="20"/>
          <w:lang w:eastAsia="en-AU"/>
        </w:rPr>
        <w:t>:</w:t>
      </w:r>
      <w:r w:rsidRPr="00D04939">
        <w:rPr>
          <w:rFonts w:ascii="Aptos Narrow" w:hAnsi="Aptos Narrow" w:cs="Calibri"/>
          <w:szCs w:val="20"/>
          <w:lang w:eastAsia="en-AU"/>
        </w:rPr>
        <w:tab/>
      </w:r>
      <w:r w:rsidRPr="00D04939">
        <w:rPr>
          <w:rFonts w:ascii="Aptos Narrow" w:hAnsi="Aptos Narrow" w:cs="Calibri"/>
          <w:szCs w:val="20"/>
        </w:rPr>
        <w:t>Email</w:t>
      </w:r>
      <w:r w:rsidRPr="00D04939">
        <w:rPr>
          <w:rFonts w:ascii="Aptos Narrow" w:hAnsi="Aptos Narrow"/>
        </w:rPr>
        <w:t xml:space="preserve"> </w:t>
      </w:r>
      <w:hyperlink r:id="rId13" w:history="1">
        <w:r w:rsidRPr="00D04939">
          <w:rPr>
            <w:rStyle w:val="Hyperlink"/>
            <w:rFonts w:ascii="Aptos Narrow" w:hAnsi="Aptos Narrow" w:cs="Calibri"/>
            <w:color w:val="0070C0"/>
            <w:szCs w:val="20"/>
            <w:lang w:eastAsia="en-AU"/>
          </w:rPr>
          <w:t>ghg@nopta.gov.au</w:t>
        </w:r>
      </w:hyperlink>
    </w:p>
    <w:bookmarkEnd w:id="2"/>
    <w:p w14:paraId="59FC582B" w14:textId="77777777" w:rsidR="00BD0B5D" w:rsidRPr="00D04939" w:rsidRDefault="00BD0B5D" w:rsidP="009B34FE">
      <w:pPr>
        <w:spacing w:after="0" w:afterAutospacing="0"/>
        <w:textAlignment w:val="baseline"/>
        <w:rPr>
          <w:rFonts w:ascii="Aptos Narrow" w:hAnsi="Aptos Narrow" w:cs="Calibri"/>
          <w:szCs w:val="20"/>
          <w:lang w:eastAsia="en-AU"/>
        </w:rPr>
      </w:pPr>
      <w:r w:rsidRPr="00D04939">
        <w:rPr>
          <w:rFonts w:ascii="Aptos Narrow" w:hAnsi="Aptos Narrow" w:cs="Calibri"/>
          <w:szCs w:val="20"/>
          <w:lang w:eastAsia="en-AU"/>
        </w:rPr>
        <w:br/>
      </w:r>
    </w:p>
    <w:p w14:paraId="6B86D58D" w14:textId="77777777" w:rsidR="00BD0B5D" w:rsidRPr="00D04939" w:rsidRDefault="00BD0B5D" w:rsidP="009B34FE">
      <w:pPr>
        <w:spacing w:after="0" w:afterAutospacing="0"/>
        <w:textAlignment w:val="baseline"/>
        <w:rPr>
          <w:rFonts w:ascii="Aptos Narrow" w:hAnsi="Aptos Narrow" w:cs="Calibri"/>
          <w:szCs w:val="20"/>
          <w:lang w:eastAsia="en-AU"/>
        </w:rPr>
      </w:pPr>
    </w:p>
    <w:p w14:paraId="4C821D3C" w14:textId="77777777" w:rsidR="00735391" w:rsidRPr="00D04939" w:rsidRDefault="00735391" w:rsidP="009B34FE">
      <w:pPr>
        <w:spacing w:after="0" w:afterAutospacing="0"/>
        <w:textAlignment w:val="baseline"/>
        <w:rPr>
          <w:rFonts w:ascii="Aptos Narrow" w:hAnsi="Aptos Narrow" w:cs="Calibri"/>
          <w:szCs w:val="20"/>
          <w:lang w:eastAsia="en-AU"/>
        </w:rPr>
      </w:pPr>
    </w:p>
    <w:p w14:paraId="1E74CD5B" w14:textId="28A49202" w:rsidR="009B34FE" w:rsidRPr="00D04939" w:rsidRDefault="009B34FE" w:rsidP="00735391">
      <w:pPr>
        <w:spacing w:before="0" w:beforeAutospacing="0" w:after="0" w:afterAutospacing="0"/>
        <w:textAlignment w:val="baseline"/>
        <w:rPr>
          <w:rFonts w:ascii="Aptos Narrow" w:hAnsi="Aptos Narrow" w:cs="Segoe UI"/>
          <w:sz w:val="18"/>
          <w:szCs w:val="18"/>
          <w:lang w:eastAsia="en-AU"/>
        </w:rPr>
      </w:pPr>
      <w:r w:rsidRPr="00D04939">
        <w:rPr>
          <w:rFonts w:ascii="Aptos Narrow" w:hAnsi="Aptos Narrow" w:cs="Calibri"/>
          <w:szCs w:val="20"/>
          <w:lang w:eastAsia="en-AU"/>
        </w:rPr>
        <w:t>This factsheet should be read in conjunction with:</w:t>
      </w:r>
    </w:p>
    <w:p w14:paraId="764D97E0" w14:textId="40B212EB" w:rsidR="009B34FE" w:rsidRPr="00D04939" w:rsidRDefault="009B34FE" w:rsidP="009B34FE">
      <w:pPr>
        <w:numPr>
          <w:ilvl w:val="0"/>
          <w:numId w:val="1"/>
        </w:numPr>
        <w:tabs>
          <w:tab w:val="clear" w:pos="720"/>
        </w:tabs>
        <w:spacing w:before="0" w:beforeAutospacing="0" w:after="0" w:afterAutospacing="0"/>
        <w:ind w:left="284" w:hanging="284"/>
        <w:textAlignment w:val="baseline"/>
        <w:rPr>
          <w:rFonts w:ascii="Aptos Narrow" w:hAnsi="Aptos Narrow" w:cs="Calibri"/>
          <w:szCs w:val="20"/>
          <w:lang w:eastAsia="en-AU"/>
        </w:rPr>
      </w:pPr>
      <w:r w:rsidRPr="00D04939">
        <w:rPr>
          <w:rFonts w:ascii="Aptos Narrow" w:hAnsi="Aptos Narrow" w:cs="Calibri"/>
          <w:szCs w:val="20"/>
          <w:lang w:eastAsia="en-AU"/>
        </w:rPr>
        <w:t>The Offshore Petroleum: Special Prospecting Authority, Access Authority &amp; Scientific Investigation Consents Guideline (</w:t>
      </w:r>
      <w:hyperlink r:id="rId14" w:tgtFrame="_blank" w:history="1">
        <w:r w:rsidRPr="00D04939">
          <w:rPr>
            <w:rFonts w:ascii="Aptos Narrow" w:hAnsi="Aptos Narrow" w:cs="Calibri"/>
            <w:color w:val="0070C0"/>
            <w:szCs w:val="20"/>
            <w:u w:val="single"/>
            <w:lang w:eastAsia="en-AU"/>
          </w:rPr>
          <w:t>Petroleum Guideline</w:t>
        </w:r>
      </w:hyperlink>
      <w:r w:rsidRPr="00D04939">
        <w:rPr>
          <w:rFonts w:ascii="Aptos Narrow" w:hAnsi="Aptos Narrow" w:cs="Calibri"/>
          <w:szCs w:val="20"/>
          <w:lang w:eastAsia="en-AU"/>
        </w:rPr>
        <w:t>).</w:t>
      </w:r>
    </w:p>
    <w:p w14:paraId="19C86910" w14:textId="77777777" w:rsidR="009B34FE" w:rsidRPr="00D04939" w:rsidRDefault="009B34FE" w:rsidP="007A746C">
      <w:pPr>
        <w:numPr>
          <w:ilvl w:val="0"/>
          <w:numId w:val="1"/>
        </w:numPr>
        <w:tabs>
          <w:tab w:val="clear" w:pos="720"/>
        </w:tabs>
        <w:spacing w:before="0" w:beforeAutospacing="0" w:after="0" w:afterAutospacing="0"/>
        <w:ind w:left="284" w:hanging="284"/>
        <w:textAlignment w:val="baseline"/>
        <w:rPr>
          <w:rFonts w:ascii="Aptos Narrow" w:hAnsi="Aptos Narrow" w:cs="Calibri"/>
          <w:szCs w:val="20"/>
          <w:lang w:eastAsia="en-AU"/>
        </w:rPr>
      </w:pPr>
      <w:r w:rsidRPr="00D04939">
        <w:rPr>
          <w:rFonts w:ascii="Aptos Narrow" w:hAnsi="Aptos Narrow" w:cs="Calibri"/>
          <w:szCs w:val="20"/>
          <w:lang w:eastAsia="en-AU"/>
        </w:rPr>
        <w:t>The Offshore Greenhouse Gas: Search Authority, Special Authority and Research Consents Factsheet (</w:t>
      </w:r>
      <w:hyperlink r:id="rId15" w:history="1">
        <w:r w:rsidRPr="00D04939">
          <w:rPr>
            <w:rFonts w:ascii="Aptos Narrow" w:hAnsi="Aptos Narrow"/>
            <w:color w:val="0070C0"/>
            <w:u w:val="single"/>
          </w:rPr>
          <w:t xml:space="preserve">Greenhouse Gas </w:t>
        </w:r>
        <w:r w:rsidRPr="00D04939">
          <w:rPr>
            <w:rFonts w:ascii="Aptos Narrow" w:hAnsi="Aptos Narrow" w:cs="Calibri"/>
            <w:color w:val="0070C0"/>
            <w:u w:val="single"/>
            <w:lang w:eastAsia="en-AU"/>
          </w:rPr>
          <w:t>Factsheet</w:t>
        </w:r>
      </w:hyperlink>
      <w:r w:rsidRPr="00D04939">
        <w:rPr>
          <w:rFonts w:ascii="Aptos Narrow" w:hAnsi="Aptos Narrow" w:cs="Calibri"/>
          <w:szCs w:val="20"/>
          <w:lang w:eastAsia="en-AU"/>
        </w:rPr>
        <w:t xml:space="preserve">). </w:t>
      </w:r>
    </w:p>
    <w:p w14:paraId="06B8C9D9" w14:textId="506DBCD7" w:rsidR="00E57AE9" w:rsidRPr="00D04939" w:rsidRDefault="00E57AE9" w:rsidP="007A746C">
      <w:pPr>
        <w:numPr>
          <w:ilvl w:val="0"/>
          <w:numId w:val="1"/>
        </w:numPr>
        <w:tabs>
          <w:tab w:val="clear" w:pos="720"/>
        </w:tabs>
        <w:spacing w:before="0" w:beforeAutospacing="0" w:after="0" w:afterAutospacing="0"/>
        <w:ind w:left="284" w:hanging="284"/>
        <w:textAlignment w:val="baseline"/>
        <w:rPr>
          <w:rFonts w:ascii="Aptos Narrow" w:hAnsi="Aptos Narrow" w:cs="Calibri"/>
          <w:szCs w:val="20"/>
          <w:lang w:eastAsia="en-AU"/>
        </w:rPr>
      </w:pPr>
      <w:r w:rsidRPr="00D04939">
        <w:rPr>
          <w:rFonts w:ascii="Aptos Narrow" w:hAnsi="Aptos Narrow" w:cs="Calibri"/>
          <w:szCs w:val="20"/>
          <w:lang w:eastAsia="en-AU"/>
        </w:rPr>
        <w:t>Frequently Asked Questions on Authority Requirements</w:t>
      </w:r>
    </w:p>
    <w:p w14:paraId="38733898" w14:textId="10A63F17" w:rsidR="009B34FE" w:rsidRPr="00D04939" w:rsidRDefault="009B34FE" w:rsidP="009B34FE">
      <w:pPr>
        <w:numPr>
          <w:ilvl w:val="0"/>
          <w:numId w:val="1"/>
        </w:numPr>
        <w:tabs>
          <w:tab w:val="clear" w:pos="720"/>
        </w:tabs>
        <w:spacing w:before="0" w:beforeAutospacing="0" w:after="0" w:afterAutospacing="0"/>
        <w:ind w:left="284" w:hanging="283"/>
        <w:textAlignment w:val="baseline"/>
        <w:rPr>
          <w:rFonts w:ascii="Aptos Narrow" w:hAnsi="Aptos Narrow" w:cs="Calibri"/>
          <w:szCs w:val="20"/>
          <w:lang w:eastAsia="en-AU"/>
        </w:rPr>
      </w:pPr>
      <w:hyperlink r:id="rId16" w:tgtFrame="_blank" w:history="1">
        <w:r w:rsidRPr="00D04939">
          <w:rPr>
            <w:rFonts w:ascii="Aptos Narrow" w:hAnsi="Aptos Narrow" w:cs="Calibri"/>
            <w:color w:val="0070C0"/>
            <w:szCs w:val="20"/>
            <w:u w:val="single"/>
            <w:lang w:eastAsia="en-AU"/>
          </w:rPr>
          <w:t>NOPTA Form Guidance – Petroleum</w:t>
        </w:r>
      </w:hyperlink>
      <w:r w:rsidRPr="00D04939">
        <w:rPr>
          <w:rFonts w:ascii="Aptos Narrow" w:hAnsi="Aptos Narrow" w:cs="Calibri"/>
          <w:szCs w:val="20"/>
          <w:lang w:eastAsia="en-AU"/>
        </w:rPr>
        <w:t>.</w:t>
      </w:r>
    </w:p>
    <w:p w14:paraId="374EF862" w14:textId="57E433B8" w:rsidR="009B34FE" w:rsidRPr="00D04939" w:rsidRDefault="009B34FE" w:rsidP="009B34FE">
      <w:pPr>
        <w:numPr>
          <w:ilvl w:val="0"/>
          <w:numId w:val="1"/>
        </w:numPr>
        <w:tabs>
          <w:tab w:val="clear" w:pos="720"/>
        </w:tabs>
        <w:spacing w:before="0" w:beforeAutospacing="0" w:after="0" w:afterAutospacing="0"/>
        <w:ind w:left="284" w:right="-142" w:hanging="283"/>
        <w:textAlignment w:val="baseline"/>
        <w:rPr>
          <w:rFonts w:ascii="Aptos Narrow" w:hAnsi="Aptos Narrow" w:cs="Calibri"/>
          <w:szCs w:val="20"/>
          <w:lang w:eastAsia="en-AU"/>
        </w:rPr>
      </w:pPr>
      <w:hyperlink r:id="rId17">
        <w:r w:rsidRPr="00D04939">
          <w:rPr>
            <w:rStyle w:val="Hyperlink"/>
            <w:rFonts w:ascii="Aptos Narrow" w:hAnsi="Aptos Narrow" w:cs="Calibri"/>
            <w:color w:val="0070C0"/>
            <w:lang w:eastAsia="en-AU"/>
          </w:rPr>
          <w:t>NOPTA Form Guidance – Greenhouse Gas</w:t>
        </w:r>
      </w:hyperlink>
      <w:r w:rsidRPr="00D04939">
        <w:rPr>
          <w:rFonts w:ascii="Aptos Narrow" w:hAnsi="Aptos Narrow" w:cs="Calibri"/>
          <w:lang w:eastAsia="en-AU"/>
        </w:rPr>
        <w:t>.</w:t>
      </w:r>
    </w:p>
    <w:p w14:paraId="6B9BA748" w14:textId="77777777" w:rsidR="009B34FE" w:rsidRPr="00D04939" w:rsidRDefault="009B34FE" w:rsidP="009B34FE">
      <w:pPr>
        <w:spacing w:before="240" w:beforeAutospacing="0" w:after="240" w:afterAutospacing="0"/>
        <w:rPr>
          <w:rFonts w:ascii="Aptos Narrow" w:hAnsi="Aptos Narrow"/>
          <w:i/>
          <w:color w:val="595959" w:themeColor="text1" w:themeTint="A6"/>
          <w:sz w:val="18"/>
          <w:lang w:eastAsia="en-AU"/>
        </w:rPr>
      </w:pPr>
      <w:r w:rsidRPr="00D04939">
        <w:rPr>
          <w:rFonts w:ascii="Aptos Narrow" w:hAnsi="Aptos Narrow"/>
          <w:b/>
          <w:i/>
          <w:color w:val="595959" w:themeColor="text1" w:themeTint="A6"/>
          <w:sz w:val="18"/>
          <w:lang w:eastAsia="en-AU"/>
        </w:rPr>
        <w:t>Please note:</w:t>
      </w:r>
      <w:r w:rsidRPr="00D04939">
        <w:rPr>
          <w:rFonts w:ascii="Aptos Narrow" w:hAnsi="Aptos Narrow"/>
          <w:i/>
          <w:color w:val="595959" w:themeColor="text1" w:themeTint="A6"/>
          <w:sz w:val="18"/>
          <w:lang w:eastAsia="en-AU"/>
        </w:rPr>
        <w:t xml:space="preserve"> this document is intended as a guide only and should not be relied on as legal advice or regarded as a substitute for legal advice in individual cases.</w:t>
      </w:r>
    </w:p>
    <w:p w14:paraId="4D6D73A2" w14:textId="77777777" w:rsidR="009B34FE" w:rsidRPr="002E44BC" w:rsidRDefault="009B34FE" w:rsidP="00865644">
      <w:pPr>
        <w:spacing w:before="0" w:beforeAutospacing="0" w:after="120" w:afterAutospacing="0"/>
        <w:rPr>
          <w:rFonts w:ascii="Aptos Narrow" w:eastAsiaTheme="majorEastAsia" w:hAnsi="Aptos Narrow" w:cs="Calibri"/>
          <w:b/>
          <w:bCs/>
          <w:color w:val="0F4761" w:themeColor="accent1" w:themeShade="BF"/>
          <w:sz w:val="24"/>
        </w:rPr>
      </w:pPr>
      <w:r w:rsidRPr="002E44BC">
        <w:rPr>
          <w:rFonts w:ascii="Aptos Narrow" w:eastAsiaTheme="majorEastAsia" w:hAnsi="Aptos Narrow" w:cs="Calibri"/>
          <w:b/>
          <w:bCs/>
          <w:color w:val="0F4761" w:themeColor="accent1" w:themeShade="BF"/>
          <w:sz w:val="24"/>
        </w:rPr>
        <w:t>Version History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Caption w:val="Version history"/>
        <w:tblDescription w:val="Sets out version number, effective date and comments"/>
      </w:tblPr>
      <w:tblGrid>
        <w:gridCol w:w="608"/>
        <w:gridCol w:w="998"/>
        <w:gridCol w:w="3203"/>
      </w:tblGrid>
      <w:tr w:rsidR="009B34FE" w:rsidRPr="00D04939" w14:paraId="41FB8910" w14:textId="77777777">
        <w:trPr>
          <w:trHeight w:val="170"/>
        </w:trPr>
        <w:tc>
          <w:tcPr>
            <w:tcW w:w="608" w:type="dxa"/>
          </w:tcPr>
          <w:p w14:paraId="7AF9FF11" w14:textId="77777777" w:rsidR="009B34FE" w:rsidRPr="00D04939" w:rsidRDefault="009B34FE">
            <w:pPr>
              <w:jc w:val="cente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Version</w:t>
            </w:r>
          </w:p>
        </w:tc>
        <w:tc>
          <w:tcPr>
            <w:tcW w:w="998" w:type="dxa"/>
          </w:tcPr>
          <w:p w14:paraId="63BB1A9F" w14:textId="77777777" w:rsidR="009B34FE" w:rsidRPr="00D04939" w:rsidRDefault="009B34FE">
            <w:pP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Date</w:t>
            </w:r>
          </w:p>
        </w:tc>
        <w:tc>
          <w:tcPr>
            <w:tcW w:w="3209" w:type="dxa"/>
          </w:tcPr>
          <w:p w14:paraId="1BF931E3" w14:textId="77777777" w:rsidR="009B34FE" w:rsidRPr="00D04939" w:rsidRDefault="009B34FE">
            <w:pP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Comment</w:t>
            </w:r>
          </w:p>
        </w:tc>
      </w:tr>
      <w:tr w:rsidR="009B34FE" w:rsidRPr="00D04939" w14:paraId="4C5713D2" w14:textId="77777777">
        <w:trPr>
          <w:trHeight w:val="170"/>
        </w:trPr>
        <w:tc>
          <w:tcPr>
            <w:tcW w:w="608" w:type="dxa"/>
          </w:tcPr>
          <w:p w14:paraId="69C5FC1C" w14:textId="77777777" w:rsidR="009B34FE" w:rsidRPr="00D04939" w:rsidRDefault="009B34FE">
            <w:pPr>
              <w:jc w:val="cente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1.0</w:t>
            </w:r>
          </w:p>
        </w:tc>
        <w:tc>
          <w:tcPr>
            <w:tcW w:w="998" w:type="dxa"/>
          </w:tcPr>
          <w:p w14:paraId="6B659B15" w14:textId="3F4907FE" w:rsidR="009B34FE" w:rsidRPr="00D04939" w:rsidRDefault="00FC3AB7">
            <w:pP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0</w:t>
            </w:r>
            <w:r w:rsidR="003A2614" w:rsidRPr="00D04939">
              <w:rPr>
                <w:rFonts w:ascii="Aptos Narrow" w:eastAsiaTheme="minorHAnsi" w:hAnsi="Aptos Narrow"/>
                <w:color w:val="595959" w:themeColor="text1" w:themeTint="A6"/>
                <w:sz w:val="16"/>
              </w:rPr>
              <w:t>8</w:t>
            </w:r>
            <w:r w:rsidRPr="00D04939">
              <w:rPr>
                <w:rFonts w:ascii="Aptos Narrow" w:eastAsiaTheme="minorHAnsi" w:hAnsi="Aptos Narrow"/>
                <w:color w:val="595959" w:themeColor="text1" w:themeTint="A6"/>
                <w:sz w:val="16"/>
              </w:rPr>
              <w:t>/01/2025</w:t>
            </w:r>
          </w:p>
        </w:tc>
        <w:tc>
          <w:tcPr>
            <w:tcW w:w="3209" w:type="dxa"/>
          </w:tcPr>
          <w:p w14:paraId="33FB5776" w14:textId="134B6F87" w:rsidR="009B34FE" w:rsidRPr="00D04939" w:rsidRDefault="00FC3AB7">
            <w:pPr>
              <w:rPr>
                <w:rFonts w:ascii="Aptos Narrow" w:eastAsiaTheme="minorHAnsi" w:hAnsi="Aptos Narrow"/>
                <w:color w:val="595959" w:themeColor="text1" w:themeTint="A6"/>
                <w:sz w:val="16"/>
              </w:rPr>
            </w:pPr>
            <w:r w:rsidRPr="00D04939">
              <w:rPr>
                <w:rFonts w:ascii="Aptos Narrow" w:eastAsiaTheme="minorHAnsi" w:hAnsi="Aptos Narrow"/>
                <w:color w:val="595959" w:themeColor="text1" w:themeTint="A6"/>
                <w:sz w:val="16"/>
              </w:rPr>
              <w:t xml:space="preserve">New Fact Sheet </w:t>
            </w:r>
          </w:p>
        </w:tc>
      </w:tr>
    </w:tbl>
    <w:p w14:paraId="43A043D8" w14:textId="77777777" w:rsidR="009B34FE" w:rsidRPr="00D04939" w:rsidRDefault="009B34FE" w:rsidP="009B34FE">
      <w:pPr>
        <w:rPr>
          <w:rFonts w:ascii="Aptos Narrow" w:hAnsi="Aptos Narrow"/>
          <w:i/>
          <w:color w:val="595959" w:themeColor="text1" w:themeTint="A6"/>
          <w:sz w:val="18"/>
          <w:szCs w:val="18"/>
        </w:rPr>
      </w:pPr>
    </w:p>
    <w:p w14:paraId="7A1157B8" w14:textId="77777777" w:rsidR="001F1D2A" w:rsidRPr="00D04939" w:rsidRDefault="001F1D2A">
      <w:pPr>
        <w:rPr>
          <w:rFonts w:ascii="Aptos Narrow" w:hAnsi="Aptos Narrow"/>
        </w:rPr>
      </w:pPr>
    </w:p>
    <w:sectPr w:rsidR="001F1D2A" w:rsidRPr="00D04939" w:rsidSect="006E76D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410" w:right="849" w:bottom="709" w:left="992" w:header="709" w:footer="261" w:gutter="0"/>
      <w:cols w:num="2"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6ECE" w14:textId="77777777" w:rsidR="003E6E70" w:rsidRDefault="003E6E70">
      <w:pPr>
        <w:spacing w:before="0" w:after="0"/>
      </w:pPr>
      <w:r>
        <w:separator/>
      </w:r>
    </w:p>
  </w:endnote>
  <w:endnote w:type="continuationSeparator" w:id="0">
    <w:p w14:paraId="14E4FCB0" w14:textId="77777777" w:rsidR="003E6E70" w:rsidRDefault="003E6E70">
      <w:pPr>
        <w:spacing w:before="0" w:after="0"/>
      </w:pPr>
      <w:r>
        <w:continuationSeparator/>
      </w:r>
    </w:p>
  </w:endnote>
  <w:endnote w:type="continuationNotice" w:id="1">
    <w:p w14:paraId="3E8EFBD6" w14:textId="77777777" w:rsidR="003E6E70" w:rsidRDefault="003E6E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2DAB" w14:textId="566325C4" w:rsidR="00244C55" w:rsidRPr="005718DA" w:rsidRDefault="00244C55" w:rsidP="00796A78">
    <w:pPr>
      <w:pStyle w:val="Footer"/>
      <w:tabs>
        <w:tab w:val="clear" w:pos="4513"/>
        <w:tab w:val="clear" w:pos="9026"/>
        <w:tab w:val="center" w:pos="4962"/>
        <w:tab w:val="right" w:pos="10065"/>
      </w:tabs>
    </w:pPr>
    <w:r>
      <w:rPr>
        <w:noProof/>
        <w:lang w:eastAsia="en-AU"/>
      </w:rPr>
      <mc:AlternateContent>
        <mc:Choice Requires="wps">
          <w:drawing>
            <wp:anchor distT="0" distB="0" distL="114300" distR="114300" simplePos="0" relativeHeight="251658242" behindDoc="0" locked="0" layoutInCell="1" allowOverlap="1" wp14:anchorId="3C637F03" wp14:editId="0EC7166B">
              <wp:simplePos x="0" y="0"/>
              <wp:positionH relativeFrom="margin">
                <wp:align>left</wp:align>
              </wp:positionH>
              <wp:positionV relativeFrom="paragraph">
                <wp:posOffset>-67945</wp:posOffset>
              </wp:positionV>
              <wp:extent cx="6419850" cy="0"/>
              <wp:effectExtent l="0" t="0" r="0" b="0"/>
              <wp:wrapNone/>
              <wp:docPr id="8"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B2DB" id="Line 4" o:spid="_x0000_s1026" alt="Title: horizontal line"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5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" strokecolor="#27639b">
              <w10:wrap anchorx="margin"/>
            </v:line>
          </w:pict>
        </mc:Fallback>
      </mc:AlternateContent>
    </w:r>
    <w:r w:rsidR="00796A78" w:rsidRPr="00796A78">
      <w:t xml:space="preserve"> </w:t>
    </w:r>
    <w:r w:rsidR="00796A78">
      <w:t>www.nopta.gov.au</w:t>
    </w:r>
    <w:r w:rsidR="00796A78">
      <w:tab/>
    </w:r>
    <w:r w:rsidR="00796A78">
      <w:tab/>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E745" w14:textId="77777777" w:rsidR="00804D5E" w:rsidRDefault="00804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C441" w14:textId="5D767565" w:rsidR="00804D5E" w:rsidRPr="00796A78" w:rsidRDefault="00796A78" w:rsidP="00796A78">
    <w:pPr>
      <w:pStyle w:val="Footer"/>
      <w:tabs>
        <w:tab w:val="clear" w:pos="4513"/>
        <w:tab w:val="clear" w:pos="9026"/>
        <w:tab w:val="center" w:pos="4962"/>
        <w:tab w:val="right" w:pos="10065"/>
      </w:tabs>
    </w:pPr>
    <w:r>
      <w:rPr>
        <w:noProof/>
        <w:lang w:eastAsia="en-AU"/>
      </w:rPr>
      <mc:AlternateContent>
        <mc:Choice Requires="wps">
          <w:drawing>
            <wp:anchor distT="0" distB="0" distL="114300" distR="114300" simplePos="0" relativeHeight="251660291" behindDoc="0" locked="0" layoutInCell="1" allowOverlap="1" wp14:anchorId="3723EDE4" wp14:editId="786A0B15">
              <wp:simplePos x="0" y="0"/>
              <wp:positionH relativeFrom="margin">
                <wp:align>left</wp:align>
              </wp:positionH>
              <wp:positionV relativeFrom="paragraph">
                <wp:posOffset>-67945</wp:posOffset>
              </wp:positionV>
              <wp:extent cx="6419850" cy="0"/>
              <wp:effectExtent l="0" t="0" r="0" b="0"/>
              <wp:wrapNone/>
              <wp:docPr id="870675428"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0D2B" id="Line 4" o:spid="_x0000_s1026" alt="Title: horizontal line" style="position:absolute;z-index:251660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5pt" to="5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" strokecolor="#27639b">
              <w10:wrap anchorx="margin"/>
            </v:line>
          </w:pict>
        </mc:Fallback>
      </mc:AlternateContent>
    </w:r>
    <w:r w:rsidRPr="00796A78">
      <w:t xml:space="preserve"> </w:t>
    </w:r>
    <w:r>
      <w:t>www.nopta.gov.au</w:t>
    </w:r>
    <w:r>
      <w:tab/>
    </w:r>
    <w:r>
      <w:tab/>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E7DD" w14:textId="77777777" w:rsidR="00804D5E" w:rsidRDefault="0080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7D97" w14:textId="77777777" w:rsidR="003E6E70" w:rsidRDefault="003E6E70">
      <w:pPr>
        <w:spacing w:before="0" w:after="0"/>
      </w:pPr>
      <w:r>
        <w:separator/>
      </w:r>
    </w:p>
  </w:footnote>
  <w:footnote w:type="continuationSeparator" w:id="0">
    <w:p w14:paraId="2512C585" w14:textId="77777777" w:rsidR="003E6E70" w:rsidRDefault="003E6E70">
      <w:pPr>
        <w:spacing w:before="0" w:after="0"/>
      </w:pPr>
      <w:r>
        <w:continuationSeparator/>
      </w:r>
    </w:p>
  </w:footnote>
  <w:footnote w:type="continuationNotice" w:id="1">
    <w:p w14:paraId="437D805D" w14:textId="77777777" w:rsidR="003E6E70" w:rsidRDefault="003E6E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89B3" w14:textId="3B3993A4" w:rsidR="00244C55" w:rsidRDefault="00244C55">
    <w:pPr>
      <w:pStyle w:val="Header"/>
    </w:pPr>
    <w:r>
      <w:rPr>
        <w:noProof/>
      </w:rPr>
      <w:drawing>
        <wp:anchor distT="0" distB="0" distL="114300" distR="114300" simplePos="0" relativeHeight="251658243" behindDoc="1" locked="0" layoutInCell="1" allowOverlap="1" wp14:anchorId="58D5D4B7" wp14:editId="1E4E496C">
          <wp:simplePos x="0" y="0"/>
          <wp:positionH relativeFrom="page">
            <wp:posOffset>-17780</wp:posOffset>
          </wp:positionH>
          <wp:positionV relativeFrom="page">
            <wp:posOffset>-45720</wp:posOffset>
          </wp:positionV>
          <wp:extent cx="7592400" cy="1591200"/>
          <wp:effectExtent l="0" t="0" r="0" b="9525"/>
          <wp:wrapNone/>
          <wp:docPr id="10154410" name="Picture 1015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8768" w14:textId="337C8B9B" w:rsidR="00804D5E" w:rsidRDefault="0080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C28F" w14:textId="4C048CEE" w:rsidR="00804D5E" w:rsidRDefault="00804D5E">
    <w:pPr>
      <w:pStyle w:val="Header"/>
    </w:pPr>
    <w:r>
      <w:rPr>
        <w:noProof/>
      </w:rPr>
      <w:drawing>
        <wp:anchor distT="0" distB="0" distL="114300" distR="114300" simplePos="0" relativeHeight="251658241" behindDoc="1" locked="0" layoutInCell="1" allowOverlap="1" wp14:anchorId="0837DE55" wp14:editId="62591288">
          <wp:simplePos x="0" y="0"/>
          <wp:positionH relativeFrom="page">
            <wp:posOffset>-17780</wp:posOffset>
          </wp:positionH>
          <wp:positionV relativeFrom="page">
            <wp:posOffset>-45720</wp:posOffset>
          </wp:positionV>
          <wp:extent cx="7592400" cy="1591200"/>
          <wp:effectExtent l="0" t="0" r="0" b="9525"/>
          <wp:wrapNone/>
          <wp:docPr id="1533718245" name="Picture 15337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4D10" w14:textId="2AE1CCDA" w:rsidR="00804D5E" w:rsidRDefault="0080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804"/>
    <w:multiLevelType w:val="multilevel"/>
    <w:tmpl w:val="F61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F0111"/>
    <w:multiLevelType w:val="hybridMultilevel"/>
    <w:tmpl w:val="B2EA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C707F"/>
    <w:multiLevelType w:val="hybridMultilevel"/>
    <w:tmpl w:val="FC8C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905DA1"/>
    <w:multiLevelType w:val="hybridMultilevel"/>
    <w:tmpl w:val="836C2D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B30122"/>
    <w:multiLevelType w:val="hybridMultilevel"/>
    <w:tmpl w:val="2CFA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425006">
    <w:abstractNumId w:val="0"/>
  </w:num>
  <w:num w:numId="2" w16cid:durableId="938607696">
    <w:abstractNumId w:val="2"/>
  </w:num>
  <w:num w:numId="3" w16cid:durableId="246959373">
    <w:abstractNumId w:val="3"/>
  </w:num>
  <w:num w:numId="4" w16cid:durableId="1764838117">
    <w:abstractNumId w:val="1"/>
  </w:num>
  <w:num w:numId="5" w16cid:durableId="1025061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FE"/>
    <w:rsid w:val="00000015"/>
    <w:rsid w:val="00000B37"/>
    <w:rsid w:val="000075A6"/>
    <w:rsid w:val="000100BA"/>
    <w:rsid w:val="00012E77"/>
    <w:rsid w:val="000176BB"/>
    <w:rsid w:val="000358B1"/>
    <w:rsid w:val="000456FD"/>
    <w:rsid w:val="00076E48"/>
    <w:rsid w:val="00080D3F"/>
    <w:rsid w:val="00083551"/>
    <w:rsid w:val="000870C0"/>
    <w:rsid w:val="0009212E"/>
    <w:rsid w:val="000A3C55"/>
    <w:rsid w:val="000A71DF"/>
    <w:rsid w:val="000B2976"/>
    <w:rsid w:val="000B6B8C"/>
    <w:rsid w:val="000B78AB"/>
    <w:rsid w:val="000C03A8"/>
    <w:rsid w:val="000C0993"/>
    <w:rsid w:val="000F4816"/>
    <w:rsid w:val="000F5C96"/>
    <w:rsid w:val="000F7FB9"/>
    <w:rsid w:val="001013C1"/>
    <w:rsid w:val="001135D4"/>
    <w:rsid w:val="0012473F"/>
    <w:rsid w:val="00125089"/>
    <w:rsid w:val="00130119"/>
    <w:rsid w:val="0013796A"/>
    <w:rsid w:val="00160154"/>
    <w:rsid w:val="00160C9F"/>
    <w:rsid w:val="00167ED5"/>
    <w:rsid w:val="00174C6D"/>
    <w:rsid w:val="00175885"/>
    <w:rsid w:val="001874B7"/>
    <w:rsid w:val="00190D24"/>
    <w:rsid w:val="001A4F21"/>
    <w:rsid w:val="001A7402"/>
    <w:rsid w:val="001D77DE"/>
    <w:rsid w:val="001E01FD"/>
    <w:rsid w:val="001F006B"/>
    <w:rsid w:val="001F1D2A"/>
    <w:rsid w:val="001F1F1D"/>
    <w:rsid w:val="0020712E"/>
    <w:rsid w:val="0021290A"/>
    <w:rsid w:val="0022267B"/>
    <w:rsid w:val="00222C0D"/>
    <w:rsid w:val="00223943"/>
    <w:rsid w:val="00234A24"/>
    <w:rsid w:val="00236FE3"/>
    <w:rsid w:val="00237CE3"/>
    <w:rsid w:val="00243077"/>
    <w:rsid w:val="002444E9"/>
    <w:rsid w:val="00244C55"/>
    <w:rsid w:val="0026205F"/>
    <w:rsid w:val="00266480"/>
    <w:rsid w:val="0027549F"/>
    <w:rsid w:val="00281887"/>
    <w:rsid w:val="002877F6"/>
    <w:rsid w:val="00287A4B"/>
    <w:rsid w:val="002A36A6"/>
    <w:rsid w:val="002A3A17"/>
    <w:rsid w:val="002B1F9C"/>
    <w:rsid w:val="002C75F3"/>
    <w:rsid w:val="002D1A2F"/>
    <w:rsid w:val="002E44BC"/>
    <w:rsid w:val="002F288A"/>
    <w:rsid w:val="002F29CD"/>
    <w:rsid w:val="002F5E7B"/>
    <w:rsid w:val="00302711"/>
    <w:rsid w:val="00302A4A"/>
    <w:rsid w:val="00315786"/>
    <w:rsid w:val="00316ED1"/>
    <w:rsid w:val="0032072E"/>
    <w:rsid w:val="00327BB5"/>
    <w:rsid w:val="003350B6"/>
    <w:rsid w:val="00353268"/>
    <w:rsid w:val="00354866"/>
    <w:rsid w:val="003578AD"/>
    <w:rsid w:val="00367A26"/>
    <w:rsid w:val="003702C5"/>
    <w:rsid w:val="003714A1"/>
    <w:rsid w:val="0037232B"/>
    <w:rsid w:val="00375EAA"/>
    <w:rsid w:val="003823E2"/>
    <w:rsid w:val="003846A3"/>
    <w:rsid w:val="00386D08"/>
    <w:rsid w:val="003875FC"/>
    <w:rsid w:val="00393DFF"/>
    <w:rsid w:val="003A2614"/>
    <w:rsid w:val="003A268D"/>
    <w:rsid w:val="003A315E"/>
    <w:rsid w:val="003A327F"/>
    <w:rsid w:val="003A3936"/>
    <w:rsid w:val="003B4A98"/>
    <w:rsid w:val="003D7D06"/>
    <w:rsid w:val="003E3F97"/>
    <w:rsid w:val="003E6E70"/>
    <w:rsid w:val="003F3D80"/>
    <w:rsid w:val="004042F5"/>
    <w:rsid w:val="00407048"/>
    <w:rsid w:val="00416D5E"/>
    <w:rsid w:val="0042005A"/>
    <w:rsid w:val="004209E8"/>
    <w:rsid w:val="00433022"/>
    <w:rsid w:val="004546B3"/>
    <w:rsid w:val="00460165"/>
    <w:rsid w:val="00481A95"/>
    <w:rsid w:val="00484611"/>
    <w:rsid w:val="00484B73"/>
    <w:rsid w:val="00485AD4"/>
    <w:rsid w:val="00487920"/>
    <w:rsid w:val="004A2FCF"/>
    <w:rsid w:val="004B17CD"/>
    <w:rsid w:val="004B6B0D"/>
    <w:rsid w:val="004D1062"/>
    <w:rsid w:val="004D18E9"/>
    <w:rsid w:val="004D6130"/>
    <w:rsid w:val="00502B90"/>
    <w:rsid w:val="005052A2"/>
    <w:rsid w:val="00522197"/>
    <w:rsid w:val="00525D9A"/>
    <w:rsid w:val="00541612"/>
    <w:rsid w:val="0054582F"/>
    <w:rsid w:val="00557805"/>
    <w:rsid w:val="00563796"/>
    <w:rsid w:val="00572C5C"/>
    <w:rsid w:val="00574EEB"/>
    <w:rsid w:val="005803EC"/>
    <w:rsid w:val="005812E0"/>
    <w:rsid w:val="005829CC"/>
    <w:rsid w:val="005848F7"/>
    <w:rsid w:val="005B3E23"/>
    <w:rsid w:val="005B541F"/>
    <w:rsid w:val="005B5FF4"/>
    <w:rsid w:val="005C2939"/>
    <w:rsid w:val="005C2E95"/>
    <w:rsid w:val="005C7C16"/>
    <w:rsid w:val="005D1F9B"/>
    <w:rsid w:val="005D5D9A"/>
    <w:rsid w:val="00601720"/>
    <w:rsid w:val="00603A73"/>
    <w:rsid w:val="00605B64"/>
    <w:rsid w:val="0061121E"/>
    <w:rsid w:val="00614E77"/>
    <w:rsid w:val="00617376"/>
    <w:rsid w:val="00633830"/>
    <w:rsid w:val="00635F41"/>
    <w:rsid w:val="0063776F"/>
    <w:rsid w:val="0064070D"/>
    <w:rsid w:val="006447FC"/>
    <w:rsid w:val="006600BD"/>
    <w:rsid w:val="00670499"/>
    <w:rsid w:val="00682896"/>
    <w:rsid w:val="006843BE"/>
    <w:rsid w:val="0068654D"/>
    <w:rsid w:val="006A2936"/>
    <w:rsid w:val="006A7353"/>
    <w:rsid w:val="006C3E43"/>
    <w:rsid w:val="006D3D15"/>
    <w:rsid w:val="006D44A4"/>
    <w:rsid w:val="006D744B"/>
    <w:rsid w:val="006E6763"/>
    <w:rsid w:val="006E76DC"/>
    <w:rsid w:val="00700F5B"/>
    <w:rsid w:val="00706CC6"/>
    <w:rsid w:val="007070D5"/>
    <w:rsid w:val="0072144C"/>
    <w:rsid w:val="00723BD7"/>
    <w:rsid w:val="0072519E"/>
    <w:rsid w:val="00727030"/>
    <w:rsid w:val="00730E8A"/>
    <w:rsid w:val="00735391"/>
    <w:rsid w:val="00737A37"/>
    <w:rsid w:val="00740B8F"/>
    <w:rsid w:val="00741EEC"/>
    <w:rsid w:val="0076008D"/>
    <w:rsid w:val="007657A4"/>
    <w:rsid w:val="0077354A"/>
    <w:rsid w:val="0077496F"/>
    <w:rsid w:val="00777396"/>
    <w:rsid w:val="00796A1C"/>
    <w:rsid w:val="00796A78"/>
    <w:rsid w:val="007A02D1"/>
    <w:rsid w:val="007A0FF5"/>
    <w:rsid w:val="007A2FA1"/>
    <w:rsid w:val="007A54B1"/>
    <w:rsid w:val="007A68AC"/>
    <w:rsid w:val="007A746C"/>
    <w:rsid w:val="007C05F0"/>
    <w:rsid w:val="007C13CF"/>
    <w:rsid w:val="007C3969"/>
    <w:rsid w:val="007D7948"/>
    <w:rsid w:val="007E03C4"/>
    <w:rsid w:val="007E3B29"/>
    <w:rsid w:val="007F0697"/>
    <w:rsid w:val="007F4B32"/>
    <w:rsid w:val="007F5A9B"/>
    <w:rsid w:val="007F6350"/>
    <w:rsid w:val="008036DF"/>
    <w:rsid w:val="00804D5E"/>
    <w:rsid w:val="00805C9F"/>
    <w:rsid w:val="00806390"/>
    <w:rsid w:val="0080671A"/>
    <w:rsid w:val="00813879"/>
    <w:rsid w:val="00813EBA"/>
    <w:rsid w:val="00820511"/>
    <w:rsid w:val="00822849"/>
    <w:rsid w:val="008256B6"/>
    <w:rsid w:val="008270F0"/>
    <w:rsid w:val="0084072C"/>
    <w:rsid w:val="00840B08"/>
    <w:rsid w:val="00844C15"/>
    <w:rsid w:val="008468F5"/>
    <w:rsid w:val="00865644"/>
    <w:rsid w:val="00877846"/>
    <w:rsid w:val="00877AC6"/>
    <w:rsid w:val="00885A9B"/>
    <w:rsid w:val="00887C35"/>
    <w:rsid w:val="008976FB"/>
    <w:rsid w:val="008A51A7"/>
    <w:rsid w:val="008B197E"/>
    <w:rsid w:val="008B7B80"/>
    <w:rsid w:val="008C1407"/>
    <w:rsid w:val="008E1080"/>
    <w:rsid w:val="008E454E"/>
    <w:rsid w:val="008E648F"/>
    <w:rsid w:val="00900C72"/>
    <w:rsid w:val="00912DEA"/>
    <w:rsid w:val="00912E53"/>
    <w:rsid w:val="00913186"/>
    <w:rsid w:val="0091374D"/>
    <w:rsid w:val="00913BAA"/>
    <w:rsid w:val="009302F5"/>
    <w:rsid w:val="009412E2"/>
    <w:rsid w:val="00967A89"/>
    <w:rsid w:val="00971F64"/>
    <w:rsid w:val="00986DC2"/>
    <w:rsid w:val="00987242"/>
    <w:rsid w:val="009A46C4"/>
    <w:rsid w:val="009A6D23"/>
    <w:rsid w:val="009B34FE"/>
    <w:rsid w:val="009C4B5A"/>
    <w:rsid w:val="009C5C9A"/>
    <w:rsid w:val="009D1A26"/>
    <w:rsid w:val="009D5F30"/>
    <w:rsid w:val="009D7C89"/>
    <w:rsid w:val="009E06F5"/>
    <w:rsid w:val="009E25C1"/>
    <w:rsid w:val="009F0428"/>
    <w:rsid w:val="009F4C10"/>
    <w:rsid w:val="009F548B"/>
    <w:rsid w:val="00A12D8A"/>
    <w:rsid w:val="00A1667D"/>
    <w:rsid w:val="00A17585"/>
    <w:rsid w:val="00A205D6"/>
    <w:rsid w:val="00A20D87"/>
    <w:rsid w:val="00A30966"/>
    <w:rsid w:val="00A317C7"/>
    <w:rsid w:val="00A3231D"/>
    <w:rsid w:val="00A32604"/>
    <w:rsid w:val="00A426C3"/>
    <w:rsid w:val="00A47230"/>
    <w:rsid w:val="00A47D60"/>
    <w:rsid w:val="00A53217"/>
    <w:rsid w:val="00A56D66"/>
    <w:rsid w:val="00A61ECE"/>
    <w:rsid w:val="00A64CA0"/>
    <w:rsid w:val="00A80328"/>
    <w:rsid w:val="00A85D9B"/>
    <w:rsid w:val="00A872F9"/>
    <w:rsid w:val="00A905B8"/>
    <w:rsid w:val="00A97805"/>
    <w:rsid w:val="00AA4F91"/>
    <w:rsid w:val="00AA6589"/>
    <w:rsid w:val="00AB0BDF"/>
    <w:rsid w:val="00AB613E"/>
    <w:rsid w:val="00AB7E0C"/>
    <w:rsid w:val="00AC1D14"/>
    <w:rsid w:val="00AC24A5"/>
    <w:rsid w:val="00AD03FF"/>
    <w:rsid w:val="00AD21CD"/>
    <w:rsid w:val="00AD3E15"/>
    <w:rsid w:val="00AD4B99"/>
    <w:rsid w:val="00AE4228"/>
    <w:rsid w:val="00AE7E00"/>
    <w:rsid w:val="00AF2E5B"/>
    <w:rsid w:val="00AF333A"/>
    <w:rsid w:val="00AF3AF1"/>
    <w:rsid w:val="00AF681E"/>
    <w:rsid w:val="00B00DE0"/>
    <w:rsid w:val="00B01A2D"/>
    <w:rsid w:val="00B05A3F"/>
    <w:rsid w:val="00B05F44"/>
    <w:rsid w:val="00B14115"/>
    <w:rsid w:val="00B23CCA"/>
    <w:rsid w:val="00B311FB"/>
    <w:rsid w:val="00B3194E"/>
    <w:rsid w:val="00B340F8"/>
    <w:rsid w:val="00B36FC0"/>
    <w:rsid w:val="00B413D4"/>
    <w:rsid w:val="00B41A7B"/>
    <w:rsid w:val="00B62BBA"/>
    <w:rsid w:val="00B75F84"/>
    <w:rsid w:val="00B817FE"/>
    <w:rsid w:val="00B92FC6"/>
    <w:rsid w:val="00BA10CD"/>
    <w:rsid w:val="00BA4E4C"/>
    <w:rsid w:val="00BB18F1"/>
    <w:rsid w:val="00BC1819"/>
    <w:rsid w:val="00BC1900"/>
    <w:rsid w:val="00BC2096"/>
    <w:rsid w:val="00BD0B5D"/>
    <w:rsid w:val="00BD2ACE"/>
    <w:rsid w:val="00BD3691"/>
    <w:rsid w:val="00BE676B"/>
    <w:rsid w:val="00C0620C"/>
    <w:rsid w:val="00C21652"/>
    <w:rsid w:val="00C2284A"/>
    <w:rsid w:val="00C26E54"/>
    <w:rsid w:val="00C27B5F"/>
    <w:rsid w:val="00C31157"/>
    <w:rsid w:val="00C402A6"/>
    <w:rsid w:val="00C5693D"/>
    <w:rsid w:val="00C615C4"/>
    <w:rsid w:val="00C766B5"/>
    <w:rsid w:val="00C90A82"/>
    <w:rsid w:val="00C90C0E"/>
    <w:rsid w:val="00C91E58"/>
    <w:rsid w:val="00C91EC0"/>
    <w:rsid w:val="00C95DE3"/>
    <w:rsid w:val="00CA3B2D"/>
    <w:rsid w:val="00CB026D"/>
    <w:rsid w:val="00CB0937"/>
    <w:rsid w:val="00CB7B44"/>
    <w:rsid w:val="00CD0525"/>
    <w:rsid w:val="00CD4842"/>
    <w:rsid w:val="00CE089E"/>
    <w:rsid w:val="00CE1F98"/>
    <w:rsid w:val="00D003AF"/>
    <w:rsid w:val="00D00C8D"/>
    <w:rsid w:val="00D03CCB"/>
    <w:rsid w:val="00D04939"/>
    <w:rsid w:val="00D13B0C"/>
    <w:rsid w:val="00D200B0"/>
    <w:rsid w:val="00D335EB"/>
    <w:rsid w:val="00D40BA8"/>
    <w:rsid w:val="00D5015F"/>
    <w:rsid w:val="00D54859"/>
    <w:rsid w:val="00D6213D"/>
    <w:rsid w:val="00D851C0"/>
    <w:rsid w:val="00D9016C"/>
    <w:rsid w:val="00D95AE4"/>
    <w:rsid w:val="00D973B5"/>
    <w:rsid w:val="00DA473E"/>
    <w:rsid w:val="00DB3834"/>
    <w:rsid w:val="00DB3D6D"/>
    <w:rsid w:val="00DB4EEF"/>
    <w:rsid w:val="00DC6B9A"/>
    <w:rsid w:val="00DD756D"/>
    <w:rsid w:val="00DF50F4"/>
    <w:rsid w:val="00E01EE8"/>
    <w:rsid w:val="00E04B3A"/>
    <w:rsid w:val="00E0557B"/>
    <w:rsid w:val="00E10E54"/>
    <w:rsid w:val="00E13F5B"/>
    <w:rsid w:val="00E148F3"/>
    <w:rsid w:val="00E16C96"/>
    <w:rsid w:val="00E24305"/>
    <w:rsid w:val="00E472FE"/>
    <w:rsid w:val="00E52FD7"/>
    <w:rsid w:val="00E570D5"/>
    <w:rsid w:val="00E57AE9"/>
    <w:rsid w:val="00E6037C"/>
    <w:rsid w:val="00E608CA"/>
    <w:rsid w:val="00E65997"/>
    <w:rsid w:val="00E72B72"/>
    <w:rsid w:val="00E8154C"/>
    <w:rsid w:val="00E82495"/>
    <w:rsid w:val="00E920FD"/>
    <w:rsid w:val="00EA268F"/>
    <w:rsid w:val="00EC21A7"/>
    <w:rsid w:val="00ED57A4"/>
    <w:rsid w:val="00EE6979"/>
    <w:rsid w:val="00EF1EDE"/>
    <w:rsid w:val="00F02CBE"/>
    <w:rsid w:val="00F0405F"/>
    <w:rsid w:val="00F209CA"/>
    <w:rsid w:val="00F209E6"/>
    <w:rsid w:val="00F3614F"/>
    <w:rsid w:val="00F41471"/>
    <w:rsid w:val="00F42C1C"/>
    <w:rsid w:val="00F50190"/>
    <w:rsid w:val="00F52308"/>
    <w:rsid w:val="00F538F8"/>
    <w:rsid w:val="00F547C9"/>
    <w:rsid w:val="00F55DB0"/>
    <w:rsid w:val="00F57727"/>
    <w:rsid w:val="00F61DC5"/>
    <w:rsid w:val="00F63353"/>
    <w:rsid w:val="00F63765"/>
    <w:rsid w:val="00F817E3"/>
    <w:rsid w:val="00F868CD"/>
    <w:rsid w:val="00F9608F"/>
    <w:rsid w:val="00F96C5C"/>
    <w:rsid w:val="00FA14F7"/>
    <w:rsid w:val="00FC3AB7"/>
    <w:rsid w:val="00FD46A7"/>
    <w:rsid w:val="00FD74DF"/>
    <w:rsid w:val="00FD74F7"/>
    <w:rsid w:val="00FD782D"/>
    <w:rsid w:val="00FE22F1"/>
    <w:rsid w:val="00FE5749"/>
    <w:rsid w:val="00FE6F53"/>
    <w:rsid w:val="00FF5B58"/>
    <w:rsid w:val="00FF6B84"/>
    <w:rsid w:val="02EDE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C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FE"/>
    <w:pPr>
      <w:spacing w:before="100" w:beforeAutospacing="1" w:after="100" w:afterAutospacing="1" w:line="240" w:lineRule="auto"/>
    </w:pPr>
    <w:rPr>
      <w:rFonts w:eastAsia="Times New Roman" w:cs="Times New Roman"/>
      <w:color w:val="5F5F5F"/>
      <w:kern w:val="0"/>
      <w:sz w:val="20"/>
      <w:szCs w:val="24"/>
      <w14:ligatures w14:val="none"/>
    </w:rPr>
  </w:style>
  <w:style w:type="paragraph" w:styleId="Heading1">
    <w:name w:val="heading 1"/>
    <w:basedOn w:val="Normal"/>
    <w:next w:val="Normal"/>
    <w:link w:val="Heading1Char"/>
    <w:qFormat/>
    <w:rsid w:val="009B3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B3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3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4FE"/>
    <w:rPr>
      <w:rFonts w:eastAsiaTheme="majorEastAsia" w:cstheme="majorBidi"/>
      <w:color w:val="272727" w:themeColor="text1" w:themeTint="D8"/>
    </w:rPr>
  </w:style>
  <w:style w:type="paragraph" w:styleId="Title">
    <w:name w:val="Title"/>
    <w:basedOn w:val="Normal"/>
    <w:next w:val="Normal"/>
    <w:link w:val="TitleChar"/>
    <w:uiPriority w:val="10"/>
    <w:qFormat/>
    <w:rsid w:val="009B34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4FE"/>
    <w:pPr>
      <w:spacing w:before="160"/>
      <w:jc w:val="center"/>
    </w:pPr>
    <w:rPr>
      <w:i/>
      <w:iCs/>
      <w:color w:val="404040" w:themeColor="text1" w:themeTint="BF"/>
    </w:rPr>
  </w:style>
  <w:style w:type="character" w:customStyle="1" w:styleId="QuoteChar">
    <w:name w:val="Quote Char"/>
    <w:basedOn w:val="DefaultParagraphFont"/>
    <w:link w:val="Quote"/>
    <w:uiPriority w:val="29"/>
    <w:rsid w:val="009B34FE"/>
    <w:rPr>
      <w:i/>
      <w:iCs/>
      <w:color w:val="404040" w:themeColor="text1" w:themeTint="BF"/>
    </w:rPr>
  </w:style>
  <w:style w:type="paragraph" w:styleId="ListParagraph">
    <w:name w:val="List Paragraph"/>
    <w:basedOn w:val="Normal"/>
    <w:uiPriority w:val="34"/>
    <w:qFormat/>
    <w:rsid w:val="009B34FE"/>
    <w:pPr>
      <w:ind w:left="720"/>
      <w:contextualSpacing/>
    </w:pPr>
  </w:style>
  <w:style w:type="character" w:styleId="IntenseEmphasis">
    <w:name w:val="Intense Emphasis"/>
    <w:basedOn w:val="DefaultParagraphFont"/>
    <w:uiPriority w:val="21"/>
    <w:qFormat/>
    <w:rsid w:val="009B34FE"/>
    <w:rPr>
      <w:i/>
      <w:iCs/>
      <w:color w:val="0F4761" w:themeColor="accent1" w:themeShade="BF"/>
    </w:rPr>
  </w:style>
  <w:style w:type="paragraph" w:styleId="IntenseQuote">
    <w:name w:val="Intense Quote"/>
    <w:basedOn w:val="Normal"/>
    <w:next w:val="Normal"/>
    <w:link w:val="IntenseQuoteChar"/>
    <w:uiPriority w:val="30"/>
    <w:qFormat/>
    <w:rsid w:val="009B3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4FE"/>
    <w:rPr>
      <w:i/>
      <w:iCs/>
      <w:color w:val="0F4761" w:themeColor="accent1" w:themeShade="BF"/>
    </w:rPr>
  </w:style>
  <w:style w:type="character" w:styleId="IntenseReference">
    <w:name w:val="Intense Reference"/>
    <w:basedOn w:val="DefaultParagraphFont"/>
    <w:uiPriority w:val="32"/>
    <w:qFormat/>
    <w:rsid w:val="009B34FE"/>
    <w:rPr>
      <w:b/>
      <w:bCs/>
      <w:smallCaps/>
      <w:color w:val="0F4761" w:themeColor="accent1" w:themeShade="BF"/>
      <w:spacing w:val="5"/>
    </w:rPr>
  </w:style>
  <w:style w:type="paragraph" w:styleId="Header">
    <w:name w:val="header"/>
    <w:basedOn w:val="Normal"/>
    <w:link w:val="HeaderChar"/>
    <w:unhideWhenUsed/>
    <w:rsid w:val="009B34FE"/>
    <w:pPr>
      <w:tabs>
        <w:tab w:val="center" w:pos="4513"/>
        <w:tab w:val="right" w:pos="9026"/>
      </w:tabs>
      <w:spacing w:after="0"/>
    </w:pPr>
  </w:style>
  <w:style w:type="character" w:customStyle="1" w:styleId="HeaderChar">
    <w:name w:val="Header Char"/>
    <w:basedOn w:val="DefaultParagraphFont"/>
    <w:link w:val="Header"/>
    <w:rsid w:val="009B34FE"/>
    <w:rPr>
      <w:rFonts w:eastAsia="Times New Roman" w:cs="Times New Roman"/>
      <w:color w:val="5F5F5F"/>
      <w:kern w:val="0"/>
      <w:sz w:val="20"/>
      <w:szCs w:val="24"/>
      <w14:ligatures w14:val="none"/>
    </w:rPr>
  </w:style>
  <w:style w:type="paragraph" w:styleId="Footer">
    <w:name w:val="footer"/>
    <w:basedOn w:val="Normal"/>
    <w:link w:val="FooterChar"/>
    <w:uiPriority w:val="99"/>
    <w:unhideWhenUsed/>
    <w:rsid w:val="009B34FE"/>
    <w:pPr>
      <w:tabs>
        <w:tab w:val="center" w:pos="4513"/>
        <w:tab w:val="right" w:pos="9026"/>
      </w:tabs>
      <w:spacing w:after="0"/>
    </w:pPr>
  </w:style>
  <w:style w:type="character" w:customStyle="1" w:styleId="FooterChar">
    <w:name w:val="Footer Char"/>
    <w:basedOn w:val="DefaultParagraphFont"/>
    <w:link w:val="Footer"/>
    <w:uiPriority w:val="99"/>
    <w:rsid w:val="009B34FE"/>
    <w:rPr>
      <w:rFonts w:eastAsia="Times New Roman" w:cs="Times New Roman"/>
      <w:color w:val="5F5F5F"/>
      <w:kern w:val="0"/>
      <w:sz w:val="20"/>
      <w:szCs w:val="24"/>
      <w14:ligatures w14:val="none"/>
    </w:rPr>
  </w:style>
  <w:style w:type="character" w:styleId="Hyperlink">
    <w:name w:val="Hyperlink"/>
    <w:basedOn w:val="DefaultParagraphFont"/>
    <w:uiPriority w:val="99"/>
    <w:unhideWhenUsed/>
    <w:rsid w:val="009B34FE"/>
    <w:rPr>
      <w:color w:val="467886" w:themeColor="hyperlink"/>
      <w:u w:val="single"/>
    </w:rPr>
  </w:style>
  <w:style w:type="table" w:styleId="TableGrid">
    <w:name w:val="Table Grid"/>
    <w:basedOn w:val="TableNormal"/>
    <w:uiPriority w:val="39"/>
    <w:rsid w:val="009B34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FE"/>
    <w:rPr>
      <w:sz w:val="16"/>
      <w:szCs w:val="16"/>
    </w:rPr>
  </w:style>
  <w:style w:type="paragraph" w:styleId="CommentText">
    <w:name w:val="annotation text"/>
    <w:basedOn w:val="Normal"/>
    <w:link w:val="CommentTextChar"/>
    <w:uiPriority w:val="99"/>
    <w:unhideWhenUsed/>
    <w:rsid w:val="009B34FE"/>
    <w:pPr>
      <w:spacing w:before="0" w:beforeAutospacing="0" w:after="160" w:afterAutospacing="0"/>
    </w:pPr>
    <w:rPr>
      <w:rFonts w:eastAsiaTheme="minorHAnsi" w:cstheme="minorBidi"/>
      <w:color w:val="auto"/>
      <w:kern w:val="2"/>
      <w:szCs w:val="20"/>
    </w:rPr>
  </w:style>
  <w:style w:type="character" w:customStyle="1" w:styleId="CommentTextChar">
    <w:name w:val="Comment Text Char"/>
    <w:basedOn w:val="DefaultParagraphFont"/>
    <w:link w:val="CommentText"/>
    <w:uiPriority w:val="99"/>
    <w:rsid w:val="009B34FE"/>
    <w:rPr>
      <w:sz w:val="20"/>
      <w:szCs w:val="20"/>
      <w14:ligatures w14:val="none"/>
    </w:rPr>
  </w:style>
  <w:style w:type="paragraph" w:styleId="Revision">
    <w:name w:val="Revision"/>
    <w:hidden/>
    <w:uiPriority w:val="99"/>
    <w:semiHidden/>
    <w:rsid w:val="00EA268F"/>
    <w:pPr>
      <w:spacing w:after="0" w:line="240" w:lineRule="auto"/>
    </w:pPr>
    <w:rPr>
      <w:rFonts w:eastAsia="Times New Roman" w:cs="Times New Roman"/>
      <w:color w:val="5F5F5F"/>
      <w:kern w:val="0"/>
      <w:sz w:val="20"/>
      <w:szCs w:val="24"/>
      <w14:ligatures w14:val="none"/>
    </w:rPr>
  </w:style>
  <w:style w:type="table" w:customStyle="1" w:styleId="TableGrid1">
    <w:name w:val="Table Grid1"/>
    <w:basedOn w:val="TableNormal"/>
    <w:next w:val="TableGrid"/>
    <w:uiPriority w:val="39"/>
    <w:rsid w:val="00E1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A473E"/>
    <w:pPr>
      <w:spacing w:before="100" w:beforeAutospacing="1" w:after="100" w:afterAutospacing="1"/>
    </w:pPr>
    <w:rPr>
      <w:rFonts w:eastAsia="Times New Roman" w:cs="Times New Roman"/>
      <w:b/>
      <w:bCs/>
      <w:color w:val="5F5F5F"/>
      <w:kern w:val="0"/>
    </w:rPr>
  </w:style>
  <w:style w:type="character" w:customStyle="1" w:styleId="CommentSubjectChar">
    <w:name w:val="Comment Subject Char"/>
    <w:basedOn w:val="CommentTextChar"/>
    <w:link w:val="CommentSubject"/>
    <w:uiPriority w:val="99"/>
    <w:semiHidden/>
    <w:rsid w:val="00DA473E"/>
    <w:rPr>
      <w:rFonts w:eastAsia="Times New Roman" w:cs="Times New Roman"/>
      <w:b/>
      <w:bCs/>
      <w:color w:val="5F5F5F"/>
      <w:kern w:val="0"/>
      <w:sz w:val="20"/>
      <w:szCs w:val="20"/>
      <w14:ligatures w14:val="none"/>
    </w:rPr>
  </w:style>
  <w:style w:type="character" w:styleId="UnresolvedMention">
    <w:name w:val="Unresolved Mention"/>
    <w:basedOn w:val="DefaultParagraphFont"/>
    <w:uiPriority w:val="99"/>
    <w:semiHidden/>
    <w:unhideWhenUsed/>
    <w:rsid w:val="001F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hg@nopta.gov.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mailto:titles@nopta.gov.au" TargetMode="External"/><Relationship Id="rId17" Type="http://schemas.openxmlformats.org/officeDocument/2006/relationships/hyperlink" Target="https://www.nopta.gov.au/forms/nopta-forms/nopta-forms-guidance/NOPTA-Forms-Guidance-Greenhouse-Ga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pta-my.sharepoint.com/personal/nadine_gregory_nopta_gov_au/Documents/Working%20File/NOPTA%20Form%20Guidance%20%E2%80%93%20Petroleu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F2011L00647/latest/tex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opta.gov.au/_documents/fact-sheets/fact-sheet-GHG-Search-Authority.pdf" TargetMode="External"/><Relationship Id="rId23" Type="http://schemas.openxmlformats.org/officeDocument/2006/relationships/footer" Target="footer4.xml"/><Relationship Id="rId10" Type="http://schemas.openxmlformats.org/officeDocument/2006/relationships/hyperlink" Target="https://www.legislation.gov.au/F2023L00998/asma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gov.au/Series/C2006A00014" TargetMode="External"/><Relationship Id="rId14" Type="http://schemas.openxmlformats.org/officeDocument/2006/relationships/hyperlink" Target="http://chrome-extension/efaidnbmnnnibpcajpcglclefindmkaj/https:/www.nopta.gov.au/_documents/guidelines/SpecialProspectingAuthoritiesAccessAuthoritiesScientificInvestigations.pd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6202</Characters>
  <Application>Microsoft Office Word</Application>
  <DocSecurity>0</DocSecurity>
  <Lines>167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licensing requirements for petroleum and greenhouse gas activities following the Federal Court ruling in the Commissioner of Taxation v Shell Energy Holdings Australia Limited</dc:title>
  <dc:subject/>
  <dc:creator/>
  <cp:keywords/>
  <dc:description/>
  <cp:lastModifiedBy/>
  <cp:revision>1</cp:revision>
  <dcterms:created xsi:type="dcterms:W3CDTF">2025-01-03T06:47:00Z</dcterms:created>
  <dcterms:modified xsi:type="dcterms:W3CDTF">2025-01-03T06:48:00Z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2025-01-03T06:48:01Z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dfc105bc-06d3-4de1-bef8-437e3abf8a7f</vt:lpwstr>
  </property>
  <property fmtid="{D5CDD505-2E9C-101B-9397-08002B2CF9AE}" pid="8" name="MSIP_Label_93cd4f2a-0040-47df-a467-7cba635d669c_ContentBits">
    <vt:lpwstr>0</vt:lpwstr>
  </property>
</Properties>
</file>